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3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2130" w:type="dxa"/>
        <w:jc w:val="center"/>
        <w:tblInd w:w="0" w:type="dxa"/>
        <w:tblLayout w:type="fixed"/>
        <w:tblCellMar>
          <w:top w:w="28" w:type="dxa"/>
          <w:left w:w="28" w:type="dxa"/>
          <w:bottom w:w="28" w:type="dxa"/>
          <w:right w:w="28" w:type="dxa"/>
        </w:tblCellMar>
      </w:tblPr>
      <w:tblGrid>
        <w:gridCol w:w="681"/>
        <w:gridCol w:w="599"/>
        <w:gridCol w:w="850"/>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11-K</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9341" w:type="dxa"/>
        <w:jc w:val="center"/>
        <w:tblInd w:w="0" w:type="dxa"/>
        <w:tblLayout w:type="fixed"/>
        <w:tblCellMar>
          <w:top w:w="28" w:type="dxa"/>
          <w:left w:w="28" w:type="dxa"/>
          <w:bottom w:w="28" w:type="dxa"/>
          <w:right w:w="28" w:type="dxa"/>
        </w:tblCellMar>
      </w:tblPr>
      <w:tblGrid>
        <w:gridCol w:w="124"/>
        <w:gridCol w:w="109"/>
        <w:gridCol w:w="109"/>
        <w:gridCol w:w="2636"/>
        <w:gridCol w:w="2636"/>
        <w:gridCol w:w="37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color w:val="000000"/>
                <w:sz w:val="20"/>
              </w:rPr>
            </w:pPr>
            <w:r>
              <w:rPr>
                <w:rFonts w:ascii="Wingdings;sans-serif" w:hAnsi="Wingdings;sans-serif"/>
                <w:b/>
                <w:color w:val="000000"/>
                <w:sz w:val="20"/>
              </w:rPr>
              <w:t>x</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ANNUAL REPORT PURSUANT TO SECTION 15(d) OF THE SECURITIES EXCHANGE ACT OF 1934</w:t>
            </w:r>
          </w:p>
        </w:tc>
      </w:tr>
    </w:tbl>
    <w:p>
      <w:pPr>
        <w:pStyle w:val="TextBody"/>
        <w:bidi w:val="0"/>
        <w:spacing w:lineRule="auto" w:line="288" w:before="90" w:after="283"/>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 xml:space="preserve">OR </w:t>
      </w:r>
    </w:p>
    <w:p>
      <w:pPr>
        <w:pStyle w:val="TextBody"/>
        <w:bidi w:val="0"/>
        <w:spacing w:lineRule="auto" w:line="288" w:before="0" w:after="0"/>
        <w:jc w:val="center"/>
        <w:rPr>
          <w:color w:val="000000"/>
        </w:rPr>
      </w:pPr>
      <w:r>
        <w:rPr>
          <w:color w:val="000000"/>
        </w:rPr>
        <w:t> </w:t>
      </w:r>
    </w:p>
    <w:tbl>
      <w:tblPr>
        <w:tblW w:w="9747" w:type="dxa"/>
        <w:jc w:val="center"/>
        <w:tblInd w:w="0" w:type="dxa"/>
        <w:tblLayout w:type="fixed"/>
        <w:tblCellMar>
          <w:top w:w="28" w:type="dxa"/>
          <w:left w:w="28" w:type="dxa"/>
          <w:bottom w:w="28" w:type="dxa"/>
          <w:right w:w="28" w:type="dxa"/>
        </w:tblCellMar>
      </w:tblPr>
      <w:tblGrid>
        <w:gridCol w:w="124"/>
        <w:gridCol w:w="109"/>
        <w:gridCol w:w="109"/>
        <w:gridCol w:w="2754"/>
        <w:gridCol w:w="2754"/>
        <w:gridCol w:w="38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15(d) OF THE SECURITIES EXCHANGE ACT OF 1934</w:t>
            </w:r>
          </w:p>
        </w:tc>
      </w:tr>
    </w:tbl>
    <w:p>
      <w:pPr>
        <w:pStyle w:val="TextBody"/>
        <w:bidi w:val="0"/>
        <w:spacing w:lineRule="auto" w:line="288" w:before="90" w:after="283"/>
        <w:ind w:left="0" w:right="0" w:firstLine="72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before="60" w:after="283"/>
        <w:jc w:val="center"/>
        <w:rPr/>
      </w:pPr>
      <w:r>
        <w:rPr/>
      </w:r>
    </w:p>
    <w:tbl>
      <w:tblPr>
        <w:tblW w:w="3285" w:type="dxa"/>
        <w:jc w:val="center"/>
        <w:tblInd w:w="0" w:type="dxa"/>
        <w:tblLayout w:type="fixed"/>
        <w:tblCellMar>
          <w:top w:w="28" w:type="dxa"/>
          <w:left w:w="28" w:type="dxa"/>
          <w:bottom w:w="28" w:type="dxa"/>
          <w:right w:w="28" w:type="dxa"/>
        </w:tblCellMar>
      </w:tblPr>
      <w:tblGrid>
        <w:gridCol w:w="1051"/>
        <w:gridCol w:w="924"/>
        <w:gridCol w:w="1310"/>
      </w:tblGrid>
      <w:tr>
        <w:trPr/>
        <w:tc>
          <w:tcPr>
            <w:tcW w:w="10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 - 001-34045</w:t>
            </w:r>
          </w:p>
        </w:tc>
      </w:tr>
      <w:tr>
        <w:trPr/>
        <w:tc>
          <w:tcPr>
            <w:tcW w:w="32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90" w:after="283"/>
        <w:ind w:left="0" w:right="0" w:firstLine="90"/>
        <w:jc w:val="center"/>
        <w:rPr>
          <w:rFonts w:ascii="Times New Roman;serif" w:hAnsi="Times New Roman;serif"/>
          <w:b w:val="false"/>
          <w:color w:val="000000"/>
          <w:sz w:val="20"/>
        </w:rPr>
      </w:pPr>
      <w:r>
        <w:rPr>
          <w:rFonts w:ascii="Times New Roman;serif" w:hAnsi="Times New Roman;serif"/>
          <w:b w:val="false"/>
          <w:color w:val="000000"/>
          <w:sz w:val="20"/>
        </w:rPr>
        <w:t>A.    Full title of the plan and the address of the plan, if different from that of the issuer named below:</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Enovis 401(k) Savings Plan Plus</w:t>
      </w:r>
    </w:p>
    <w:p>
      <w:pPr>
        <w:pStyle w:val="TextBody"/>
        <w:bidi w:val="0"/>
        <w:spacing w:lineRule="auto" w:line="288" w:before="90" w:after="283"/>
        <w:ind w:left="0" w:right="0" w:firstLine="90"/>
        <w:jc w:val="center"/>
        <w:rPr>
          <w:rFonts w:ascii="Times New Roman;serif" w:hAnsi="Times New Roman;serif"/>
          <w:b w:val="false"/>
          <w:color w:val="000000"/>
          <w:sz w:val="20"/>
        </w:rPr>
      </w:pPr>
      <w:r>
        <w:rPr>
          <w:rFonts w:ascii="Times New Roman;serif" w:hAnsi="Times New Roman;serif"/>
          <w:b w:val="false"/>
          <w:color w:val="000000"/>
          <w:sz w:val="20"/>
        </w:rPr>
        <w:t>B.     Name of issuer of the securities held pursuant to the plan and the address of its principal executive office: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2711 Centerville Road,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Wilmington, DE 19808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center"/>
        <w:rPr/>
      </w:pPr>
      <w:r>
        <w:rPr/>
      </w:r>
    </w:p>
    <w:p>
      <w:pPr>
        <w:pStyle w:val="TextBody"/>
        <w:bidi w:val="0"/>
        <w:spacing w:before="0" w:after="0"/>
        <w:jc w:val="center"/>
        <w:rPr/>
      </w:pPr>
      <w:r>
        <w:rPr/>
      </w:r>
    </w:p>
    <w:tbl>
      <w:tblPr>
        <w:tblW w:w="5655" w:type="dxa"/>
        <w:jc w:val="center"/>
        <w:tblInd w:w="0" w:type="dxa"/>
        <w:tblLayout w:type="fixed"/>
        <w:tblCellMar>
          <w:top w:w="28" w:type="dxa"/>
          <w:left w:w="28" w:type="dxa"/>
          <w:bottom w:w="28" w:type="dxa"/>
          <w:right w:w="28" w:type="dxa"/>
        </w:tblCellMar>
      </w:tblPr>
      <w:tblGrid>
        <w:gridCol w:w="1862"/>
        <w:gridCol w:w="1636"/>
        <w:gridCol w:w="1646"/>
        <w:gridCol w:w="149"/>
        <w:gridCol w:w="149"/>
        <w:gridCol w:w="213"/>
      </w:tblGrid>
      <w:tr>
        <w:trPr/>
        <w:tc>
          <w:tcPr>
            <w:tcW w:w="186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fb638e852634139a7377e101796a853_7">
              <w:r>
                <w:rPr>
                  <w:rStyle w:val="InternetLink"/>
                  <w:rFonts w:ascii="Times New Roman;serif" w:hAnsi="Times New Roman;serif"/>
                  <w:b w:val="false"/>
                  <w:color w:val="0000FF"/>
                  <w:sz w:val="20"/>
                  <w:u w:val="single"/>
                </w:rPr>
                <w:t>1</w:t>
              </w:r>
            </w:hyperlink>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Statements of Net Assets Available for Benefits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fb638e852634139a7377e101796a853_13">
              <w:r>
                <w:rPr>
                  <w:rStyle w:val="InternetLink"/>
                  <w:rFonts w:ascii="Times New Roman;serif" w:hAnsi="Times New Roman;serif"/>
                  <w:b w:val="false"/>
                  <w:color w:val="0000FF"/>
                  <w:sz w:val="20"/>
                  <w:u w:val="single"/>
                </w:rPr>
                <w:t>2</w:t>
              </w:r>
            </w:hyperlink>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Changes in Net Assets Available for Benefits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fb638e852634139a7377e101796a853_16">
              <w:r>
                <w:rPr>
                  <w:rStyle w:val="InternetLink"/>
                  <w:rFonts w:ascii="Times New Roman;serif" w:hAnsi="Times New Roman;serif"/>
                  <w:b w:val="false"/>
                  <w:color w:val="0000FF"/>
                  <w:sz w:val="20"/>
                  <w:u w:val="single"/>
                </w:rPr>
                <w:t>3</w:t>
              </w:r>
            </w:hyperlink>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Financial Statements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fb638e852634139a7377e101796a853_19">
              <w:r>
                <w:rPr>
                  <w:rStyle w:val="InternetLink"/>
                  <w:rFonts w:ascii="Times New Roman;serif" w:hAnsi="Times New Roman;serif"/>
                  <w:b w:val="false"/>
                  <w:color w:val="0000FF"/>
                  <w:sz w:val="20"/>
                  <w:u w:val="single"/>
                </w:rPr>
                <w:t>4</w:t>
              </w:r>
            </w:hyperlink>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Schedule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H, Line 4i - Schedule of Assets (Held at End of Year)</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fb638e852634139a7377e101796a853_49">
              <w:r>
                <w:rPr>
                  <w:rStyle w:val="InternetLink"/>
                  <w:rFonts w:ascii="Times New Roman;serif" w:hAnsi="Times New Roman;serif"/>
                  <w:b w:val="false"/>
                  <w:color w:val="0000FF"/>
                  <w:sz w:val="20"/>
                  <w:u w:val="single"/>
                </w:rPr>
                <w:t>9</w:t>
              </w:r>
            </w:hyperlink>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fb638e852634139a7377e101796a853_52">
              <w:r>
                <w:rPr>
                  <w:rStyle w:val="InternetLink"/>
                  <w:rFonts w:ascii="Times New Roman;serif" w:hAnsi="Times New Roman;serif"/>
                  <w:b w:val="false"/>
                  <w:color w:val="0000FF"/>
                  <w:sz w:val="20"/>
                  <w:u w:val="single"/>
                </w:rPr>
                <w:t>10</w:t>
              </w:r>
            </w:hyperlink>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fb638e852634139a7377e101796a853_55">
              <w:r>
                <w:rPr>
                  <w:rStyle w:val="InternetLink"/>
                  <w:rFonts w:ascii="Times New Roman;serif" w:hAnsi="Times New Roman;serif"/>
                  <w:b w:val="false"/>
                  <w:color w:val="0000FF"/>
                  <w:sz w:val="20"/>
                  <w:u w:val="single"/>
                </w:rPr>
                <w:t>11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Plan Administrator and Participants</w:t>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Enovis 401(k) Savings Plan Plus</w:t>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Wilmington, Delaware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9"/>
        </w:rPr>
      </w:pPr>
      <w:r>
        <w:rPr>
          <w:rFonts w:ascii="Times New Roman;serif" w:hAnsi="Times New Roman;serif"/>
          <w:b/>
          <w:color w:val="000000"/>
          <w:sz w:val="19"/>
        </w:rPr>
        <w:t>Opinion on the Financial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We have audited the accompanying statements of net assets available for benefits of the Enovis 401(k) Savings Plan Plus (the “Plan”)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9"/>
        </w:rPr>
      </w:pPr>
      <w:r>
        <w:rPr>
          <w:rFonts w:ascii="Times New Roman;serif" w:hAnsi="Times New Roman;serif"/>
          <w:b/>
          <w:color w:val="000000"/>
          <w:sz w:val="19"/>
        </w:rPr>
        <w:t>Basis for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9"/>
        </w:rPr>
      </w:pPr>
      <w:r>
        <w:rPr>
          <w:rFonts w:ascii="Times New Roman;serif" w:hAnsi="Times New Roman;serif"/>
          <w:b/>
          <w:color w:val="000000"/>
          <w:sz w:val="19"/>
        </w:rPr>
        <w:t>Supplemental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The supplemental information in the accompanying ERISA-required Supplemental Schedule H, Line 4i-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/s/ BDO USA, P.C.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We have served as the Plan’s auditor since 2014.</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Miami, Florida</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June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401(k) SAVINGS PLAN PLUS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NET ASSETS AVAILABLE FOR BENEFITS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5619" w:type="dxa"/>
        <w:jc w:val="center"/>
        <w:tblInd w:w="0" w:type="dxa"/>
        <w:tblLayout w:type="fixed"/>
        <w:tblCellMar>
          <w:top w:w="28" w:type="dxa"/>
          <w:left w:w="28" w:type="dxa"/>
          <w:bottom w:w="28" w:type="dxa"/>
          <w:right w:w="28" w:type="dxa"/>
        </w:tblCellMar>
      </w:tblPr>
      <w:tblGrid>
        <w:gridCol w:w="916"/>
        <w:gridCol w:w="805"/>
        <w:gridCol w:w="814"/>
        <w:gridCol w:w="196"/>
        <w:gridCol w:w="1051"/>
        <w:gridCol w:w="109"/>
        <w:gridCol w:w="109"/>
        <w:gridCol w:w="109"/>
        <w:gridCol w:w="109"/>
        <w:gridCol w:w="196"/>
        <w:gridCol w:w="1051"/>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334,933,947 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289,205,661 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Employer contributions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from participants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receivables</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available for benefits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338,354,440 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292,447,817 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401(k) SAVINGS PLAN PLUS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CHANGES IN NET ASSETS AVAILABLE FOR BENEFITS</w:t>
      </w:r>
    </w:p>
    <w:p>
      <w:pPr>
        <w:pStyle w:val="TextBody"/>
        <w:bidi w:val="0"/>
        <w:spacing w:before="0" w:after="0"/>
        <w:jc w:val="left"/>
        <w:rPr/>
      </w:pPr>
      <w:r>
        <w:rPr/>
      </w:r>
    </w:p>
    <w:tbl>
      <w:tblPr>
        <w:tblW w:w="6569" w:type="dxa"/>
        <w:jc w:val="center"/>
        <w:tblInd w:w="0" w:type="dxa"/>
        <w:tblLayout w:type="fixed"/>
        <w:tblCellMar>
          <w:top w:w="28" w:type="dxa"/>
          <w:left w:w="28" w:type="dxa"/>
          <w:bottom w:w="28" w:type="dxa"/>
          <w:right w:w="28" w:type="dxa"/>
        </w:tblCellMar>
      </w:tblPr>
      <w:tblGrid>
        <w:gridCol w:w="1449"/>
        <w:gridCol w:w="1275"/>
        <w:gridCol w:w="1281"/>
        <w:gridCol w:w="358"/>
        <w:gridCol w:w="1924"/>
        <w:gridCol w:w="282"/>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Additions to net assets attributed to:</w:t>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w:t>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Participant</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16,791,088 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Employer</w:t>
            </w:r>
          </w:p>
        </w:tc>
        <w:tc>
          <w:tcPr>
            <w:tcW w:w="2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9,241,293 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Rollovers</w:t>
            </w:r>
          </w:p>
        </w:tc>
        <w:tc>
          <w:tcPr>
            <w:tcW w:w="2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4,131,840 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contributions</w:t>
            </w:r>
          </w:p>
        </w:tc>
        <w:tc>
          <w:tcPr>
            <w:tcW w:w="2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30,164,221 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2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and interest</w:t>
            </w:r>
          </w:p>
        </w:tc>
        <w:tc>
          <w:tcPr>
            <w:tcW w:w="2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6,594,247 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appreciation in fair value of investments</w:t>
            </w:r>
          </w:p>
        </w:tc>
        <w:tc>
          <w:tcPr>
            <w:tcW w:w="2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39,959,680 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investment income</w:t>
            </w:r>
          </w:p>
        </w:tc>
        <w:tc>
          <w:tcPr>
            <w:tcW w:w="2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46,553,927 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notes receivable from participants</w:t>
            </w:r>
          </w:p>
        </w:tc>
        <w:tc>
          <w:tcPr>
            <w:tcW w:w="2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248,567 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additions</w:t>
            </w:r>
          </w:p>
        </w:tc>
        <w:tc>
          <w:tcPr>
            <w:tcW w:w="2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76,966,715 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Deductions from net assets attributed to:</w:t>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paid to participants</w:t>
            </w:r>
          </w:p>
        </w:tc>
        <w:tc>
          <w:tcPr>
            <w:tcW w:w="2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30,655,989 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expenses, net</w:t>
            </w:r>
          </w:p>
        </w:tc>
        <w:tc>
          <w:tcPr>
            <w:tcW w:w="2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404,103 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deductions</w:t>
            </w:r>
          </w:p>
        </w:tc>
        <w:tc>
          <w:tcPr>
            <w:tcW w:w="2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31,060,092 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w:t>
            </w:r>
          </w:p>
        </w:tc>
        <w:tc>
          <w:tcPr>
            <w:tcW w:w="2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45,906,623 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available for benefits:</w:t>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plan year</w:t>
            </w:r>
          </w:p>
        </w:tc>
        <w:tc>
          <w:tcPr>
            <w:tcW w:w="2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292,447,817 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plan year</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338,354,440 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401(k) SAVINGS PLAN PLUS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Description of the Plan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the Enovis 401(k) Savings Plan Plus (the “Plan”) provides only general information. Participants should refer to the Plan document for a complete description of the Plan's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Plan, as amended and restated as of October 3, 2022 (the “2022 Plan Amendment”), is a defined contribution plan covering substantially all employees of Enovis Corporation and participating affiliates (collectively, “Enovis,” the “Company,” or the “Employer”). Non-resident aliens, leased employees, temporary employees, and employees not on payroll in the United States of America are not included in the Plan. The Plan is subject to the provisions of the Employee Retirement Income Security Act of 1974 (“ERISA”). The plan is administered by Enovis Corporation (the “Plan Administrator”).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Contributions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year, participants may contribute up to 75% of pretax annual compensation, as defined in the Plan. Participants are automatically enrolled with a 4% deferral contribution upon attainment of the eligibility requirements unless the Company receives signed written documentation from the participant before this date to do otherwise. Participants who have attained age 50 before the end of the Plan year are eligible to make catch-up contributions. The Plan provides for a safe harbor employer match of up to 4% of eligible compensation contributed to the Plan and discretionary employer contribution of eligible compensation for the year ended December 31, 2025, based upon eligibility requirements as detailed in the Plan document. Participants may also contribute amounts representing eligible rollover distributions from other qualified plans. Contributions are subject to certain limitations.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Participant Accounts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participant's account is credited with the participant's contributions, the Company's contributions, and an allocation of the investment earnings and losses. On a quarterly basis, participant accounts are charged with a set fee for administrative expenses that are paid by the Plan. Participant initiated transactions are paid directly through participant accounts. The benefit to which a participant is entitled is the benefit that can be provided from the participant's vested account. Participants direct the investment of contributions into various investment options offered by the Plan. As of December 31, 2025, the Plan offered 13 mutual funds, 13 common collective trust funds, and Enovis common stock as investment options for participants. Effective April 5, 2022, following the Company’s name change and separation of its fabrication technology business (“ESAB”), the Company’s common stock began trading as Enovis common stock and a portion of the common stock in the Plan was converted to ESAB common stock, a new publicly traded stock. However, ESAB common stock is not an investment option available to be purchased through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Vesting</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Participants vest immediately in their contributions, safe harbor employer contributions, and discretionary employer contributions; plus actual earnings (losses) thereon. Prior to a plan amendment in 2020, vesting in discretionary employer contributions was based on years of continuous service as follows: 20% vested after two years of services, 40% vested after three years, 60% vested after four years, and 100% vested after five years of service. Certain employees and contribution types may be subject to different vesting schedules as described in the Plan document due to prior Plan provisions.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Forfeited Accounts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forfeited nonvested accounts totaled $97,843 and $88,125, respectively. On a periodic basis at the discretion of plan management, the Company may use the forfeited nonvested accounts to reduce future employer contributions or pay administrative expenses. During the year ended December 31, 2025, no forfeited nonvested funds were used to reduce Employer contributions or pay administrative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401(k) SAVINGS PLAN PLUS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 – (Continued)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Payment of Benefits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Benefits are payable upon retirement at age 65, disability, death, or termination of employment. Hardship withdrawals and in-service withdrawals at age 59 1/2 are also permitted, subject to the provisions in the Plan document and applicable law. Benefits are payable in lump sum or installment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Notes Receivable from Participants</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Active participants may borrow from their fund accounts a minimum of $1,000 up to a maximum of the lesser of $50,000 or 50% of their vested account balance. For loans to active participants in the Plan, loan terms range from one to five years or up to 15 years for the purchase of a primary residence. Notes receivable from participants are repaid through payroll deductions. The loans are secured by the balance in the participant's account and bear interest at the prime rate plus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Administrative Expenses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expenses of administering the Plan are paid by the Plan through a flat fee pricing arrangement with the recordkeeper and Trustee, Bank of America, N.A. Under this arrangement, each participant is charged a set quarterly fee to cover certain costs of administrating the Plan. Administrative expenses also include member-requested services charged to participant accounts. Investment related expenses are included in Net appreciation in fair value of investments in the Statement of Changes in Net Assets Available for Benefits. Other professional fees paid by the Plan are discussed further in Note 6, “Related Party and Party-In-Interest Transactions”. Certain other administrative expenses associated with maintaining the Plan may be paid by the Company and are excluded from the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participant is entitled to exercise voting rights for shares of Enovis and ESAB common stock credited to their account at all times as their respective company’s shareholders vote. The participant is notified by the Trustee prior to the time such rights are to be exercised. The Trustee is not permitted to vote any allocated share for which instructions have not been given by a participant. The Trustee shall vote shares for which it has not received direction in the same proportion as directed shares were voted.</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Basis of Accounting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Plan are prepared on the accrual basis of accounting, in accordance with accounting principles generally accepted in the United States of America (“GAAP”).</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 Valuation and Income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investments of the Plan are stated at fair value. The Plan performs fair value measurements in accordance with FASB Accounting Standards Codification 820, </w:t>
      </w:r>
      <w:r>
        <w:rPr>
          <w:rFonts w:ascii="Times New Roman;serif" w:hAnsi="Times New Roman;serif"/>
          <w:b w:val="false"/>
          <w:i/>
          <w:color w:val="000000"/>
          <w:sz w:val="20"/>
        </w:rPr>
        <w:t xml:space="preserve">Fair Value Measurement </w:t>
      </w:r>
      <w:r>
        <w:rPr>
          <w:rFonts w:ascii="Times New Roman;serif" w:hAnsi="Times New Roman;serif"/>
          <w:b w:val="false"/>
          <w:color w:val="000000"/>
          <w:sz w:val="20"/>
        </w:rPr>
        <w:t>(“ASC 820”). The Retirement Plan Advisory Committee determines the Plan’s valuation policies, utilizing information provided by the investment advisors and Trustee. See Note 3, “Fair Value Measurements” for further discussion of investment valuation inputs.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Purchases and sales of investments are recorded on a trade-date basis. Interest income is recorded on the accrual basis. Net appreciation in fair value of investments includes the Plan’s gains and losses on investments bought and sold as well as held during the year. Dividends are recorded on the ex-dividend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Notes Receivable from Participants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notes receivable from participants are measured at their unpaid principal balance plus any accrued but unpaid interest. Delinquent participant loans are reclassified as distributions based upon the terms of the Plan document. During the year ended December 31, 2025 there were $35 thousand deemed distributions from the Plan. Principal and interest are paid through payroll deductions.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401(k) SAVINGS PLAN PLUS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 – (Continued)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Contribution Receivable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Participant contributions and any related employer matching contributions are recognized in the period during which the Company makes the respective payroll deduction from the participant’s compensation. Non-elective and profit sharing contributions are recorded in the relevant period in accordance with the terms in the plan.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Payment of Benefits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Benefits are recorded when paid.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GAAP requires management to make estimates and assumptions that affect the reported amounts of assets and liabilities, the disclosure of contingent assets and liabilities and the additions and deductions to net assets available for benefits for the periods presented. Actual results may differ from those estimates.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Plan performs fair value measurements of financial instruments defining fair value as the price that would be received from selling an asset or paid to transfer a liability in an orderly transaction between market participants at the measurement date. The Plan reports its investments at fair value based on a hierarchy that prioritizes the inputs to valuation techniques used to measure fair value. The hierarchy gives the highest priority to unadjusted quoted prices in active markets for identical assets or liabilities (Level One) and the lowest priority to unobservable inputs (Level Three). The three levels of the fair value hierarchy are described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Level One: </w:t>
      </w:r>
      <w:r>
        <w:rPr>
          <w:rFonts w:ascii="Times New Roman;serif" w:hAnsi="Times New Roman;serif"/>
          <w:b w:val="false"/>
          <w:color w:val="000000"/>
          <w:sz w:val="20"/>
        </w:rPr>
        <w:t>Inputs to the valuation methodology are unadjusted quoted prices for identical assets or liabilities in active markets.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Level Two: </w:t>
      </w:r>
      <w:r>
        <w:rPr>
          <w:rFonts w:ascii="Times New Roman;serif" w:hAnsi="Times New Roman;serif"/>
          <w:b w:val="false"/>
          <w:color w:val="000000"/>
          <w:sz w:val="20"/>
        </w:rPr>
        <w:t xml:space="preserve">Inputs to the valuation methodology include quoted prices for similar assets and liabilities in active markets, quoted prices for identical or similar assets or liabilities in inactive markets, and inputs that are observable for the asset or liability, either directly or indirectly, for substantially the full term of the financial instrument.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Level Three: </w:t>
      </w:r>
      <w:r>
        <w:rPr>
          <w:rFonts w:ascii="Times New Roman;serif" w:hAnsi="Times New Roman;serif"/>
          <w:b w:val="false"/>
          <w:color w:val="000000"/>
          <w:sz w:val="20"/>
        </w:rPr>
        <w:t>Inputs to the valuation methodology are unobservable and significant to the fair value measurement.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financial instrument's level within the fair value hierarchy is based on the lowest level of any input that is significant to the fair value measurement.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Plan's assets that are measured at fair value for each fair value hierarchy level for the periods presented is as follows:</w:t>
      </w:r>
    </w:p>
    <w:tbl>
      <w:tblPr>
        <w:tblW w:w="10205" w:type="dxa"/>
        <w:jc w:val="left"/>
        <w:tblInd w:w="0" w:type="dxa"/>
        <w:tblLayout w:type="fixed"/>
        <w:tblCellMar>
          <w:top w:w="28" w:type="dxa"/>
          <w:left w:w="28" w:type="dxa"/>
          <w:bottom w:w="28" w:type="dxa"/>
          <w:right w:w="28" w:type="dxa"/>
        </w:tblCellMar>
      </w:tblPr>
      <w:tblGrid>
        <w:gridCol w:w="852"/>
        <w:gridCol w:w="751"/>
        <w:gridCol w:w="753"/>
        <w:gridCol w:w="341"/>
        <w:gridCol w:w="1830"/>
        <w:gridCol w:w="189"/>
        <w:gridCol w:w="109"/>
        <w:gridCol w:w="109"/>
        <w:gridCol w:w="109"/>
        <w:gridCol w:w="196"/>
        <w:gridCol w:w="1051"/>
        <w:gridCol w:w="109"/>
        <w:gridCol w:w="109"/>
        <w:gridCol w:w="109"/>
        <w:gridCol w:w="109"/>
        <w:gridCol w:w="196"/>
        <w:gridCol w:w="406"/>
        <w:gridCol w:w="109"/>
        <w:gridCol w:w="109"/>
        <w:gridCol w:w="109"/>
        <w:gridCol w:w="109"/>
        <w:gridCol w:w="196"/>
        <w:gridCol w:w="406"/>
        <w:gridCol w:w="109"/>
        <w:gridCol w:w="109"/>
        <w:gridCol w:w="109"/>
        <w:gridCol w:w="109"/>
        <w:gridCol w:w="196"/>
        <w:gridCol w:w="1051"/>
        <w:gridCol w:w="156"/>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Measured at Net Asset Value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Level </w:t>
              <w:br/>
              <w:t>One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Level </w:t>
              <w:br/>
              <w:t>Two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Level </w:t>
              <w:br/>
              <w:t>Three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56" w:type="dxa"/>
            <w:gridSpan w:val="3"/>
            <w:tcBorders/>
            <w:vAlign w:val="center"/>
          </w:tcPr>
          <w:p>
            <w:pPr>
              <w:pStyle w:val="TableContents"/>
              <w:bidi w:val="0"/>
              <w:spacing w:before="0" w:after="283"/>
              <w:jc w:val="left"/>
              <w:rPr>
                <w:sz w:val="4"/>
                <w:szCs w:val="4"/>
              </w:rPr>
            </w:pPr>
            <w:r>
              <w:rPr>
                <w:sz w:val="4"/>
                <w:szCs w:val="4"/>
              </w:rPr>
            </w:r>
          </w:p>
        </w:tc>
        <w:tc>
          <w:tcPr>
            <w:tcW w:w="2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Enovis Corporation common stock</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763,614 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ESAB Corporation common stock</w:t>
            </w:r>
          </w:p>
        </w:tc>
        <w:tc>
          <w:tcPr>
            <w:tcW w:w="2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2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151,498,186 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151,498,186 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Common collective trust funds</w:t>
            </w:r>
          </w:p>
        </w:tc>
        <w:tc>
          <w:tcPr>
            <w:tcW w:w="2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182,365,617 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182,365,617 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182,365,617 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152,568,330 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334,933,947 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401(k) SAVINGS PLAN PLUS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 –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2"/>
        <w:gridCol w:w="751"/>
        <w:gridCol w:w="753"/>
        <w:gridCol w:w="341"/>
        <w:gridCol w:w="1830"/>
        <w:gridCol w:w="189"/>
        <w:gridCol w:w="109"/>
        <w:gridCol w:w="109"/>
        <w:gridCol w:w="109"/>
        <w:gridCol w:w="196"/>
        <w:gridCol w:w="1051"/>
        <w:gridCol w:w="109"/>
        <w:gridCol w:w="109"/>
        <w:gridCol w:w="109"/>
        <w:gridCol w:w="109"/>
        <w:gridCol w:w="196"/>
        <w:gridCol w:w="406"/>
        <w:gridCol w:w="109"/>
        <w:gridCol w:w="109"/>
        <w:gridCol w:w="109"/>
        <w:gridCol w:w="109"/>
        <w:gridCol w:w="196"/>
        <w:gridCol w:w="406"/>
        <w:gridCol w:w="109"/>
        <w:gridCol w:w="109"/>
        <w:gridCol w:w="109"/>
        <w:gridCol w:w="109"/>
        <w:gridCol w:w="196"/>
        <w:gridCol w:w="1051"/>
        <w:gridCol w:w="156"/>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Measured at Net Asset Value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Level </w:t>
              <w:br/>
              <w:t>One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Level </w:t>
              <w:br/>
              <w:t>Two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Level </w:t>
              <w:br/>
              <w:t>Three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56" w:type="dxa"/>
            <w:gridSpan w:val="3"/>
            <w:tcBorders/>
            <w:vAlign w:val="center"/>
          </w:tcPr>
          <w:p>
            <w:pPr>
              <w:pStyle w:val="TableContents"/>
              <w:bidi w:val="0"/>
              <w:spacing w:before="0" w:after="283"/>
              <w:jc w:val="left"/>
              <w:rPr>
                <w:sz w:val="4"/>
                <w:szCs w:val="4"/>
              </w:rPr>
            </w:pPr>
            <w:r>
              <w:rPr>
                <w:sz w:val="4"/>
                <w:szCs w:val="4"/>
              </w:rPr>
            </w:r>
          </w:p>
        </w:tc>
        <w:tc>
          <w:tcPr>
            <w:tcW w:w="2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Enovis Corporation common stock</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ESAB Corporation common stock</w:t>
            </w:r>
          </w:p>
        </w:tc>
        <w:tc>
          <w:tcPr>
            <w:tcW w:w="2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Mutual funds</w:t>
            </w:r>
          </w:p>
        </w:tc>
        <w:tc>
          <w:tcPr>
            <w:tcW w:w="2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136,481,145 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136,481,145 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Common collective trust funds</w:t>
            </w:r>
          </w:p>
        </w:tc>
        <w:tc>
          <w:tcPr>
            <w:tcW w:w="2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151,874,482 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151,874,482 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151,874,482 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137,331,179 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289,205,661 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__________</w:t>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 accordance with ASC 820, certain investments that are measured at fair value using the net asset value per share (or its equivalent) practical expedient (the “NAV”) have not been classified in the fair value hierarchy. These investments, consisting of common collective trusts, are valued using the NAV provided by the Trustee. The NAV is based on the underlying investments held by the fund that are traded in an active market, less its liabilities. These investments can be redeemed in the near term.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investments of the Plan were determined as follows: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Enovis Corporation common stock and ESAB Corporation common stock are valued at the closing price reported on a national securities exchange.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Mutual funds are valued at the daily closing prices as reported by the fund. Mutual funds held by the Plan are open ended mutual funds that are registered with the Securities and Exchange Commission. These funds are required to publish their daily net asset value and to transact at that price. The mutual funds held by the Plan are deemed to be actively traded.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investments in the common collective trust funds, including the Morley Stable Value Fund and the Vanguard Target Retirement Funds, can be redeemed immediately at the current NAV. The NAV as reported by the Trustee are used as a practical expedient to estimate fair value, which is based on the fair value of the underlying assets in the trusts, less its liabilities. The investments are direct filing entities. There are no withdrawal limits, redemption frequency limits or redemption notice periods. There were no unfunded commitments for these investments as of December 31, 2025 or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Withdrawals for benefit payments and participant directed transfers to noncompeting options are made to plan participants promptly, to the extent possible, but within 30 days after notification has been received. The Morley Stable Value Fund reserves the right to delay plan sponsor-initiated redemptions for up to 365 days, subject to certain conditions.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Risks and Uncertainties</w:t>
      </w:r>
    </w:p>
    <w:p>
      <w:pPr>
        <w:pStyle w:val="TextBody"/>
        <w:bidi w:val="0"/>
        <w:spacing w:before="0" w:after="0"/>
        <w:ind w:left="0" w:right="0" w:firstLine="720"/>
        <w:jc w:val="both"/>
        <w:rPr/>
      </w:pPr>
      <w:r>
        <w:rPr/>
      </w:r>
    </w:p>
    <w:p>
      <w:pPr>
        <w:pStyle w:val="TextBody"/>
        <w:bidi w:val="0"/>
        <w:spacing w:lineRule="auto" w:line="288" w:before="0" w:after="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Plan provides for investments in various securities that are exposed to risks, such as interest rate, credit and overall volatility risks. Due to the level of risk associated with certain investment securities, it is reasonably possible that changes in the values of investment securities will occur in the near term and that such changes could materially affect the amounts reported in future Statements of Net Assets Available for Benefits.</w:t>
      </w:r>
    </w:p>
    <w:p>
      <w:pPr>
        <w:pStyle w:val="TextBody"/>
        <w:bidi w:val="0"/>
        <w:spacing w:before="0" w:after="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Tax Status</w:t>
      </w:r>
    </w:p>
    <w:p>
      <w:pPr>
        <w:pStyle w:val="TextBody"/>
        <w:bidi w:val="0"/>
        <w:spacing w:before="0" w:after="0"/>
        <w:ind w:left="0" w:right="0" w:firstLine="72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October 3, 2022, the Plan Sponsor adopted the Pre-Approved Defined Contribution Plan sponsored by Bank of America Merrill Lynch, (the “Pre-Approved Plan”). The Pre-Approved Plan received an opinion letter dated June 30, 2020 in which the Internal Revenue Service (“IRS”) stated that the Pre-Approved Plan was in compliance with the applicable requirements of the Internal Revenue Code (“Code”). In addition, the opinion letter stated that an employer who adopts this Pre-Approved Plan may rely on the opinion letter with respect to the qualification under the Code. Therefore, Plan management believes that the Plan is designed and being operated in compliance with the applicable provisions of the Code.</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GAAP requires Plan management to evaluate tax positions taken by the Plan and recognize a tax liability if the Plan has taken an uncertain position that more-likely-than-not would not be sustained upon examination by the IRS. Plan management has analyzed the tax positions taken by the Plan and has concluded that as of December 31, 2025, there are no uncertain positions taken or expected to be taken that would require recognition of a liability (or asset) or disclosure in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401(k) SAVINGS PLAN PLUS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 – (Continued)</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The Plan is subject to routine audits by taxing jurisdictions, however, there are currently no audits for any tax periods in progress.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Related Party and Party-in-Interest Transactions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Plan investments include the Company’s common stock. Enovis Corporation is the administrator of the Plan. For the year ended December 31, 2025, transactions involving the Company's common stock included sales of approximately $49,598 and purchases of approximately $661,557. For the year ended December 31, 2024, transactions involving the Company's common stock included sales of approximately $122,911 and purchases of approximately $210,704. There was no dividend income with respect to the Company’s common stock in either year. At December 31, 2025 and 2024, net realized losses on sale of the Company’s common stock totaled approximately $14,907 and $15,371, respectively, and net unrealized depreciation of the Company’s common stock totaled approximately $315,428 and $115,383, respectively.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fees of administering the Plan are paid to the Trustee by the Plan. For the year ended December 31, 2025, total fees paid to the Trustee were $331,103. Audit fees for the Plan are paid to the independent registered public accounting firm by the Plan. For the year ended December 31, 2025, total fees paid to an independent registered public accounting firm were $73,000. These transactions qualify as exempt party-in-interest transactions. Notes receivable from participants also qualify as exempt party-in-interest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Plan Termination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it has not expressed any intent to do so, the Company has the right under the Plan to discontinue its contributions at any time and to terminate the Plan subject to the provisions of ERISA. In the event of Plan termination, active participants at the time of the termination will remain fully vested in their accounts.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Subsequent Events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Plan has evaluated subsequent events from the date of the Statement of Net Assets Available for Benefits through June 26, 2026, the date the financial statements were available to be issued. During this period, no material subsequent events were identified.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ENOVIS 401(k) SAVINGS PLAN PLUS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EIN: 54-1887631 Plan: 037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H, LINE 4i - SCHEDULE OF ASSETS (HELD AT END OF YEAR)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tbl>
      <w:tblPr>
        <w:tblW w:w="10205" w:type="dxa"/>
        <w:jc w:val="center"/>
        <w:tblInd w:w="0" w:type="dxa"/>
        <w:tblLayout w:type="fixed"/>
        <w:tblCellMar>
          <w:top w:w="28" w:type="dxa"/>
          <w:left w:w="28" w:type="dxa"/>
          <w:bottom w:w="28" w:type="dxa"/>
          <w:right w:w="28" w:type="dxa"/>
        </w:tblCellMar>
      </w:tblPr>
      <w:tblGrid>
        <w:gridCol w:w="1982"/>
        <w:gridCol w:w="1634"/>
        <w:gridCol w:w="1649"/>
        <w:gridCol w:w="109"/>
        <w:gridCol w:w="109"/>
        <w:gridCol w:w="109"/>
        <w:gridCol w:w="632"/>
        <w:gridCol w:w="632"/>
        <w:gridCol w:w="634"/>
        <w:gridCol w:w="109"/>
        <w:gridCol w:w="109"/>
        <w:gridCol w:w="109"/>
        <w:gridCol w:w="217"/>
        <w:gridCol w:w="217"/>
        <w:gridCol w:w="219"/>
        <w:gridCol w:w="109"/>
        <w:gridCol w:w="109"/>
        <w:gridCol w:w="109"/>
        <w:gridCol w:w="196"/>
        <w:gridCol w:w="1051"/>
        <w:gridCol w:w="161"/>
      </w:tblGrid>
      <w:tr>
        <w:trPr/>
        <w:tc>
          <w:tcPr>
            <w:tcW w:w="1982"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Identity of Issue, Borrower, Lessor, or Similar Party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 of Investment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8"/>
              </w:rPr>
              <w:t>Cost</w:t>
            </w:r>
            <w:r>
              <w:rPr>
                <w:rFonts w:ascii="Times New Roman;serif" w:hAnsi="Times New Roman;serif"/>
                <w:b/>
                <w:color w:val="000000"/>
                <w:sz w:val="12"/>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Value</w:t>
            </w:r>
          </w:p>
        </w:tc>
      </w:tr>
      <w:tr>
        <w:trPr/>
        <w:tc>
          <w:tcPr>
            <w:tcW w:w="10205"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Enovis Corporation</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763,614 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ESAB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 Small Cap Growth Portfolio Class 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3,760,557 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American Beacon Small Cap Value Fund R6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3,279,209 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Columbia Dividend Income Fund Institutional 3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4,963,984 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500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51,494,428 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International Index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6,742,843 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Fidelity Mid Cap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13,824,593 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Goldman Sachs GQG Partners International Opportunities Fund Institutional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7,675,014 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Janus Henderson Enterprise Fund Class 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8,937,241 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JPMorgan Large Cap Growth Fund Class R6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34,335,379 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Loomis Sayles Core Plus Bond Fund Class 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4,318,927 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PGIM High Yield Fund- Class R6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3,236,640 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Vanguard Emerging Markets Stock Index Fund Admiral 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2,920,540 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Intermediate-Term Bond Index Fund Admiral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6,008,831 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Retirement 2020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3,661,809 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Retirement 2025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9,424,393 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Vanguard Target Retirement 2030 Fund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32,561,474 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Vanguard Target Retirement 2035 Fund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20,501,516 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Vanguard Target Retirement 2040 Fund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21,511,695 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Retirement 2045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33,319,097 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Retirement 2050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20,963,948 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Vanguard Target Retirement 2055 Fund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13,584,510 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Vanguard Target Retirement 2060 Fund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10,168,377 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Retirement 2065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3,276,085 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Retirement 2070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Vanguard Target Retirement Income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1,356,848 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Morley Stable Value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Collective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11,741,964 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per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334,933,947 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Participant loans</w:t>
            </w:r>
            <w:r>
              <w:rPr>
                <w:rFonts w:ascii="Times New Roman;serif" w:hAnsi="Times New Roman;serif"/>
                <w:b w:val="false"/>
                <w:color w:val="000000"/>
                <w:sz w:val="12"/>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2,998,824 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337,932,771 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__________</w:t>
      </w:r>
    </w:p>
    <w:p>
      <w:pPr>
        <w:pStyle w:val="TextBody"/>
        <w:bidi w:val="0"/>
        <w:spacing w:lineRule="auto" w:line="288" w:before="0" w:after="0"/>
        <w:ind w:left="0" w:right="0" w:hanging="225"/>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Cost information is not required for participant-directed investments</w:t>
      </w:r>
    </w:p>
    <w:p>
      <w:pPr>
        <w:pStyle w:val="TextBody"/>
        <w:bidi w:val="0"/>
        <w:spacing w:lineRule="auto" w:line="288" w:before="0" w:after="0"/>
        <w:ind w:left="0" w:right="0" w:hanging="225"/>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A party-in-interest to the plan as defined by ERISA</w:t>
      </w:r>
    </w:p>
    <w:p>
      <w:pPr>
        <w:pStyle w:val="TextBody"/>
        <w:bidi w:val="0"/>
        <w:spacing w:lineRule="auto" w:line="288" w:before="0" w:after="0"/>
        <w:ind w:left="0" w:right="0" w:hanging="225"/>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Annual interest rates range from 4.25% and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trustees (or other persons who administer the Plan) have duly caused this annual report to be signed on its behalf by the undersigned thereunto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Registrant:     Enovis Corporation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Enovis 401(k) Savings Plan Plus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    </w:t>
      </w:r>
    </w:p>
    <w:p>
      <w:pPr>
        <w:pStyle w:val="TextBody"/>
        <w:bidi w:val="0"/>
        <w:spacing w:before="0" w:after="0"/>
        <w:jc w:val="both"/>
        <w:rPr/>
      </w:pPr>
      <w:r>
        <w:rPr/>
      </w:r>
    </w:p>
    <w:tbl>
      <w:tblPr>
        <w:tblW w:w="4226" w:type="dxa"/>
        <w:jc w:val="left"/>
        <w:tblInd w:w="0" w:type="dxa"/>
        <w:tblLayout w:type="fixed"/>
        <w:tblCellMar>
          <w:top w:w="28" w:type="dxa"/>
          <w:left w:w="28" w:type="dxa"/>
          <w:bottom w:w="28" w:type="dxa"/>
          <w:right w:w="28" w:type="dxa"/>
        </w:tblCellMar>
      </w:tblPr>
      <w:tblGrid>
        <w:gridCol w:w="992"/>
        <w:gridCol w:w="875"/>
        <w:gridCol w:w="877"/>
        <w:gridCol w:w="109"/>
        <w:gridCol w:w="109"/>
        <w:gridCol w:w="109"/>
        <w:gridCol w:w="336"/>
        <w:gridCol w:w="336"/>
        <w:gridCol w:w="483"/>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KATRIONA KNAUS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26, 2026</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color w:val="000000"/>
                <w:sz w:val="16"/>
              </w:rPr>
            </w:pPr>
            <w:r>
              <w:rPr>
                <w:rFonts w:ascii="Times New Roman;serif" w:hAnsi="Times New Roman;serif"/>
                <w:b/>
                <w:color w:val="000000"/>
                <w:sz w:val="16"/>
              </w:rPr>
              <w:t>Katriona Knaus</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Vice President, Finance and Treasurer</w:t>
            </w:r>
          </w:p>
          <w:p>
            <w:pPr>
              <w:pStyle w:val="TableContents"/>
              <w:bidi w:val="0"/>
              <w:spacing w:before="0" w:after="15"/>
              <w:jc w:val="center"/>
              <w:rPr/>
            </w:pPr>
            <w:r>
              <w:rPr/>
            </w:r>
          </w:p>
          <w:p>
            <w:pPr>
              <w:pStyle w:val="TableContents"/>
              <w:bidi w:val="0"/>
              <w:spacing w:before="0" w:after="15"/>
              <w:jc w:val="center"/>
              <w:rPr/>
            </w:pPr>
            <w:r>
              <w:rPr/>
            </w:r>
          </w:p>
          <w:p>
            <w:pPr>
              <w:pStyle w:val="TableContents"/>
              <w:bidi w:val="0"/>
              <w:spacing w:before="0" w:after="15"/>
              <w:jc w:val="center"/>
              <w:rPr/>
            </w:pPr>
            <w:r>
              <w:rPr/>
            </w:r>
          </w:p>
          <w:p>
            <w:pPr>
              <w:pStyle w:val="TableContents"/>
              <w:bidi w:val="0"/>
              <w:spacing w:before="0" w:after="15"/>
              <w:jc w:val="center"/>
              <w:rPr/>
            </w:pPr>
            <w:r>
              <w:rPr/>
            </w:r>
          </w:p>
          <w:p>
            <w:pPr>
              <w:pStyle w:val="TableContents"/>
              <w:bidi w:val="0"/>
              <w:spacing w:before="0" w:after="15"/>
              <w:jc w:val="center"/>
              <w:rPr/>
            </w:pPr>
            <w:r>
              <w:rPr/>
            </w:r>
          </w:p>
          <w:p>
            <w:pPr>
              <w:pStyle w:val="TableContents"/>
              <w:bidi w:val="0"/>
              <w:spacing w:before="0" w:after="15"/>
              <w:jc w:val="center"/>
              <w:rPr/>
            </w:pPr>
            <w:r>
              <w:rPr/>
            </w:r>
          </w:p>
          <w:p>
            <w:pPr>
              <w:pStyle w:val="TableContents"/>
              <w:bidi w:val="0"/>
              <w:spacing w:before="0" w:after="15"/>
              <w:jc w:val="left"/>
              <w:rPr/>
            </w:pPr>
            <w:r>
              <w:rPr/>
            </w:r>
          </w:p>
          <w:p>
            <w:pPr>
              <w:pStyle w:val="TableContents"/>
              <w:bidi w:val="0"/>
              <w:spacing w:before="0" w:after="15"/>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5398" w:type="dxa"/>
        <w:jc w:val="left"/>
        <w:tblInd w:w="0" w:type="dxa"/>
        <w:tblLayout w:type="fixed"/>
        <w:tblCellMar>
          <w:top w:w="28" w:type="dxa"/>
          <w:left w:w="28" w:type="dxa"/>
          <w:bottom w:w="28" w:type="dxa"/>
          <w:right w:w="28" w:type="dxa"/>
        </w:tblCellMar>
      </w:tblPr>
      <w:tblGrid>
        <w:gridCol w:w="363"/>
        <w:gridCol w:w="320"/>
        <w:gridCol w:w="321"/>
        <w:gridCol w:w="1284"/>
        <w:gridCol w:w="1284"/>
        <w:gridCol w:w="182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 Description</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231-consentofindepe.htm">
              <w:r>
                <w:rPr>
                  <w:rStyle w:val="InternetLink"/>
                  <w:rFonts w:ascii="Times New Roman;serif" w:hAnsi="Times New Roman;serif"/>
                  <w:b w:val="false"/>
                  <w:color w:val="0000FF"/>
                  <w:sz w:val="18"/>
                  <w:u w:val="single"/>
                </w:rPr>
                <w:t>23.1</w:t>
              </w:r>
            </w:hyperlink>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indepe.htm">
              <w:r>
                <w:rPr>
                  <w:rStyle w:val="InternetLink"/>
                  <w:rFonts w:ascii="Times New Roman;serif" w:hAnsi="Times New Roman;serif"/>
                  <w:b w:val="false"/>
                  <w:strike w:val="false"/>
                  <w:dstrike w:val="false"/>
                  <w:color w:val="000000"/>
                  <w:sz w:val="18"/>
                  <w:u w:val="none"/>
                  <w:effect w:val="none"/>
                </w:rPr>
                <w:t>Consent of Independent Registered Public Accounting Firm</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ind w:left="0" w:right="0" w:hanging="360"/>
        <w:jc w:val="both"/>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Enovis 401(k) Savings Plan Plus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Wilmington, Delaware</w:t>
      </w:r>
    </w:p>
    <w:p>
      <w:pPr>
        <w:pStyle w:val="TextBody"/>
        <w:bidi w:val="0"/>
        <w:spacing w:before="0" w:after="0"/>
        <w:ind w:left="0" w:right="0" w:hanging="36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 on Form S-8 (333-173883) of Enovis Corporation of our report dated June 26, 2026, relating to the financial statements and supplemental schedule of Enovis 401(k) Savings Plan Plus which appear in this Form 11-K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Miami, Florida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June 26, 2026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4049</Words>
  <Characters>22914</Characters>
  <CharactersWithSpaces>26783</CharactersWithSpaces>
  <Paragraphs>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