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2026</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Enovis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920" w:type="dxa"/>
        <w:tblCellMar>
          <w:top w:w="0" w:type="dxa"/>
          <w:left w:w="0" w:type="dxa"/>
          <w:bottom w:w="0" w:type="dxa"/>
          <w:right w:w="0" w:type="dxa"/>
        </w:tblCellMar>
      </w:tblPr>
      <w:tr>
        <w:trPr>
          <w:trHeight w:val="233"/>
        </w:trPr>
        <w:tc>
          <w:tcPr>
            <w:tcW w:w="306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001-34045</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54-1887631</w:t>
            </w:r>
          </w:p>
        </w:tc>
      </w:tr>
      <w:tr>
        <w:trPr>
          <w:trHeight w:val="229"/>
        </w:trPr>
        <w:tc>
          <w:tcPr>
            <w:tcW w:w="30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2711 Centerville Road,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(302) 252-9160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979" w:right="339" w:bottom="1440" w:gutter="0" w:footer="0" w:header="0"/>
        </w:sectPr>
      </w:pPr>
    </w:p>
    <w:p>
      <w:pPr>
        <w:spacing w:after="0" w:line="12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220" w:space="720"/>
            <w:col w:w="1840" w:space="720"/>
            <w:col w:w="3740"/>
          </w:cols>
          <w:pgMar w:left="320" w:top="979" w:right="33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ENOV</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00" w:lineRule="exact"/>
        <w:rPr>
          <w:sz w:val="24"/>
          <w:szCs w:val="24"/>
          <w:color w:val="auto"/>
        </w:rPr>
      </w:pPr>
    </w:p>
    <w:p>
      <w:pPr>
        <w:sectPr>
          <w:pgSz w:w="11900" w:h="16838" w:orient="portrait"/>
          <w:cols w:equalWidth="0" w:num="3">
            <w:col w:w="4580" w:space="720"/>
            <w:col w:w="2040" w:space="720"/>
            <w:col w:w="3180"/>
          </w:cols>
          <w:pgMar w:left="320" w:top="979" w:right="339" w:bottom="1440" w:gutter="0" w:footer="0" w:header="0"/>
          <w:type w:val="continuous"/>
        </w:sectPr>
      </w:pPr>
    </w:p>
    <w:p>
      <w:pPr>
        <w:spacing w:after="0" w:line="17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309"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2026, the Company issued a press release reporting financial results for the first quarter ended April 3, 2026. A copy of the Company's press release is attached to this report as Exhibit 99.1 and is incorporated into Item 2.02 of this report by reference. The Company has scheduled a conference call for 8:30 a.m. Eastern on May 7, 2026 to discuss its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99.1 Enovis Corporation press release dated May 7 2026, reporting financial results for the first quarter ended April 3, 2026.</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 Cover Page Interactive Data File - The cover page from this Current Report on Form 8-K is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Enovis Corporation</w:t>
            </w: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4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1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Kleckner</w:t>
            </w:r>
          </w:p>
        </w:tc>
        <w:tc>
          <w:tcPr>
            <w:tcW w:w="0" w:type="dxa"/>
            <w:vAlign w:val="bottom"/>
          </w:tcPr>
          <w:p>
            <w:pPr>
              <w:spacing w:after="0"/>
              <w:rPr>
                <w:sz w:val="1"/>
                <w:szCs w:val="1"/>
                <w:color w:val="auto"/>
              </w:rPr>
            </w:pPr>
          </w:p>
        </w:tc>
      </w:tr>
      <w:tr>
        <w:trPr>
          <w:trHeight w:val="218"/>
        </w:trPr>
        <w:tc>
          <w:tcPr>
            <w:tcW w:w="41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John Kleckner</w:t>
            </w:r>
          </w:p>
        </w:tc>
        <w:tc>
          <w:tcPr>
            <w:tcW w:w="0" w:type="dxa"/>
            <w:vAlign w:val="bottom"/>
          </w:tcPr>
          <w:p>
            <w:pPr>
              <w:spacing w:after="0"/>
              <w:rPr>
                <w:sz w:val="1"/>
                <w:szCs w:val="1"/>
                <w:color w:val="auto"/>
              </w:rPr>
            </w:pPr>
          </w:p>
        </w:tc>
      </w:tr>
      <w:tr>
        <w:trPr>
          <w:trHeight w:val="229"/>
        </w:trPr>
        <w:tc>
          <w:tcPr>
            <w:tcW w:w="41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Controller and Chief Accounting Officer</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860425</wp:posOffset>
            </wp:positionV>
            <wp:extent cx="158559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85595" cy="38608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Enovis Announces First Quarter 2026 Results</w:t>
      </w:r>
    </w:p>
    <w:p>
      <w:pPr>
        <w:spacing w:after="0" w:line="35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First-quarter sales growth of 5% on a reported basis</w:t>
      </w:r>
    </w:p>
    <w:p>
      <w:pPr>
        <w:spacing w:after="0" w:line="233" w:lineRule="exact"/>
        <w:rPr>
          <w:rFonts w:ascii="Arial" w:cs="Arial" w:eastAsia="Arial" w:hAnsi="Arial"/>
          <w:sz w:val="22"/>
          <w:szCs w:val="22"/>
          <w:b w:val="1"/>
          <w:b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First-quarter Reconstructive sales grew 11% on a reported basis</w:t>
      </w:r>
    </w:p>
    <w:p>
      <w:pPr>
        <w:spacing w:after="0" w:line="246" w:lineRule="exact"/>
        <w:rPr>
          <w:rFonts w:ascii="Arial" w:cs="Arial" w:eastAsia="Arial" w:hAnsi="Arial"/>
          <w:sz w:val="22"/>
          <w:szCs w:val="22"/>
          <w:b w:val="1"/>
          <w:bCs w:val="1"/>
          <w:color w:val="auto"/>
        </w:rPr>
      </w:pPr>
    </w:p>
    <w:p>
      <w:pPr>
        <w:ind w:left="660" w:right="380" w:hanging="328"/>
        <w:spacing w:after="0" w:line="272"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Reiterating full-year 2026 revenue, adjusted EBITDA, adjusted EPS, and Free Cash Flow Conversion guidance</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Dallas, TX, May 7, 2026 (GLOBE NEWSWIRE)—Enovis™ Corporation (“Enovis” or “the Company”) (NYSE: ENOV), an innovation-driven medical technology growth company, today announced its financial results for the first quarter ended April 3, 2026. The Company will host an investor conference call and live webcast to discuss these results today at 8:30 am ET.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Financial Results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Enovis’ first-quarter net sales of $589 million grew 5% on a reported basis and 3% on an organic basis from the same quarter in 2025. First quarter results reflect continued execution in P&amp;R and Recon, stable end markets, and encouraging momentum in new product introductions, offset by the impact of fewer selling days. Compared to the same quarter in 2025, net sales in Recon grew 11% on a reported basis and 6% on an organic basis, and P&amp;R was flat on a reported basis and 1% on an organic basis.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Enovis also reported first-quarter net loss of $8 million, or 1.4% of sales, and adjusted EBITDA of $104 million, or 17.6% of sales.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reported first-quarter 2026 net loss of $0.15 per share and adjusted net earnings per diluted share of $0.89.</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"Our first-quarter results reflect solid execution and continued progress advancing our innovation-led strategy,” said Damien McDonald, Chief Executive Officer of Enovis. “Growth in the quarter was supported by contributions from recent product launches which enhance our competitive positioning and expand our addressable market.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the same time, we are operating in a dynamic macroeconomic and geopolitical environment, and we remain focused on disciplined execution. Our priorities - commercial execution and innovation, operational excellence, and financial discipline - position us well to navigate near-term uncertainty while continuing to invest in long-term growth. We remain confident in our strategy and our ability to deliver sustainable performance and value for patients and shareholders over 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2026 Financial Outlook</w:t>
      </w:r>
    </w:p>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Enovis reaffirms financial expectations for 2026. Revenue is expected to approximate $2.31-2.37 billion, which incorporates 4-6% organic revenue growth. Adjusted EBITDA is expected to be in a range of $425-435 million. The guidance ranges for revenue and adjusted EBITDA are based on current exchange rates. Full-year adjusted earnings per share is expected to be in the range of $3.52 to $3.73. Full year free cash flow conversion is expected to be 25% or higher.</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Conference call and Webcast</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Investors can access the webcast via a link on the Enovis website, </w:t>
      </w:r>
      <w:r>
        <w:rPr>
          <w:rFonts w:ascii="Arial" w:cs="Arial" w:eastAsia="Arial" w:hAnsi="Arial"/>
          <w:sz w:val="22"/>
          <w:szCs w:val="22"/>
          <w:u w:val="single" w:color="auto"/>
          <w:color w:val="3051F2"/>
        </w:rPr>
        <w:t>www.enovis.com</w:t>
      </w:r>
      <w:r>
        <w:rPr>
          <w:rFonts w:ascii="Arial" w:cs="Arial" w:eastAsia="Arial" w:hAnsi="Arial"/>
          <w:sz w:val="22"/>
          <w:szCs w:val="22"/>
          <w:color w:val="auto"/>
        </w:rPr>
        <w:t>. For those planning to participate on the call, please dial (800) 715-9871 (U.S. callers) and (646) 307-1963 (International callers) and use conference ID 3314793. A link to a replay of the call will also be available on the Enovis website later in the day.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Enovis</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Enovis™ (NYSE: ENOV) is a global medical technology innovator dedicated to improving lives by developing clinically differentiated solutions that enhance patient outcomes and restore motion for life. We partner with the brightest minds in health to advance care that is smarter, personalized, and more effective, while improving operational efficiency for surgeons and clinicians around the world. Enovis solutions impact the well-being of millions of patients wherever they are on their pathway to health. Discover more about Enovis at </w:t>
      </w:r>
      <w:r>
        <w:rPr>
          <w:rFonts w:ascii="Arial" w:cs="Arial" w:eastAsia="Arial" w:hAnsi="Arial"/>
          <w:sz w:val="22"/>
          <w:szCs w:val="22"/>
          <w:color w:val="0000FF"/>
        </w:rPr>
        <w:t>www.enovis.com.</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Availability of Information on the Enovis Website</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Investors and others should note that Enovis routinely announces material information to investors and the marketplace using SEC filings, press releases, public conference calls, webcasts and the Enovis Investor Relations website. While not all of the information that the Company posts to the Enovis Investor Relations website is of a material nature, some information could be deemed to be material. Accordingly, the Company encourages investors, the media and others interested in Enovis to review the information that it shares on </w:t>
      </w:r>
      <w:r>
        <w:rPr>
          <w:rFonts w:ascii="Arial" w:cs="Arial" w:eastAsia="Arial" w:hAnsi="Arial"/>
          <w:sz w:val="22"/>
          <w:szCs w:val="22"/>
          <w:u w:val="single" w:color="auto"/>
          <w:color w:val="3051F2"/>
        </w:rPr>
        <w:t>ir.enovis.com.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Forward-Looking Statements</w:t>
      </w: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i w:val="1"/>
          <w:iCs w:val="1"/>
          <w:color w:val="auto"/>
        </w:rPr>
        <w:t>This press release includes forward-looking statements, including forward-looking statements within the meaning of the U.S. Private Securities Litigation Reform Act of 1995. Such forward-looking statements include, but are not limited to, statements concerning Enovis’ plans, goals, objectives, outlook, expectations and intentions, and other statements that are not historical or current fact. Forward-looking statements are based on Enovis’ current expectations and involve risks and uncertainties that could cause actual results to differ materially from those expressed or implied in such forward-looking statements. Factors that could cause Enovis’ results to differ materially from current expectations include, but are not limited to, risks related to Enovis’ integration of Lima; the impact of public health emergencies and global pandemics; disruptions in the global economy caused by escalating geopolitical tensions including in connection with the ongoing conflicts between Russia and Ukraine and in the Middle East; macroeconomic conditions, including the impact of inflationary pressures; changes in government trade policies, including the implementation of tariffs</w:t>
      </w:r>
      <w:r>
        <w:rPr>
          <w:rFonts w:ascii="Arial" w:cs="Arial" w:eastAsia="Arial" w:hAnsi="Arial"/>
          <w:sz w:val="22"/>
          <w:szCs w:val="22"/>
          <w:color w:val="auto"/>
        </w:rPr>
        <w:t>;</w:t>
      </w:r>
      <w:r>
        <w:rPr>
          <w:rFonts w:ascii="Arial" w:cs="Arial" w:eastAsia="Arial" w:hAnsi="Arial"/>
          <w:sz w:val="22"/>
          <w:szCs w:val="22"/>
          <w:i w:val="1"/>
          <w:iCs w:val="1"/>
          <w:color w:val="auto"/>
        </w:rPr>
        <w:t xml:space="preserve"> the impact of a shutdown of the U.S. government or any future shutdowns; supply chain disruptions; increasing energy costs and availability concerns, particularly in the European market; other impacts on Enovis’ business and ability to execute business continuity plans; and the other factors detailed in Enovis’ reports filed with the U.S. Securities and Exchange Commission (the “SEC”), including its most recent Annual Report on Form 10-K under the caption “Risk Factors,” as well as the other risks discussed in Enovis’ filings with the SEC. In addition, these statements are based on assumptions that are subject to change. This press release speaks only as of the date hereof. Enovis disclaims any duty to update the information herein.</w:t>
      </w:r>
    </w:p>
    <w:p>
      <w:pPr>
        <w:sectPr>
          <w:pgSz w:w="11900" w:h="16838" w:orient="portrait"/>
          <w:cols w:equalWidth="0" w:num="1">
            <w:col w:w="11240"/>
          </w:cols>
          <w:pgMar w:left="320" w:top="1002"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i w:val="1"/>
          <w:iCs w:val="1"/>
          <w:color w:val="auto"/>
        </w:rPr>
        <w:t>Non-GAAP Financial Measures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20"/>
          <w:szCs w:val="20"/>
          <w:i w:val="1"/>
          <w:iCs w:val="1"/>
          <w:color w:val="auto"/>
        </w:rPr>
        <w:t>Enovis has provided in this press release financial information that has not been prepared in accordance with accounting principles generally accepted in the United States of America (“non-GAAP”). These non-GAAP financial measures may include one or more of the following: adjusted net income from continuing operations (“Adjusted net income”), Adjusted net income per diluted share, Adjusted EBITDA, Adjusted EBITDA margin, Adjusted gross profit, and Adjusted gross profit margin.</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i w:val="1"/>
          <w:iCs w:val="1"/>
          <w:color w:val="auto"/>
        </w:rPr>
        <w:t>Adjusted net income and Adjusted net income per diluted share exclude net income attributable to noncontrolling interest from continuing operations, net of taxes; the effect of Loss from discontinued operations, net of taxes; restructuring charges; Medical Device Regulation (“MDR”) fees and other costs; strategic transaction costs; stock-based compensation; acquisition-related intangible asset amortization; strategic purchase of economic interest on future royalty payments; and property plant and equipment step-up depreciation; goodwill impairment charges; non-cash Other (income) expense, net; and include the tax effect of adjusted pre-tax income at applicable tax rates and other tax adjustments. Enovis also presents Adjusted net income margin, which is subject to the same adjustments as Adjusted net income.</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Adjusted EBITDA represents Adjusted net income excluding all Other (income) expense, net; interest, taxes, and depreciation and other amortization. Enovis presents Adjusted EBITDA margin, which is subject to the same adjustments as Adjusted EBITDA.</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color w:val="auto"/>
        </w:rPr>
        <w:t>Adjusted gross profit represents gross profit excluding depreciation step-up of acquired fixed assets and the impact of restructuring charges. Adjusted gross profit margin is subject to the same adjustments as Adjusted gross profit.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Organic sales growth calculates sales growth period over period, after excluding the impact of acquisitions, divestitures, and foreign exchange rate fluctuations..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color w:val="auto"/>
        </w:rPr>
        <w:t>Free cash flow represents cash flow from operating activities less purchases of property, plant and equipment net of proceeds from sale of certain properties. Free cash flow conversion represents free cash flow divided by adjusted net income.</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These non-GAAP financial measures assist Enovis management in comparing its operating performance over time because certain items may obscure underlying business trends and make comparisons of long-term performance difficult, as they are of a nature and/or size that occur with inconsistent frequency or relate to discrete restructuring plans that are fundamentally different from the ongoing productivity improvements of the Company. Enovis management also believes that presenting these measures allows investors to view its performance using the same measures that the Company uses in evaluating its financial and business performance and trends. Non-GAAP financial measures should not be considered in isolation from, or as a substitute for, financial information calculated in accordance with GAAP. Investors are encouraged to review the reconciliation of these non-GAAP measures to their most directly comparable GAAP financial measures. A reconciliation of non-GAAP financial measures presented above to GAAP results has been provided in the financial tables included in this press release. Enovis does not provide reconciliations of adjusted EBITDA or adjusted earnings per share on a forward-looking basis to the closest GAAP financial measures, as such information is not available without unreasonable efforts on a forward-looking basis due to uncertainties regarding, and the potential variability of, reconciling items excluded from these measures. These items are uncertain, depend on various factors, and could have a material impact on GAAP reported results for the guidance period.</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Kyle Rose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Enovis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+1-917-734-7450</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investorrelations@enovis.com</w:t>
      </w:r>
    </w:p>
    <w:p>
      <w:pPr>
        <w:sectPr>
          <w:pgSz w:w="11900" w:h="16838" w:orient="portrait"/>
          <w:cols w:equalWidth="0" w:num="1">
            <w:col w:w="11240"/>
          </w:cols>
          <w:pgMar w:left="320" w:top="76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0" w:type="dxa"/>
            <w:vAlign w:val="bottom"/>
          </w:tcPr>
          <w:p>
            <w:pPr>
              <w:spacing w:after="0"/>
              <w:rPr>
                <w:sz w:val="1"/>
                <w:szCs w:val="1"/>
                <w:color w:val="auto"/>
              </w:rPr>
            </w:pPr>
          </w:p>
        </w:tc>
      </w:tr>
      <w:tr>
        <w:trPr>
          <w:trHeight w:val="211"/>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589,151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558,834</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223,666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226,605</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365,485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332,229</w:t>
            </w:r>
          </w:p>
        </w:tc>
        <w:tc>
          <w:tcPr>
            <w:tcW w:w="0" w:type="dxa"/>
            <w:vAlign w:val="bottom"/>
          </w:tcPr>
          <w:p>
            <w:pPr>
              <w:spacing w:after="0"/>
              <w:rPr>
                <w:sz w:val="1"/>
                <w:szCs w:val="1"/>
                <w:color w:val="auto"/>
              </w:rPr>
            </w:pPr>
          </w:p>
        </w:tc>
      </w:tr>
      <w:tr>
        <w:trPr>
          <w:trHeight w:val="214"/>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Gross profit margin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59.5 %</w:t>
            </w: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282,810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269,019</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31,533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28,528</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41,812</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royalty interest</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35,777</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(46,769)</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income (loss) margin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(8.4)%</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9,188</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0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(57,349)</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20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(55,580)</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(8,450)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(55,705)</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Net loss margin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c>
          <w:tcPr>
            <w:tcW w:w="0" w:type="dxa"/>
            <w:vAlign w:val="bottom"/>
          </w:tcPr>
          <w:p>
            <w:pPr>
              <w:spacing w:after="0"/>
              <w:rPr>
                <w:sz w:val="1"/>
                <w:szCs w:val="1"/>
                <w:color w:val="auto"/>
              </w:rPr>
            </w:pPr>
          </w:p>
        </w:tc>
      </w:tr>
      <w:tr>
        <w:trPr>
          <w:trHeight w:val="162"/>
        </w:trPr>
        <w:tc>
          <w:tcPr>
            <w:tcW w:w="5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 from continuing operations - net</w:t>
            </w:r>
          </w:p>
        </w:tc>
        <w:tc>
          <w:tcPr>
            <w:tcW w:w="200" w:type="dxa"/>
            <w:vAlign w:val="bottom"/>
          </w:tcPr>
          <w:p>
            <w:pPr>
              <w:spacing w:after="0"/>
              <w:rPr>
                <w:sz w:val="14"/>
                <w:szCs w:val="14"/>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of taxes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Enovis Corporation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(8,764)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(55,966)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Net income (loss) per share - basic and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7"/>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operations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bl>
    <w:p>
      <w:pPr>
        <w:sectPr>
          <w:pgSz w:w="11900" w:h="16838" w:orient="portrait"/>
          <w:cols w:equalWidth="0" w:num="1">
            <w:col w:w="9180"/>
          </w:cols>
          <w:pgMar w:left="1360" w:top="1251" w:right="1359" w:bottom="1440" w:gutter="0" w:footer="0" w:header="0"/>
        </w:sectPr>
      </w:pPr>
    </w:p>
    <w:bookmarkStart w:id="8" w:name="page9"/>
    <w:bookmarkEnd w:id="8"/>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6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198"/>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Net Income and Adjusted Net Income Per Share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Loss (GAAP)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(55.7)</w:t>
            </w:r>
          </w:p>
        </w:tc>
      </w:tr>
      <w:tr>
        <w:trPr>
          <w:trHeight w:val="21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Net loss margin (GAAP)</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 from continuing operations - net of taxes</w:t>
            </w:r>
          </w:p>
        </w:tc>
        <w:tc>
          <w:tcPr>
            <w:tcW w:w="24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62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Net loss from continuing operations attributable to Enovis Corporation</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(GAAP)</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(55.8)</w:t>
            </w:r>
          </w:p>
        </w:tc>
      </w:tr>
      <w:tr>
        <w:trPr>
          <w:trHeight w:val="216"/>
        </w:trPr>
        <w:tc>
          <w:tcPr>
            <w:tcW w:w="6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Restructuring charges - pretax</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MDR and other costs - pretax</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acquired intangibles - pretax</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PPE step-up depreciation - pretax</w:t>
            </w:r>
            <w:r>
              <w:rPr>
                <w:rFonts w:ascii="Times New Roman" w:cs="Times New Roman" w:eastAsia="Times New Roman" w:hAnsi="Times New Roman"/>
                <w:sz w:val="21"/>
                <w:szCs w:val="21"/>
                <w:color w:val="auto"/>
                <w:vertAlign w:val="superscript"/>
              </w:rPr>
              <w:t>(4)</w:t>
            </w:r>
          </w:p>
        </w:tc>
        <w:tc>
          <w:tcPr>
            <w:tcW w:w="2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6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Strategic transaction costs - pretax</w:t>
            </w:r>
            <w:r>
              <w:rPr>
                <w:rFonts w:ascii="Times New Roman" w:cs="Times New Roman" w:eastAsia="Times New Roman" w:hAnsi="Times New Roman"/>
                <w:sz w:val="21"/>
                <w:szCs w:val="21"/>
                <w:color w:val="auto"/>
                <w:vertAlign w:val="superscript"/>
              </w:rPr>
              <w:t>(5)</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Purchase of royalty interest</w:t>
            </w:r>
            <w:r>
              <w:rPr>
                <w:rFonts w:ascii="Times New Roman" w:cs="Times New Roman" w:eastAsia="Times New Roman" w:hAnsi="Times New Roman"/>
                <w:sz w:val="21"/>
                <w:szCs w:val="21"/>
                <w:color w:val="auto"/>
                <w:vertAlign w:val="superscript"/>
              </w:rPr>
              <w:t>(6)</w:t>
            </w:r>
          </w:p>
        </w:tc>
        <w:tc>
          <w:tcPr>
            <w:tcW w:w="2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Other (income) expense, net</w:t>
            </w:r>
            <w:r>
              <w:rPr>
                <w:rFonts w:ascii="Times New Roman" w:cs="Times New Roman" w:eastAsia="Times New Roman" w:hAnsi="Times New Roman"/>
                <w:sz w:val="21"/>
                <w:szCs w:val="21"/>
                <w:color w:val="auto"/>
                <w:vertAlign w:val="superscript"/>
              </w:rPr>
              <w:t>(7)</w:t>
            </w:r>
          </w:p>
        </w:tc>
        <w:tc>
          <w:tcPr>
            <w:tcW w:w="24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6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Tax adjustment</w:t>
            </w:r>
            <w:r>
              <w:rPr>
                <w:rFonts w:ascii="Times New Roman" w:cs="Times New Roman" w:eastAsia="Times New Roman" w:hAnsi="Times New Roman"/>
                <w:sz w:val="21"/>
                <w:szCs w:val="21"/>
                <w:color w:val="auto"/>
                <w:vertAlign w:val="superscript"/>
              </w:rPr>
              <w:t>(8)</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(13.0)</w:t>
            </w:r>
          </w:p>
        </w:tc>
      </w:tr>
      <w:tr>
        <w:trPr>
          <w:trHeight w:val="210"/>
        </w:trPr>
        <w:tc>
          <w:tcPr>
            <w:tcW w:w="62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Adjusted net income from continuing operations (non-GAAP)</w:t>
            </w:r>
            <w:r>
              <w:rPr>
                <w:rFonts w:ascii="Times New Roman" w:cs="Times New Roman" w:eastAsia="Times New Roman" w:hAnsi="Times New Roman"/>
                <w:sz w:val="21"/>
                <w:szCs w:val="21"/>
                <w:color w:val="auto"/>
                <w:vertAlign w:val="superscript"/>
              </w:rPr>
              <w:t>(9)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37.3</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6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6"/>
                <w:szCs w:val="16"/>
                <w:i w:val="1"/>
                <w:iCs w:val="1"/>
                <w:color w:val="auto"/>
              </w:rPr>
              <w:t>Adjusted net income margin from continuing operations</w:t>
            </w:r>
            <w:r>
              <w:rPr>
                <w:rFonts w:ascii="Times New Roman" w:cs="Times New Roman" w:eastAsia="Times New Roman" w:hAnsi="Times New Roman"/>
                <w:sz w:val="21"/>
                <w:szCs w:val="21"/>
                <w:i w:val="1"/>
                <w:iCs w:val="1"/>
                <w:color w:val="auto"/>
                <w:vertAlign w:val="superscript"/>
              </w:rPr>
              <w:t>(9)</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6.7 %</w:t>
            </w:r>
          </w:p>
        </w:tc>
      </w:tr>
      <w:tr>
        <w:trPr>
          <w:trHeight w:val="257"/>
        </w:trPr>
        <w:tc>
          <w:tcPr>
            <w:tcW w:w="6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 - diluted (GAAP)</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57,313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56,792</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diluted from continuing operations (GAAP)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(0.98)</w:t>
            </w:r>
          </w:p>
        </w:tc>
      </w:tr>
      <w:tr>
        <w:trPr>
          <w:trHeight w:val="259"/>
        </w:trPr>
        <w:tc>
          <w:tcPr>
            <w:tcW w:w="6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Adjusted weighted-average shares outstanding - diluted (non-GAAP)</w:t>
            </w:r>
          </w:p>
        </w:tc>
        <w:tc>
          <w:tcPr>
            <w:tcW w:w="2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57,996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57,374</w:t>
            </w:r>
          </w:p>
        </w:tc>
      </w:tr>
      <w:tr>
        <w:trPr>
          <w:trHeight w:val="219"/>
        </w:trPr>
        <w:tc>
          <w:tcPr>
            <w:tcW w:w="62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Adjusted net income per share - diluted from continuing operations (non-GAAP)</w:t>
            </w:r>
            <w:r>
              <w:rPr>
                <w:rFonts w:ascii="Times New Roman" w:cs="Times New Roman" w:eastAsia="Times New Roman" w:hAnsi="Times New Roman"/>
                <w:sz w:val="21"/>
                <w:szCs w:val="21"/>
                <w:color w:val="auto"/>
                <w:vertAlign w:val="superscript"/>
              </w:rPr>
              <w:t>(9)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0.65</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w:t>
      </w:r>
    </w:p>
    <w:p>
      <w:pPr>
        <w:sectPr>
          <w:pgSz w:w="11900" w:h="16838" w:orient="portrait"/>
          <w:cols w:equalWidth="0" w:num="1">
            <w:col w:w="10460"/>
          </w:cols>
          <w:pgMar w:left="320" w:top="887" w:right="1119" w:bottom="1440" w:gutter="0" w:footer="0" w:header="0"/>
        </w:sectPr>
      </w:pPr>
    </w:p>
    <w:bookmarkStart w:id="9" w:name="page10"/>
    <w:bookmarkEnd w:id="9"/>
    <w:p>
      <w:pPr>
        <w:ind w:left="172" w:hanging="172"/>
        <w:spacing w:after="0" w:line="223" w:lineRule="auto"/>
        <w:tabs>
          <w:tab w:leader="none" w:pos="186"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loss from continuing operations attributable to Enovis Corporation for the respective periods is calculated using Net loss from continuing operations less the continuing operations component of the income attributable to noncontrolling interest, net of taxes.</w:t>
      </w:r>
    </w:p>
    <w:p>
      <w:pPr>
        <w:ind w:left="172" w:hanging="172"/>
        <w:spacing w:after="0" w:line="217" w:lineRule="auto"/>
        <w:tabs>
          <w:tab w:leader="none" w:pos="15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Restructuring charges includes immaterial expenses classified as Cost of sales on the Company’s Condensed Consolidated Statements of Operations for the three months ended April 4, 2025. There were no similar charges for the three months ended April 3, 2026.</w:t>
      </w:r>
    </w:p>
    <w:p>
      <w:pPr>
        <w:jc w:val="both"/>
        <w:ind w:left="172" w:hanging="172"/>
        <w:spacing w:after="0" w:line="236" w:lineRule="auto"/>
        <w:tabs>
          <w:tab w:leader="none" w:pos="15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MDR and other costs includes (i) $0.8 million for the three months ended April 3, 2026 and $2.5 million for the three months ended April 4, 2025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$0.4 million for the three months ended April 3, 2026 and $0.7 million for the three months ended April 4, 2025 of expenses to resolve certain infrequent, non-recurring regulatory or other legal matters. These costs are classified as Selling, general and administrative expense on our Condensed Consolidated Statements of Operations.</w:t>
      </w:r>
    </w:p>
    <w:p>
      <w:pPr>
        <w:spacing w:after="0" w:line="3" w:lineRule="exact"/>
        <w:rPr>
          <w:rFonts w:ascii="Times New Roman" w:cs="Times New Roman" w:eastAsia="Times New Roman" w:hAnsi="Times New Roman"/>
          <w:sz w:val="20"/>
          <w:szCs w:val="20"/>
          <w:color w:val="auto"/>
          <w:vertAlign w:val="superscript"/>
        </w:rPr>
      </w:pPr>
    </w:p>
    <w:p>
      <w:pPr>
        <w:ind w:left="172" w:hanging="172"/>
        <w:spacing w:after="0" w:line="218" w:lineRule="auto"/>
        <w:tabs>
          <w:tab w:leader="none" w:pos="17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$0.7 million in PPE step-up depreciation in connection with acquired businesses for the three months ended April 3, 2026 and $0.6 million for the three months ended April 4, 2025.</w:t>
      </w:r>
    </w:p>
    <w:p>
      <w:pPr>
        <w:spacing w:after="0" w:line="1" w:lineRule="exact"/>
        <w:rPr>
          <w:rFonts w:ascii="Times New Roman" w:cs="Times New Roman" w:eastAsia="Times New Roman" w:hAnsi="Times New Roman"/>
          <w:sz w:val="21"/>
          <w:szCs w:val="21"/>
          <w:color w:val="auto"/>
          <w:vertAlign w:val="superscript"/>
        </w:rPr>
      </w:pPr>
    </w:p>
    <w:p>
      <w:pPr>
        <w:jc w:val="both"/>
        <w:ind w:left="172" w:hanging="172"/>
        <w:spacing w:after="0" w:line="228" w:lineRule="auto"/>
        <w:tabs>
          <w:tab w:leader="none" w:pos="172"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Strategic transaction costs includes: (i) $7.4 million for the three months ended April 3, 2026 and $8.7 million for the three months ended April 4, 2025, respectively, related to non-recurring integration costs associated with the Lima Acquisition, which includes payroll and retention costs for roles to be eliminated or that are dedicated to integration activities,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integration related costs associated with sales agent and distributor network rationalization, including contract termination and retention expenses, supply chain and portfolio integration, and quality management system consolidation, (ii) $3.4 million for the three months ended April 3, 2026 and $2.9 million for the three months ended April 4, 2025 of non-recurring (non-Lima) acquisition integration costs and other non-recurring project costs for global ERP rationalization and shared service center start-up, and (iii) $0.2 million for the three months ended April 3, 2026 and $0.5 million for the three months ended April 4, 2025 related to the Separation of our former fabrication technology business. These costs are classified as Selling, general and administrative expense on our Condensed Consolidated Statements of Operations.</w:t>
      </w:r>
    </w:p>
    <w:p>
      <w:pPr>
        <w:spacing w:after="0" w:line="6" w:lineRule="exact"/>
        <w:rPr>
          <w:rFonts w:ascii="Times New Roman" w:cs="Times New Roman" w:eastAsia="Times New Roman" w:hAnsi="Times New Roman"/>
          <w:sz w:val="21"/>
          <w:szCs w:val="21"/>
          <w:color w:val="auto"/>
          <w:vertAlign w:val="superscript"/>
        </w:rPr>
      </w:pPr>
    </w:p>
    <w:p>
      <w:pPr>
        <w:jc w:val="both"/>
        <w:ind w:left="172" w:hanging="172"/>
        <w:spacing w:after="0" w:line="220" w:lineRule="auto"/>
        <w:tabs>
          <w:tab w:leader="none" w:pos="205"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spacing w:after="0" w:line="1" w:lineRule="exact"/>
        <w:rPr>
          <w:rFonts w:ascii="Times New Roman" w:cs="Times New Roman" w:eastAsia="Times New Roman" w:hAnsi="Times New Roman"/>
          <w:sz w:val="21"/>
          <w:szCs w:val="21"/>
          <w:color w:val="auto"/>
          <w:vertAlign w:val="superscript"/>
        </w:rPr>
      </w:pPr>
    </w:p>
    <w:p>
      <w:pPr>
        <w:ind w:left="172" w:right="20" w:hanging="172"/>
        <w:spacing w:after="0" w:line="217" w:lineRule="auto"/>
        <w:tabs>
          <w:tab w:leader="none" w:pos="15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(income) expense, net includes the fair value gain adjustment for non-designated cross currency swaps in 2026. Includes the final fair value loss adjustment for the Contingent Acquisition Shares issued in the first quarter of 2025.</w:t>
      </w:r>
    </w:p>
    <w:p>
      <w:pPr>
        <w:ind w:left="172" w:hanging="172"/>
        <w:spacing w:after="0" w:line="217" w:lineRule="auto"/>
        <w:tabs>
          <w:tab w:leader="none" w:pos="15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effective tax rates used to calculate adjusted net income and adjusted net income per share were 21.3% for the three months ended April 3, 2026 and 23.1% for the three months ended April 4, 2025.</w:t>
      </w:r>
    </w:p>
    <w:p>
      <w:pPr>
        <w:jc w:val="both"/>
        <w:ind w:left="172" w:hanging="172"/>
        <w:spacing w:after="0"/>
        <w:tabs>
          <w:tab w:leader="none" w:pos="15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the three months ended April 3, 2026, we revised our definition of Adjusted Net Income and Adjusted Net Income Per Diluted Share to no longer adjust for inventory step-up charges. Adjusted Net Income in prior periods has been revised to reflect this change for consistency of presentation along with its impact on the effective tax rate which has been revised from 23.4%, as presented in our Form 8-K for the period ended April 4, 2025, to 23.1%. Accordingly, Adjusted Net Income for the three months ended April 4, 2025 has been revised from $45.6 million, or $0.50 per diluted share, as presented in our Form 8-K for the period ended April 4, 2025, to $37.3 million, or $0.65 per diluted share, reflecting the removal of a $12.1 million adjustment for inventory step-up in connection with acquired businesses, resulting in a corresponding reduction to Adjusted net income margin from continuing operations for the three months ended April 4, 2025 from 8.3%, as presented in our Form 8-K for the period ended April 4, 2025, to 6.7%.</w:t>
      </w:r>
    </w:p>
    <w:p>
      <w:pPr>
        <w:sectPr>
          <w:pgSz w:w="11900" w:h="16838" w:orient="portrait"/>
          <w:cols w:equalWidth="0" w:num="1">
            <w:col w:w="11232"/>
          </w:cols>
          <w:pgMar w:left="328" w:top="89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1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(55.7)</w:t>
            </w:r>
          </w:p>
        </w:tc>
      </w:tr>
      <w:tr>
        <w:trPr>
          <w:trHeight w:val="214"/>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Net loss margin (GAAP)</w:t>
            </w:r>
          </w:p>
        </w:tc>
        <w:tc>
          <w:tcPr>
            <w:tcW w:w="200" w:type="dxa"/>
            <w:vAlign w:val="bottom"/>
          </w:tcPr>
          <w:p>
            <w:pPr>
              <w:spacing w:after="0"/>
              <w:rPr>
                <w:sz w:val="18"/>
                <w:szCs w:val="18"/>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r>
      <w:tr>
        <w:trPr>
          <w:trHeight w:val="218"/>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(46.8)</w:t>
            </w:r>
          </w:p>
        </w:tc>
      </w:tr>
      <w:tr>
        <w:trPr>
          <w:trHeight w:val="21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Adjusted to add: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53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Restructuring charges</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536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MDR and other costs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53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Strategic transaction costs</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r>
      <w:tr>
        <w:trPr>
          <w:trHeight w:val="219"/>
        </w:trPr>
        <w:tc>
          <w:tcPr>
            <w:tcW w:w="53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Purchase of royalty interest</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r>
      <w:tr>
        <w:trPr>
          <w:trHeight w:val="209"/>
        </w:trPr>
        <w:tc>
          <w:tcPr>
            <w:tcW w:w="536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Adjusted EBITDA (non-GAAP)</w:t>
            </w:r>
            <w:r>
              <w:rPr>
                <w:rFonts w:ascii="Times New Roman" w:cs="Times New Roman" w:eastAsia="Times New Roman" w:hAnsi="Times New Roman"/>
                <w:sz w:val="21"/>
                <w:szCs w:val="21"/>
                <w:color w:val="auto"/>
                <w:vertAlign w:val="superscript"/>
              </w:rPr>
              <w:t>(5)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53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6"/>
                <w:szCs w:val="16"/>
                <w:i w:val="1"/>
                <w:iCs w:val="1"/>
                <w:color w:val="auto"/>
              </w:rPr>
              <w:t>Adjusted EBITDA margin (non-GAAP)</w:t>
            </w:r>
            <w:r>
              <w:rPr>
                <w:rFonts w:ascii="Times New Roman" w:cs="Times New Roman" w:eastAsia="Times New Roman" w:hAnsi="Times New Roman"/>
                <w:sz w:val="21"/>
                <w:szCs w:val="21"/>
                <w:i w:val="1"/>
                <w:iCs w:val="1"/>
                <w:color w:val="auto"/>
                <w:vertAlign w:val="superscript"/>
              </w:rPr>
              <w:t>(5)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17.6 %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15.6 %</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w:t>
      </w:r>
    </w:p>
    <w:p>
      <w:pPr>
        <w:spacing w:after="0" w:line="45" w:lineRule="exact"/>
        <w:rPr>
          <w:sz w:val="20"/>
          <w:szCs w:val="20"/>
          <w:color w:val="auto"/>
        </w:rPr>
      </w:pPr>
    </w:p>
    <w:p>
      <w:pPr>
        <w:ind w:left="180" w:hanging="172"/>
        <w:spacing w:after="0" w:line="228" w:lineRule="auto"/>
        <w:tabs>
          <w:tab w:leader="none" w:pos="167"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Restructuring charges includes immaterial expenses classified as Cost of sales on the Company’s Condensed Consolidated Statements of Operations for the three months ended April 4, 2025. There were no similar charges for the three months ended April 3, 2026.</w:t>
      </w:r>
    </w:p>
    <w:p>
      <w:pPr>
        <w:jc w:val="both"/>
        <w:ind w:left="180" w:hanging="172"/>
        <w:spacing w:after="0"/>
        <w:tabs>
          <w:tab w:leader="none" w:pos="18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MDR and other costs includes (i) $0.8 million for the three months ended April 3, 2026 and $2.5 million for the three months ended April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$0.4 million for the three months ended April 3, 2026 and $0.7 million for the three months ended April 4, 2025 of expenses to resolve certain infrequent, non-recurring regulatory or other legal matters. These costs are classified as Selling, general and administrative expense on our Condensed Consolidated Statements of Operations.</w:t>
      </w:r>
    </w:p>
    <w:p>
      <w:pPr>
        <w:spacing w:after="0" w:line="116" w:lineRule="exact"/>
        <w:rPr>
          <w:rFonts w:ascii="Times New Roman" w:cs="Times New Roman" w:eastAsia="Times New Roman" w:hAnsi="Times New Roman"/>
          <w:sz w:val="21"/>
          <w:szCs w:val="21"/>
          <w:color w:val="auto"/>
          <w:vertAlign w:val="superscript"/>
        </w:rPr>
      </w:pPr>
    </w:p>
    <w:p>
      <w:pPr>
        <w:jc w:val="both"/>
        <w:ind w:left="180" w:hanging="172"/>
        <w:spacing w:after="0" w:line="243" w:lineRule="auto"/>
        <w:tabs>
          <w:tab w:leader="none" w:pos="167"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Strategic transaction costs includes: (i) $7.4 million for the three months ended April 3, 2026 and $8.7 million for the three months ended April 4, 2025 related to non-recurring integration costs associated with the Lima Acquisition, which includes payroll and retention costs for roles to be eliminated or that are dedicated to integration activities,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integration related costs associated with sales agent and distributor network rationalization, including contract termination and retention expenses, supply chain and portfolio integration, and quality management system consolidation, (ii) $3.4 million for the three months ended April 3, 2026 and $2.9 million for the three months ended April 4, 2025 of non-recurring (non-Lima) acquisition integration costs and other non-recurring project costs for global ERP rationalization and shared service center start-up, and (iii) $0.2 million for the three months ended April 3, 2026 and $0.5 million for the three months ended April 4, 2025 related to the Separation of our former fabrication technology business. These costs are classified as Selling, general and administrative expense on our Condensed Consolidated Statements of Operations.</w:t>
      </w:r>
    </w:p>
    <w:p>
      <w:pPr>
        <w:spacing w:after="0" w:line="182" w:lineRule="exact"/>
        <w:rPr>
          <w:rFonts w:ascii="Times New Roman" w:cs="Times New Roman" w:eastAsia="Times New Roman" w:hAnsi="Times New Roman"/>
          <w:sz w:val="20"/>
          <w:szCs w:val="20"/>
          <w:color w:val="auto"/>
          <w:vertAlign w:val="superscript"/>
        </w:rPr>
      </w:pPr>
    </w:p>
    <w:p>
      <w:pPr>
        <w:jc w:val="both"/>
        <w:ind w:left="180" w:hanging="172"/>
        <w:spacing w:after="0" w:line="231" w:lineRule="auto"/>
        <w:tabs>
          <w:tab w:leader="none" w:pos="213"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spacing w:after="0" w:line="2" w:lineRule="exact"/>
        <w:rPr>
          <w:rFonts w:ascii="Times New Roman" w:cs="Times New Roman" w:eastAsia="Times New Roman" w:hAnsi="Times New Roman"/>
          <w:sz w:val="21"/>
          <w:szCs w:val="21"/>
          <w:color w:val="auto"/>
          <w:vertAlign w:val="superscript"/>
        </w:rPr>
      </w:pPr>
    </w:p>
    <w:p>
      <w:pPr>
        <w:jc w:val="both"/>
        <w:ind w:left="180" w:hanging="172"/>
        <w:spacing w:after="0"/>
        <w:tabs>
          <w:tab w:leader="none" w:pos="167"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months ended April 4, 2025 has been revised from $99.2 million, as presented in our Form 10-Q for the period ended April 4, 2025, to $87.1 million, reflecting the removal of a $12.1 million adjustment for inventory step-up in connection with acquired businesses, resulting in a corresponding reduction to Adjusted EBITDA margin for the three months ended April 4, 2025 from 17.7%, as presented in our Form 10-Q for the period ended April 4, 2025, to 15.6%.</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Gross Margin (GAAP) to Adjusted Gross Margin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174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60" w:type="dxa"/>
            <w:vAlign w:val="bottom"/>
          </w:tcPr>
          <w:p>
            <w:pPr>
              <w:spacing w:after="0"/>
              <w:rPr>
                <w:sz w:val="18"/>
                <w:szCs w:val="18"/>
                <w:color w:val="auto"/>
              </w:rPr>
            </w:pPr>
          </w:p>
        </w:tc>
        <w:tc>
          <w:tcPr>
            <w:tcW w:w="14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558.8</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 (GAAP)</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(GAAP)</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PPE step-up depreciation</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Adjusted gross profit (Non-GAAP)</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gross profit margin (Non-GAAP)</w:t>
            </w:r>
            <w:r>
              <w:rPr>
                <w:rFonts w:ascii="Times New Roman" w:cs="Times New Roman" w:eastAsia="Times New Roman" w:hAnsi="Times New Roman"/>
                <w:sz w:val="21"/>
                <w:szCs w:val="21"/>
                <w:color w:val="auto"/>
                <w:vertAlign w:val="superscript"/>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59.6 %</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w:t>
      </w:r>
    </w:p>
    <w:p>
      <w:pPr>
        <w:spacing w:after="0" w:line="194" w:lineRule="exact"/>
        <w:rPr>
          <w:sz w:val="20"/>
          <w:szCs w:val="20"/>
          <w:color w:val="auto"/>
        </w:rPr>
      </w:pPr>
    </w:p>
    <w:p>
      <w:pPr>
        <w:jc w:val="both"/>
        <w:ind w:left="180" w:hanging="172"/>
        <w:spacing w:after="0" w:line="246" w:lineRule="auto"/>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the three months ended April 3, 2026, we revised our definition of Adjusted gross profit to no longer adjust for inventory step-up charges. Adjusted gross profit in prior periods has been revised to reflect this change for consistency of presentation. Accordingly, Adjusted gross profit for the three months ended April 4, 2025 has been revised from $344.9 million, as presented in our Form 8-K for the period ended April 4, 2025, to $332.8 million, reflecting the removal of a $12.1 million adjustment for inventory step-up in connection with acquired businesses, resulting in a corresponding reduction to Adjusted gross profit margin for the three months ended April 4, 2025 from 61.7%, as presented in our Form 8-K for the period ended April 4, 2025, to 59.6%.</w:t>
      </w:r>
    </w:p>
    <w:p>
      <w:pPr>
        <w:sectPr>
          <w:pgSz w:w="11900" w:h="16838" w:orient="portrait"/>
          <w:cols w:equalWidth="0" w:num="1">
            <w:col w:w="11240"/>
          </w:cols>
          <w:pgMar w:left="320" w:top="1278" w:right="339" w:bottom="1440" w:gutter="0" w:footer="0" w:header="0"/>
        </w:sectPr>
      </w:pPr>
    </w:p>
    <w:bookmarkStart w:id="12" w:name="page13"/>
    <w:bookmarkEnd w:id="12"/>
    <w:p>
      <w:pPr>
        <w:ind w:left="516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36,389</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receivables, less allowance for credit losses of $30,219 and $25,609</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442,786</w:t>
            </w: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584,379</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42,283</w:t>
            </w: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assets held for sale</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1,239,681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1,207,059</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507,063</w:t>
            </w: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718,299</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1,236,713</w:t>
            </w: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asset - right of use</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93,347</w:t>
            </w: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3,832,256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3,834,737</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187,531</w:t>
            </w: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375,943</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liabilities held for sale</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608,665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598,474</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1,261,793</w:t>
            </w:r>
          </w:p>
        </w:tc>
        <w:tc>
          <w:tcPr>
            <w:tcW w:w="0" w:type="dxa"/>
            <w:vAlign w:val="bottom"/>
          </w:tcPr>
          <w:p>
            <w:pPr>
              <w:spacing w:after="0"/>
              <w:rPr>
                <w:sz w:val="1"/>
                <w:szCs w:val="1"/>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424,568</w:t>
            </w:r>
          </w:p>
        </w:tc>
        <w:tc>
          <w:tcPr>
            <w:tcW w:w="0" w:type="dxa"/>
            <w:vAlign w:val="bottom"/>
          </w:tcPr>
          <w:p>
            <w:pPr>
              <w:spacing w:after="0"/>
              <w:rPr>
                <w:sz w:val="1"/>
                <w:szCs w:val="1"/>
                <w:color w:val="auto"/>
              </w:rPr>
            </w:pPr>
          </w:p>
        </w:tc>
      </w:tr>
      <w:tr>
        <w:trPr>
          <w:trHeight w:val="207"/>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2,352,764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2,342,835</w:t>
            </w:r>
          </w:p>
        </w:tc>
        <w:tc>
          <w:tcPr>
            <w:tcW w:w="0" w:type="dxa"/>
            <w:vAlign w:val="bottom"/>
          </w:tcPr>
          <w:p>
            <w:pPr>
              <w:spacing w:after="0"/>
              <w:rPr>
                <w:sz w:val="1"/>
                <w:szCs w:val="1"/>
                <w:color w:val="auto"/>
              </w:rPr>
            </w:pPr>
          </w:p>
        </w:tc>
      </w:tr>
      <w:tr>
        <w:trPr>
          <w:trHeight w:val="19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$0.001 par value; 133,333,333 shares authorized; 57,553,143 and 57,194,781 shares issued</w:t>
            </w:r>
          </w:p>
        </w:tc>
        <w:tc>
          <w:tcPr>
            <w:tcW w:w="30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outstanding as of April 3, 2026 and December 31, 2025, respectively</w:t>
            </w:r>
          </w:p>
        </w:tc>
        <w:tc>
          <w:tcPr>
            <w:tcW w:w="3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3,056,849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3,048,414</w:t>
            </w:r>
          </w:p>
        </w:tc>
        <w:tc>
          <w:tcPr>
            <w:tcW w:w="0" w:type="dxa"/>
            <w:vAlign w:val="bottom"/>
          </w:tcPr>
          <w:p>
            <w:pPr>
              <w:spacing w:after="0"/>
              <w:rPr>
                <w:sz w:val="1"/>
                <w:szCs w:val="1"/>
                <w:color w:val="auto"/>
              </w:rPr>
            </w:pP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(1,476,227)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(1,467,463)</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(91,363)</w:t>
            </w:r>
          </w:p>
        </w:tc>
        <w:tc>
          <w:tcPr>
            <w:tcW w:w="0" w:type="dxa"/>
            <w:vAlign w:val="bottom"/>
          </w:tcPr>
          <w:p>
            <w:pPr>
              <w:spacing w:after="0"/>
              <w:rPr>
                <w:sz w:val="1"/>
                <w:szCs w:val="1"/>
                <w:color w:val="auto"/>
              </w:rPr>
            </w:pPr>
          </w:p>
        </w:tc>
      </w:tr>
      <w:tr>
        <w:trPr>
          <w:trHeight w:val="207"/>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Enovis Corporation equity</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1,476,921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1,489,645</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0" w:type="dxa"/>
            <w:vAlign w:val="bottom"/>
          </w:tcPr>
          <w:p>
            <w:pPr>
              <w:spacing w:after="0"/>
              <w:rPr>
                <w:sz w:val="1"/>
                <w:szCs w:val="1"/>
                <w:color w:val="auto"/>
              </w:rPr>
            </w:pPr>
          </w:p>
        </w:tc>
      </w:tr>
      <w:tr>
        <w:trPr>
          <w:trHeight w:val="207"/>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1,479,492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1,491,902</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3,834,737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765" w:right="3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18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90"/>
        </w:trPr>
        <w:tc>
          <w:tcPr>
            <w:tcW w:w="8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(55,705)</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71,435</w:t>
            </w:r>
          </w:p>
        </w:tc>
      </w:tr>
      <w:tr>
        <w:trPr>
          <w:trHeight w:val="219"/>
        </w:trPr>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13"/>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19"/>
        </w:trPr>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loss on contingent acquisition shares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3"/>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9"/>
        </w:trPr>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(gain) on sale of property, plant and equipment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3"/>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receivables,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(15,977)</w:t>
            </w: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(23,295)</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operating assets and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9,511</w:t>
            </w:r>
          </w:p>
        </w:tc>
      </w:tr>
      <w:tr>
        <w:trPr>
          <w:trHeight w:val="21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194"/>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plant and equipment and intangibles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(43,262)</w:t>
            </w:r>
          </w:p>
        </w:tc>
      </w:tr>
      <w:tr>
        <w:trPr>
          <w:trHeight w:val="213"/>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acquisitions, net of cash received, and investments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(18,858)</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received upon settlement of derivatives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07"/>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(53,095)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(60,519)</w:t>
            </w:r>
          </w:p>
        </w:tc>
      </w:tr>
      <w:tr>
        <w:trPr>
          <w:trHeight w:val="19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borrowings under term credit facility</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 and other</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w:t>
            </w:r>
          </w:p>
        </w:tc>
      </w:tr>
      <w:tr>
        <w:trPr>
          <w:trHeight w:val="213"/>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 and other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tax withholding for stock-based awards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r>
      <w:tr>
        <w:trPr>
          <w:trHeight w:val="213"/>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consideration payments and 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07"/>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51,191</w:t>
            </w:r>
          </w:p>
        </w:tc>
      </w:tr>
      <w:tr>
        <w:trPr>
          <w:trHeight w:val="21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foreign exchange rates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207"/>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48,167</w:t>
            </w:r>
          </w:p>
        </w:tc>
      </w:tr>
      <w:tr>
        <w:trPr>
          <w:trHeight w:val="212"/>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38,460</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sectPr>
      </w:pPr>
    </w:p>
    <w:bookmarkStart w:id="14" w:name="page15"/>
    <w:bookmarkEnd w:id="14"/>
    <w:p>
      <w:pPr>
        <w:ind w:left="5172"/>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ind w:left="3892"/>
        <w:spacing w:after="0"/>
        <w:rPr>
          <w:sz w:val="20"/>
          <w:szCs w:val="20"/>
          <w:color w:val="auto"/>
        </w:rPr>
      </w:pPr>
      <w:r>
        <w:rPr>
          <w:rFonts w:ascii="Times New Roman" w:cs="Times New Roman" w:eastAsia="Times New Roman" w:hAnsi="Times New Roman"/>
          <w:sz w:val="18"/>
          <w:szCs w:val="18"/>
          <w:b w:val="1"/>
          <w:bCs w:val="1"/>
          <w:color w:val="auto"/>
        </w:rPr>
        <w:t>GAAP Net Sales and Growth Rate Summary</w:t>
      </w:r>
    </w:p>
    <w:p>
      <w:pPr>
        <w:spacing w:after="0" w:line="9"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ind w:left="5152"/>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52"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16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100" w:type="dxa"/>
            <w:vAlign w:val="bottom"/>
          </w:tcPr>
          <w:p>
            <w:pPr>
              <w:spacing w:after="0"/>
              <w:rPr>
                <w:sz w:val="13"/>
                <w:szCs w:val="13"/>
                <w:color w:val="auto"/>
              </w:rPr>
            </w:pPr>
          </w:p>
        </w:tc>
        <w:tc>
          <w:tcPr>
            <w:tcW w:w="16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154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6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Organic Growth</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1540" w:type="dxa"/>
            <w:vAlign w:val="bottom"/>
            <w:tcBorders>
              <w:bottom w:val="single" w:sz="8" w:color="auto"/>
            </w:tcBorders>
            <w:gridSpan w:val="2"/>
          </w:tcPr>
          <w:p>
            <w:pPr>
              <w:jc w:val="center"/>
              <w:ind w:right="18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Growth Rate </w:t>
            </w:r>
            <w:r>
              <w:rPr>
                <w:rFonts w:ascii="Times New Roman" w:cs="Times New Roman" w:eastAsia="Times New Roman" w:hAnsi="Times New Roman"/>
                <w:sz w:val="21"/>
                <w:szCs w:val="21"/>
                <w:b w:val="1"/>
                <w:bCs w:val="1"/>
                <w:color w:val="auto"/>
                <w:w w:val="98"/>
                <w:vertAlign w:val="superscript"/>
              </w:rPr>
              <w:t>(1)</w:t>
            </w:r>
          </w:p>
        </w:tc>
        <w:tc>
          <w:tcPr>
            <w:tcW w:w="1620" w:type="dxa"/>
            <w:vAlign w:val="bottom"/>
            <w:tcBorders>
              <w:bottom w:val="single" w:sz="8" w:color="auto"/>
            </w:tcBorders>
            <w:gridSpan w:val="2"/>
          </w:tcPr>
          <w:p>
            <w:pPr>
              <w:jc w:val="center"/>
              <w:ind w:right="140"/>
              <w:spacing w:after="0" w:line="216" w:lineRule="exact"/>
              <w:rPr>
                <w:sz w:val="20"/>
                <w:szCs w:val="20"/>
                <w:color w:val="auto"/>
              </w:rPr>
            </w:pPr>
            <w:r>
              <w:rPr>
                <w:rFonts w:ascii="Times New Roman" w:cs="Times New Roman" w:eastAsia="Times New Roman" w:hAnsi="Times New Roman"/>
                <w:sz w:val="16"/>
                <w:szCs w:val="16"/>
                <w:b w:val="1"/>
                <w:bCs w:val="1"/>
                <w:color w:val="auto"/>
                <w:w w:val="91"/>
              </w:rPr>
              <w:t xml:space="preserve">Rate </w:t>
            </w:r>
            <w:r>
              <w:rPr>
                <w:rFonts w:ascii="Times New Roman" w:cs="Times New Roman" w:eastAsia="Times New Roman" w:hAnsi="Times New Roman"/>
                <w:sz w:val="21"/>
                <w:szCs w:val="21"/>
                <w:b w:val="1"/>
                <w:bCs w:val="1"/>
                <w:color w:val="auto"/>
                <w:w w:val="91"/>
                <w:vertAlign w:val="superscript"/>
              </w:rPr>
              <w:t>(2)</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Prevention &amp; Recovery: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Bracing &amp; Support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Other P&amp;R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 P&amp;R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Prevention &amp; Recovery</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Reconstructive: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Reconstructive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 Reconstructive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Reconstructive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vMerge w:val="continue"/>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72" w:right="120" w:hanging="172"/>
        <w:spacing w:after="0" w:line="215" w:lineRule="auto"/>
        <w:tabs>
          <w:tab w:leader="none" w:pos="173"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Constant currency growth rate represents sales growth excluding the impact of foreign exchange rate fluctuations based on prior year sales valued at the current period foreign currency rates.</w:t>
      </w:r>
    </w:p>
    <w:p>
      <w:pPr>
        <w:spacing w:after="0" w:line="1" w:lineRule="exact"/>
        <w:rPr>
          <w:rFonts w:ascii="Times New Roman" w:cs="Times New Roman" w:eastAsia="Times New Roman" w:hAnsi="Times New Roman"/>
          <w:sz w:val="21"/>
          <w:szCs w:val="21"/>
          <w:color w:val="auto"/>
          <w:vertAlign w:val="superscript"/>
        </w:rPr>
      </w:pPr>
    </w:p>
    <w:p>
      <w:pPr>
        <w:ind w:left="172" w:hanging="172"/>
        <w:spacing w:after="0"/>
        <w:tabs>
          <w:tab w:leader="none" w:pos="15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the impact of foreign exchange rate fluctuations and acquisitions/divestitures, thus providing a measure of change due to factors such as price, product mix and volume.</w:t>
      </w:r>
    </w:p>
    <w:p>
      <w:pPr>
        <w:sectPr>
          <w:pgSz w:w="11900" w:h="16838" w:orient="portrait"/>
          <w:cols w:equalWidth="0" w:num="1">
            <w:col w:w="11092"/>
          </w:cols>
          <w:pgMar w:left="328" w:top="765" w:right="479" w:bottom="1440" w:gutter="0" w:footer="0" w:header="0"/>
        </w:sectPr>
      </w:pPr>
    </w:p>
    <w:bookmarkStart w:id="15" w:name="page16"/>
    <w:bookmarkEnd w:id="15"/>
    <w:p>
      <w:pPr>
        <w:ind w:left="518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Change in Net Sales</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Net Sales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402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Prevention and Recovery</w:t>
            </w:r>
          </w:p>
        </w:tc>
        <w:tc>
          <w:tcPr>
            <w:tcW w:w="300" w:type="dxa"/>
            <w:vAlign w:val="bottom"/>
          </w:tcPr>
          <w:p>
            <w:pPr>
              <w:spacing w:after="0"/>
              <w:rPr>
                <w:sz w:val="18"/>
                <w:szCs w:val="18"/>
                <w:color w:val="auto"/>
              </w:rPr>
            </w:pPr>
          </w:p>
        </w:tc>
        <w:tc>
          <w:tcPr>
            <w:tcW w:w="216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Reconstructive</w:t>
            </w:r>
          </w:p>
        </w:tc>
        <w:tc>
          <w:tcPr>
            <w:tcW w:w="280" w:type="dxa"/>
            <w:vAlign w:val="bottom"/>
          </w:tcPr>
          <w:p>
            <w:pPr>
              <w:spacing w:after="0"/>
              <w:rPr>
                <w:sz w:val="18"/>
                <w:szCs w:val="18"/>
                <w:color w:val="auto"/>
              </w:rPr>
            </w:pPr>
          </w:p>
        </w:tc>
        <w:tc>
          <w:tcPr>
            <w:tcW w:w="202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 Enovis</w:t>
            </w:r>
          </w:p>
        </w:tc>
      </w:tr>
      <w:tr>
        <w:trPr>
          <w:trHeight w:val="210"/>
        </w:trPr>
        <w:tc>
          <w:tcPr>
            <w:tcW w:w="40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38"/>
        </w:trPr>
        <w:tc>
          <w:tcPr>
            <w:tcW w:w="4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three months ended April 4, 2025</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272.6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4"/>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Components of Change:</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5"/>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Existing Businesses</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43"/>
        </w:trPr>
        <w:tc>
          <w:tcPr>
            <w:tcW w:w="4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Acquisitions</w:t>
            </w:r>
            <w:r>
              <w:rPr>
                <w:rFonts w:ascii="Times New Roman" w:cs="Times New Roman" w:eastAsia="Times New Roman" w:hAnsi="Times New Roman"/>
                <w:sz w:val="21"/>
                <w:szCs w:val="21"/>
                <w:color w:val="auto"/>
                <w:vertAlign w:val="superscript"/>
              </w:rPr>
              <w:t>(2)</w:t>
            </w:r>
          </w:p>
        </w:tc>
        <w:tc>
          <w:tcPr>
            <w:tcW w:w="5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43"/>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Divestitures</w:t>
            </w:r>
            <w:r>
              <w:rPr>
                <w:rFonts w:ascii="Times New Roman" w:cs="Times New Roman" w:eastAsia="Times New Roman" w:hAnsi="Times New Roman"/>
                <w:sz w:val="21"/>
                <w:szCs w:val="21"/>
                <w:color w:val="auto"/>
                <w:vertAlign w:val="superscript"/>
              </w:rPr>
              <w:t>(3)</w:t>
            </w: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3"/>
        </w:trPr>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w:t>
            </w:r>
            <w:r>
              <w:rPr>
                <w:rFonts w:ascii="Times New Roman" w:cs="Times New Roman" w:eastAsia="Times New Roman" w:hAnsi="Times New Roman"/>
                <w:sz w:val="21"/>
                <w:szCs w:val="21"/>
                <w:color w:val="auto"/>
                <w:vertAlign w:val="superscript"/>
              </w:rPr>
              <w:t>(4)</w:t>
            </w: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33"/>
        </w:trPr>
        <w:tc>
          <w:tcPr>
            <w:tcW w:w="4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three months ended April 3, 2026</w:t>
            </w: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272.0</w:t>
            </w: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1"/>
        </w:trPr>
        <w:tc>
          <w:tcPr>
            <w:tcW w:w="4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81" w:lineRule="exact"/>
        <w:rPr>
          <w:sz w:val="20"/>
          <w:szCs w:val="20"/>
          <w:color w:val="auto"/>
        </w:rPr>
      </w:pPr>
    </w:p>
    <w:p>
      <w:pPr>
        <w:ind w:left="180" w:right="20" w:hanging="172"/>
        <w:spacing w:after="0"/>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the impact of foreign exchange rate fluctuations and acquisitions/divestitures, thus providing a measure of change due to factors such as price, product mix and volume.</w:t>
      </w:r>
    </w:p>
    <w:p>
      <w:pPr>
        <w:spacing w:after="0" w:line="166" w:lineRule="exact"/>
        <w:rPr>
          <w:rFonts w:ascii="Times New Roman" w:cs="Times New Roman" w:eastAsia="Times New Roman" w:hAnsi="Times New Roman"/>
          <w:sz w:val="20"/>
          <w:szCs w:val="20"/>
          <w:color w:val="auto"/>
          <w:vertAlign w:val="superscript"/>
        </w:rPr>
      </w:pPr>
    </w:p>
    <w:p>
      <w:pPr>
        <w:jc w:val="both"/>
        <w:ind w:left="180" w:hanging="172"/>
        <w:spacing w:after="0" w:line="229" w:lineRule="auto"/>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incremental sales as a result of acquisitions of businesses for twelve months from the acquisition date. Excludes (i) acquisitions of former distribution partners as such transactions primarily represent a shift from a third-party distribution model to a direct sales model, and (ii) acquisitions of intellectual property as such transactions involve the purchase of technologies that have not been commercialized.</w:t>
      </w:r>
    </w:p>
    <w:p>
      <w:pPr>
        <w:spacing w:after="0" w:line="2" w:lineRule="exact"/>
        <w:rPr>
          <w:rFonts w:ascii="Times New Roman" w:cs="Times New Roman" w:eastAsia="Times New Roman" w:hAnsi="Times New Roman"/>
          <w:sz w:val="21"/>
          <w:szCs w:val="21"/>
          <w:color w:val="auto"/>
          <w:vertAlign w:val="superscript"/>
        </w:rPr>
      </w:pPr>
    </w:p>
    <w:p>
      <w:pPr>
        <w:ind w:left="180" w:hanging="172"/>
        <w:spacing w:after="0" w:line="197" w:lineRule="auto"/>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decrease in sales as a result of divestitures of businesses for twelve months from the divestiture date.</w:t>
      </w:r>
    </w:p>
    <w:p>
      <w:pPr>
        <w:ind w:left="160" w:hanging="152"/>
        <w:spacing w:after="0" w:line="211"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difference between prior year sales valued at the actual prior year foreign exchange rates and prior year sales valued at current year foreign exchange rates.</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2026-05-07T05:24:18Z</dcterms:created>
  <dcterms:modified xsi:type="dcterms:W3CDTF">2026-05-07T05:24:18Z</dcterms:modified>
</cp:coreProperties>
</file>