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4"/>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311785</wp:posOffset>
            </wp:positionV>
            <wp:extent cx="699516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4318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372110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jc w:val="center"/>
        <w:ind w:right="-984"/>
        <w:spacing w:after="0" w:line="213"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ind w:left="4284"/>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2623185</wp:posOffset>
            </wp:positionH>
            <wp:positionV relativeFrom="paragraph">
              <wp:posOffset>100965</wp:posOffset>
            </wp:positionV>
            <wp:extent cx="17487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97" w:lineRule="exact"/>
        <w:rPr>
          <w:sz w:val="24"/>
          <w:szCs w:val="24"/>
          <w:color w:val="auto"/>
        </w:rPr>
      </w:pPr>
    </w:p>
    <w:p>
      <w:pPr>
        <w:jc w:val="center"/>
        <w:ind w:right="-984"/>
        <w:spacing w:after="0"/>
        <w:rPr>
          <w:sz w:val="20"/>
          <w:szCs w:val="20"/>
          <w:color w:val="auto"/>
        </w:rPr>
      </w:pPr>
      <w:r>
        <w:rPr>
          <w:rFonts w:ascii="Arial" w:cs="Arial" w:eastAsia="Arial" w:hAnsi="Arial"/>
          <w:sz w:val="32"/>
          <w:szCs w:val="32"/>
          <w:b w:val="1"/>
          <w:bCs w:val="1"/>
          <w:color w:val="auto"/>
        </w:rPr>
        <w:t>SCHEDULE 14A</w:t>
      </w:r>
    </w:p>
    <w:p>
      <w:pPr>
        <w:spacing w:after="0" w:line="118" w:lineRule="exact"/>
        <w:rPr>
          <w:sz w:val="24"/>
          <w:szCs w:val="24"/>
          <w:color w:val="auto"/>
        </w:rPr>
      </w:pPr>
    </w:p>
    <w:p>
      <w:pPr>
        <w:jc w:val="center"/>
        <w:ind w:right="-984"/>
        <w:spacing w:after="0"/>
        <w:rPr>
          <w:sz w:val="20"/>
          <w:szCs w:val="20"/>
          <w:color w:val="auto"/>
        </w:rPr>
      </w:pPr>
      <w:r>
        <w:rPr>
          <w:rFonts w:ascii="Arial" w:cs="Arial" w:eastAsia="Arial" w:hAnsi="Arial"/>
          <w:sz w:val="22"/>
          <w:szCs w:val="22"/>
          <w:b w:val="1"/>
          <w:bCs w:val="1"/>
          <w:color w:val="auto"/>
        </w:rPr>
        <w:t>Proxy Statement Pursuant to Section 14(a) of the</w:t>
      </w:r>
    </w:p>
    <w:p>
      <w:pPr>
        <w:jc w:val="center"/>
        <w:ind w:right="-984"/>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2623185</wp:posOffset>
            </wp:positionH>
            <wp:positionV relativeFrom="paragraph">
              <wp:posOffset>100965</wp:posOffset>
            </wp:positionV>
            <wp:extent cx="17487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82"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44"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58" w:lineRule="exact"/>
        <w:rPr>
          <w:sz w:val="24"/>
          <w:szCs w:val="24"/>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11"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212" w:lineRule="exact"/>
        <w:rPr>
          <w:sz w:val="24"/>
          <w:szCs w:val="24"/>
          <w:color w:val="auto"/>
        </w:rPr>
      </w:pPr>
    </w:p>
    <w:p>
      <w:pPr>
        <w:ind w:left="444" w:hanging="444"/>
        <w:spacing w:after="0"/>
        <w:tabs>
          <w:tab w:leader="none" w:pos="4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12" w:lineRule="exact"/>
        <w:rPr>
          <w:sz w:val="24"/>
          <w:szCs w:val="24"/>
          <w:color w:val="auto"/>
        </w:rPr>
      </w:pPr>
    </w:p>
    <w:p>
      <w:pPr>
        <w:ind w:left="444" w:hanging="444"/>
        <w:spacing w:after="0"/>
        <w:tabs>
          <w:tab w:leader="none" w:pos="4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11" w:lineRule="exact"/>
        <w:rPr>
          <w:rFonts w:ascii="MS PGothic" w:cs="MS PGothic" w:eastAsia="MS PGothic" w:hAnsi="MS PGothic"/>
          <w:sz w:val="18"/>
          <w:szCs w:val="18"/>
          <w:color w:val="auto"/>
        </w:rPr>
      </w:pPr>
    </w:p>
    <w:p>
      <w:pPr>
        <w:ind w:left="444" w:hanging="444"/>
        <w:spacing w:after="0"/>
        <w:tabs>
          <w:tab w:leader="none" w:pos="4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240.14a-12</w:t>
      </w:r>
    </w:p>
    <w:p>
      <w:pPr>
        <w:spacing w:after="0" w:line="94" w:lineRule="exact"/>
        <w:rPr>
          <w:sz w:val="24"/>
          <w:szCs w:val="24"/>
          <w:color w:val="auto"/>
        </w:rPr>
      </w:pPr>
    </w:p>
    <w:p>
      <w:pPr>
        <w:jc w:val="center"/>
        <w:ind w:right="-984"/>
        <w:spacing w:after="0"/>
        <w:rPr>
          <w:sz w:val="20"/>
          <w:szCs w:val="20"/>
          <w:color w:val="auto"/>
        </w:rPr>
      </w:pPr>
      <w:r>
        <w:rPr>
          <w:rFonts w:ascii="Arial" w:cs="Arial" w:eastAsia="Arial" w:hAnsi="Arial"/>
          <w:sz w:val="40"/>
          <w:szCs w:val="40"/>
          <w:b w:val="1"/>
          <w:bCs w:val="1"/>
          <w:color w:val="auto"/>
        </w:rPr>
        <w:t>ENOVIS CORPORATION</w:t>
      </w:r>
    </w:p>
    <w:p>
      <w:pPr>
        <w:jc w:val="center"/>
        <w:ind w:right="-984"/>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49" w:lineRule="exact"/>
        <w:rPr>
          <w:sz w:val="24"/>
          <w:szCs w:val="24"/>
          <w:color w:val="auto"/>
        </w:rPr>
      </w:pPr>
    </w:p>
    <w:p>
      <w:pPr>
        <w:ind w:left="3064"/>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13"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158" w:lineRule="exact"/>
        <w:rPr>
          <w:sz w:val="24"/>
          <w:szCs w:val="24"/>
          <w:color w:val="auto"/>
        </w:rPr>
      </w:pPr>
    </w:p>
    <w:p>
      <w:pPr>
        <w:ind w:left="444" w:hanging="444"/>
        <w:spacing w:after="0"/>
        <w:tabs>
          <w:tab w:leader="none" w:pos="44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12" w:lineRule="exact"/>
        <w:rPr>
          <w:sz w:val="24"/>
          <w:szCs w:val="24"/>
          <w:color w:val="auto"/>
        </w:rPr>
      </w:pPr>
    </w:p>
    <w:p>
      <w:pPr>
        <w:ind w:left="444" w:hanging="444"/>
        <w:spacing w:after="0"/>
        <w:tabs>
          <w:tab w:leader="none" w:pos="44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44" w:hanging="444"/>
        <w:spacing w:after="0"/>
        <w:tabs>
          <w:tab w:leader="none" w:pos="44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137795</wp:posOffset>
            </wp:positionV>
            <wp:extent cx="699516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437515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3"/>
          </w:cols>
          <w:pgMar w:left="436" w:top="774"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2128520</wp:posOffset>
            </wp:positionH>
            <wp:positionV relativeFrom="page">
              <wp:posOffset>2600325</wp:posOffset>
            </wp:positionV>
            <wp:extent cx="3291840" cy="7969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329184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45"/>
          <w:szCs w:val="45"/>
          <w:b w:val="1"/>
          <w:bCs w:val="1"/>
          <w:color w:val="EB0029"/>
        </w:rPr>
        <w:t>Proxy Statement</w:t>
      </w:r>
    </w:p>
    <w:p>
      <w:pPr>
        <w:jc w:val="center"/>
        <w:ind w:right="19"/>
        <w:spacing w:after="0" w:line="206" w:lineRule="auto"/>
        <w:rPr>
          <w:sz w:val="20"/>
          <w:szCs w:val="20"/>
          <w:color w:val="auto"/>
        </w:rPr>
      </w:pPr>
      <w:r>
        <w:rPr>
          <w:rFonts w:ascii="Arial" w:cs="Arial" w:eastAsia="Arial" w:hAnsi="Arial"/>
          <w:sz w:val="45"/>
          <w:szCs w:val="45"/>
          <w:b w:val="1"/>
          <w:bCs w:val="1"/>
          <w:color w:val="EB0029"/>
        </w:rPr>
        <w:t>and</w:t>
      </w:r>
    </w:p>
    <w:p>
      <w:pPr>
        <w:jc w:val="center"/>
        <w:ind w:right="19"/>
        <w:spacing w:after="0" w:line="216" w:lineRule="auto"/>
        <w:rPr>
          <w:sz w:val="20"/>
          <w:szCs w:val="20"/>
          <w:color w:val="auto"/>
        </w:rPr>
      </w:pPr>
      <w:r>
        <w:rPr>
          <w:rFonts w:ascii="Arial" w:cs="Arial" w:eastAsia="Arial" w:hAnsi="Arial"/>
          <w:sz w:val="45"/>
          <w:szCs w:val="45"/>
          <w:b w:val="1"/>
          <w:bCs w:val="1"/>
          <w:color w:val="EB0029"/>
        </w:rPr>
        <w:t>Notice of Annual Meeting</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32"/>
          <w:szCs w:val="32"/>
          <w:color w:val="EB0029"/>
        </w:rPr>
        <w:t>May 19, 2026 at 12:00 p.m. Eastern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2292985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jc w:val="right"/>
        <w:ind w:right="400"/>
        <w:spacing w:after="0"/>
        <w:rPr>
          <w:sz w:val="20"/>
          <w:szCs w:val="20"/>
          <w:color w:val="auto"/>
        </w:rPr>
      </w:pPr>
      <w:r>
        <w:rPr>
          <w:rFonts w:ascii="Arial" w:cs="Arial" w:eastAsia="Arial" w:hAnsi="Arial"/>
          <w:sz w:val="66"/>
          <w:szCs w:val="66"/>
          <w:color w:val="auto"/>
        </w:rPr>
        <w:drawing>
          <wp:anchor simplePos="0" relativeHeight="251657728" behindDoc="1" locked="0" layoutInCell="0" allowOverlap="1">
            <wp:simplePos x="0" y="0"/>
            <wp:positionH relativeFrom="page">
              <wp:posOffset>276860</wp:posOffset>
            </wp:positionH>
            <wp:positionV relativeFrom="page">
              <wp:posOffset>422910</wp:posOffset>
            </wp:positionV>
            <wp:extent cx="1028700" cy="2489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028700" cy="248920"/>
                    </a:xfrm>
                    <a:prstGeom prst="rect">
                      <a:avLst/>
                    </a:prstGeom>
                    <a:noFill/>
                  </pic:spPr>
                </pic:pic>
              </a:graphicData>
            </a:graphic>
          </wp:anchor>
        </w:drawing>
        <w:t>Notice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6823710</wp:posOffset>
            </wp:positionH>
            <wp:positionV relativeFrom="paragraph">
              <wp:posOffset>-400685</wp:posOffset>
            </wp:positionV>
            <wp:extent cx="171450" cy="11226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 cy="1122680"/>
                    </a:xfrm>
                    <a:prstGeom prst="rect">
                      <a:avLst/>
                    </a:prstGeom>
                    <a:noFill/>
                  </pic:spPr>
                </pic:pic>
              </a:graphicData>
            </a:graphic>
          </wp:anchor>
        </w:drawing>
      </w:r>
    </w:p>
    <w:p>
      <w:pPr>
        <w:jc w:val="right"/>
        <w:ind w:right="360"/>
        <w:spacing w:after="0" w:line="206" w:lineRule="auto"/>
        <w:rPr>
          <w:sz w:val="20"/>
          <w:szCs w:val="20"/>
          <w:color w:val="auto"/>
        </w:rPr>
      </w:pPr>
      <w:r>
        <w:rPr>
          <w:rFonts w:ascii="Arial" w:cs="Arial" w:eastAsia="Arial" w:hAnsi="Arial"/>
          <w:sz w:val="45"/>
          <w:szCs w:val="45"/>
          <w:b w:val="1"/>
          <w:bCs w:val="1"/>
          <w:color w:val="auto"/>
        </w:rPr>
        <w:t>Annual Meeting</w:t>
      </w:r>
    </w:p>
    <w:p>
      <w:pPr>
        <w:spacing w:after="0" w:line="1" w:lineRule="exact"/>
        <w:rPr>
          <w:sz w:val="20"/>
          <w:szCs w:val="20"/>
          <w:color w:val="auto"/>
        </w:rPr>
      </w:pPr>
    </w:p>
    <w:p>
      <w:pPr>
        <w:jc w:val="right"/>
        <w:ind w:right="360"/>
        <w:spacing w:after="0"/>
        <w:rPr>
          <w:sz w:val="20"/>
          <w:szCs w:val="20"/>
          <w:color w:val="auto"/>
        </w:rPr>
      </w:pPr>
      <w:r>
        <w:rPr>
          <w:rFonts w:ascii="Arial" w:cs="Arial" w:eastAsia="Arial" w:hAnsi="Arial"/>
          <w:sz w:val="45"/>
          <w:szCs w:val="45"/>
          <w:b w:val="1"/>
          <w:bCs w:val="1"/>
          <w:color w:val="auto"/>
        </w:rPr>
        <w:t>of Stockholders</w:t>
      </w:r>
    </w:p>
    <w:p>
      <w:pPr>
        <w:spacing w:after="0" w:line="267" w:lineRule="exact"/>
        <w:rPr>
          <w:sz w:val="20"/>
          <w:szCs w:val="20"/>
          <w:color w:val="auto"/>
        </w:rPr>
      </w:pPr>
    </w:p>
    <w:p>
      <w:pPr>
        <w:ind w:left="4"/>
        <w:spacing w:after="0"/>
        <w:rPr>
          <w:sz w:val="20"/>
          <w:szCs w:val="20"/>
          <w:color w:val="auto"/>
        </w:rPr>
      </w:pPr>
      <w:r>
        <w:rPr>
          <w:rFonts w:ascii="Arial" w:cs="Arial" w:eastAsia="Arial" w:hAnsi="Arial"/>
          <w:sz w:val="34"/>
          <w:szCs w:val="34"/>
          <w:color w:val="C8102E"/>
        </w:rPr>
        <w:t>Tuesday, May 19, 2026</w:t>
      </w:r>
    </w:p>
    <w:p>
      <w:pPr>
        <w:ind w:left="4"/>
        <w:spacing w:after="0" w:line="206" w:lineRule="auto"/>
        <w:rPr>
          <w:sz w:val="20"/>
          <w:szCs w:val="20"/>
          <w:color w:val="auto"/>
        </w:rPr>
      </w:pPr>
      <w:r>
        <w:rPr>
          <w:rFonts w:ascii="Arial" w:cs="Arial" w:eastAsia="Arial" w:hAnsi="Arial"/>
          <w:sz w:val="27"/>
          <w:szCs w:val="27"/>
          <w:b w:val="1"/>
          <w:bCs w:val="1"/>
          <w:color w:val="auto"/>
        </w:rPr>
        <w:t>12:00 p.m. Eastern Time</w:t>
      </w:r>
    </w:p>
    <w:p>
      <w:pPr>
        <w:ind w:left="4"/>
        <w:spacing w:after="0" w:line="212" w:lineRule="auto"/>
        <w:rPr>
          <w:sz w:val="20"/>
          <w:szCs w:val="20"/>
          <w:color w:val="auto"/>
        </w:rPr>
      </w:pPr>
      <w:r>
        <w:rPr>
          <w:rFonts w:ascii="Arial" w:cs="Arial" w:eastAsia="Arial" w:hAnsi="Arial"/>
          <w:sz w:val="20"/>
          <w:szCs w:val="20"/>
          <w:i w:val="1"/>
          <w:iCs w:val="1"/>
          <w:color w:val="auto"/>
        </w:rPr>
        <w:t>Via live webcast at</w:t>
      </w:r>
    </w:p>
    <w:p>
      <w:pPr>
        <w:spacing w:after="0" w:line="1" w:lineRule="exact"/>
        <w:rPr>
          <w:sz w:val="20"/>
          <w:szCs w:val="20"/>
          <w:color w:val="auto"/>
        </w:rPr>
      </w:pPr>
    </w:p>
    <w:p>
      <w:pPr>
        <w:ind w:left="4"/>
        <w:spacing w:after="0"/>
        <w:rPr>
          <w:sz w:val="20"/>
          <w:szCs w:val="20"/>
          <w:color w:val="auto"/>
        </w:rPr>
      </w:pPr>
      <w:r>
        <w:rPr>
          <w:rFonts w:ascii="Arial" w:cs="Arial" w:eastAsia="Arial" w:hAnsi="Arial"/>
          <w:sz w:val="20"/>
          <w:szCs w:val="20"/>
          <w:i w:val="1"/>
          <w:iCs w:val="1"/>
          <w:color w:val="auto"/>
        </w:rPr>
        <w:t>www.virtualshareholdermeeting.com/ENOV2026</w:t>
      </w:r>
    </w:p>
    <w:p>
      <w:pPr>
        <w:spacing w:after="0" w:line="111" w:lineRule="exact"/>
        <w:rPr>
          <w:sz w:val="20"/>
          <w:szCs w:val="20"/>
          <w:color w:val="auto"/>
        </w:rPr>
      </w:pPr>
    </w:p>
    <w:p>
      <w:pPr>
        <w:ind w:left="4"/>
        <w:spacing w:after="0"/>
        <w:rPr>
          <w:sz w:val="20"/>
          <w:szCs w:val="20"/>
          <w:color w:val="auto"/>
        </w:rPr>
      </w:pPr>
      <w:r>
        <w:rPr>
          <w:rFonts w:ascii="Arial" w:cs="Arial" w:eastAsia="Arial" w:hAnsi="Arial"/>
          <w:sz w:val="16"/>
          <w:szCs w:val="16"/>
          <w:color w:val="auto"/>
        </w:rPr>
        <w:t>To Our Stockholders:</w:t>
      </w:r>
    </w:p>
    <w:p>
      <w:pPr>
        <w:spacing w:after="0" w:line="127" w:lineRule="exact"/>
        <w:rPr>
          <w:sz w:val="20"/>
          <w:szCs w:val="20"/>
          <w:color w:val="auto"/>
        </w:rPr>
      </w:pPr>
    </w:p>
    <w:p>
      <w:pPr>
        <w:jc w:val="both"/>
        <w:ind w:left="4" w:right="20"/>
        <w:spacing w:after="0" w:line="237" w:lineRule="auto"/>
        <w:rPr>
          <w:sz w:val="20"/>
          <w:szCs w:val="20"/>
          <w:color w:val="auto"/>
        </w:rPr>
      </w:pPr>
      <w:r>
        <w:rPr>
          <w:rFonts w:ascii="Arial" w:cs="Arial" w:eastAsia="Arial" w:hAnsi="Arial"/>
          <w:sz w:val="16"/>
          <w:szCs w:val="16"/>
          <w:b w:val="1"/>
          <w:bCs w:val="1"/>
          <w:color w:val="auto"/>
        </w:rPr>
        <w:t>Notice is hereby given that the 2026 Annual Meeting of Stockholders (the “Annual Meeting”) of Enovis Corporation (“Enovis”) will be held via live webcast at www.virtualshareholdermeeting.com/ENOV2026 on Tuesday, May 19, 2026 at 12:00 p.m. Eastern Time, for the following purposes:</w:t>
      </w:r>
    </w:p>
    <w:p>
      <w:pPr>
        <w:spacing w:after="0" w:line="89" w:lineRule="exact"/>
        <w:rPr>
          <w:sz w:val="20"/>
          <w:szCs w:val="20"/>
          <w:color w:val="auto"/>
        </w:rPr>
      </w:pPr>
    </w:p>
    <w:p>
      <w:pPr>
        <w:ind w:left="444" w:hanging="444"/>
        <w:spacing w:after="0"/>
        <w:tabs>
          <w:tab w:leader="none" w:pos="444" w:val="left"/>
        </w:tabs>
        <w:numPr>
          <w:ilvl w:val="0"/>
          <w:numId w:val="6"/>
        </w:numPr>
        <w:rPr>
          <w:rFonts w:ascii="Arial" w:cs="Arial" w:eastAsia="Arial" w:hAnsi="Arial"/>
          <w:sz w:val="16"/>
          <w:szCs w:val="16"/>
          <w:color w:val="C8102E"/>
        </w:rPr>
      </w:pPr>
      <w:r>
        <w:rPr>
          <w:rFonts w:ascii="Arial" w:cs="Arial" w:eastAsia="Arial" w:hAnsi="Arial"/>
          <w:sz w:val="16"/>
          <w:szCs w:val="16"/>
          <w:color w:val="auto"/>
        </w:rPr>
        <w:t>To elect the ten members of the Board of Directors named in the attached proxy statement;</w:t>
      </w:r>
    </w:p>
    <w:p>
      <w:pPr>
        <w:spacing w:after="0" w:line="113" w:lineRule="exact"/>
        <w:rPr>
          <w:rFonts w:ascii="Arial" w:cs="Arial" w:eastAsia="Arial" w:hAnsi="Arial"/>
          <w:sz w:val="16"/>
          <w:szCs w:val="16"/>
          <w:color w:val="C8102E"/>
        </w:rPr>
      </w:pPr>
    </w:p>
    <w:p>
      <w:pPr>
        <w:ind w:left="444" w:hanging="444"/>
        <w:spacing w:after="0"/>
        <w:tabs>
          <w:tab w:leader="none" w:pos="444" w:val="left"/>
        </w:tabs>
        <w:numPr>
          <w:ilvl w:val="0"/>
          <w:numId w:val="6"/>
        </w:numPr>
        <w:rPr>
          <w:rFonts w:ascii="Arial" w:cs="Arial" w:eastAsia="Arial" w:hAnsi="Arial"/>
          <w:sz w:val="16"/>
          <w:szCs w:val="16"/>
          <w:color w:val="C8102E"/>
        </w:rPr>
      </w:pPr>
      <w:r>
        <w:rPr>
          <w:rFonts w:ascii="Arial" w:cs="Arial" w:eastAsia="Arial" w:hAnsi="Arial"/>
          <w:sz w:val="16"/>
          <w:szCs w:val="16"/>
          <w:color w:val="auto"/>
        </w:rPr>
        <w:t>To ratify the appointment of Ernst &amp; Young LLP as our independent registered public accounting firm for the fiscal year ending December 31, 2026;</w:t>
      </w:r>
    </w:p>
    <w:p>
      <w:pPr>
        <w:spacing w:after="0" w:line="99" w:lineRule="exact"/>
        <w:rPr>
          <w:rFonts w:ascii="Arial" w:cs="Arial" w:eastAsia="Arial" w:hAnsi="Arial"/>
          <w:sz w:val="16"/>
          <w:szCs w:val="16"/>
          <w:color w:val="C8102E"/>
        </w:rPr>
      </w:pPr>
    </w:p>
    <w:p>
      <w:pPr>
        <w:ind w:left="444" w:hanging="444"/>
        <w:spacing w:after="0"/>
        <w:tabs>
          <w:tab w:leader="none" w:pos="444" w:val="left"/>
        </w:tabs>
        <w:numPr>
          <w:ilvl w:val="0"/>
          <w:numId w:val="6"/>
        </w:numPr>
        <w:rPr>
          <w:rFonts w:ascii="Arial" w:cs="Arial" w:eastAsia="Arial" w:hAnsi="Arial"/>
          <w:sz w:val="16"/>
          <w:szCs w:val="16"/>
          <w:color w:val="C8102E"/>
        </w:rPr>
      </w:pPr>
      <w:r>
        <w:rPr>
          <w:rFonts w:ascii="Arial" w:cs="Arial" w:eastAsia="Arial" w:hAnsi="Arial"/>
          <w:sz w:val="16"/>
          <w:szCs w:val="16"/>
          <w:color w:val="auto"/>
        </w:rPr>
        <w:t>To approve the compensation of our named executive officers on an advisory basis (“say-on-pay”);</w:t>
      </w:r>
    </w:p>
    <w:p>
      <w:pPr>
        <w:spacing w:after="0" w:line="207" w:lineRule="exact"/>
        <w:rPr>
          <w:rFonts w:ascii="Arial" w:cs="Arial" w:eastAsia="Arial" w:hAnsi="Arial"/>
          <w:sz w:val="16"/>
          <w:szCs w:val="16"/>
          <w:color w:val="C8102E"/>
        </w:rPr>
      </w:pPr>
    </w:p>
    <w:p>
      <w:pPr>
        <w:ind w:left="444" w:hanging="444"/>
        <w:spacing w:after="0"/>
        <w:tabs>
          <w:tab w:leader="none" w:pos="444" w:val="left"/>
        </w:tabs>
        <w:numPr>
          <w:ilvl w:val="0"/>
          <w:numId w:val="6"/>
        </w:numPr>
        <w:rPr>
          <w:rFonts w:ascii="Arial" w:cs="Arial" w:eastAsia="Arial" w:hAnsi="Arial"/>
          <w:sz w:val="16"/>
          <w:szCs w:val="16"/>
          <w:color w:val="C8102E"/>
        </w:rPr>
      </w:pPr>
      <w:r>
        <w:rPr>
          <w:rFonts w:ascii="Arial" w:cs="Arial" w:eastAsia="Arial" w:hAnsi="Arial"/>
          <w:sz w:val="16"/>
          <w:szCs w:val="16"/>
          <w:color w:val="212529"/>
        </w:rPr>
        <w:t>To approve an amendment to the Enovis Corporation 2020 Omnibus Incentive Plan; and</w:t>
      </w:r>
    </w:p>
    <w:p>
      <w:pPr>
        <w:spacing w:after="0" w:line="153" w:lineRule="exact"/>
        <w:rPr>
          <w:rFonts w:ascii="Arial" w:cs="Arial" w:eastAsia="Arial" w:hAnsi="Arial"/>
          <w:sz w:val="16"/>
          <w:szCs w:val="16"/>
          <w:color w:val="C8102E"/>
        </w:rPr>
      </w:pPr>
    </w:p>
    <w:p>
      <w:pPr>
        <w:ind w:left="444" w:hanging="444"/>
        <w:spacing w:after="0"/>
        <w:tabs>
          <w:tab w:leader="none" w:pos="444" w:val="left"/>
        </w:tabs>
        <w:numPr>
          <w:ilvl w:val="0"/>
          <w:numId w:val="6"/>
        </w:numPr>
        <w:rPr>
          <w:rFonts w:ascii="Arial" w:cs="Arial" w:eastAsia="Arial" w:hAnsi="Arial"/>
          <w:sz w:val="16"/>
          <w:szCs w:val="16"/>
          <w:color w:val="C8102E"/>
        </w:rPr>
      </w:pPr>
      <w:r>
        <w:rPr>
          <w:rFonts w:ascii="Arial" w:cs="Arial" w:eastAsia="Arial" w:hAnsi="Arial"/>
          <w:sz w:val="16"/>
          <w:szCs w:val="16"/>
          <w:color w:val="auto"/>
        </w:rPr>
        <w:t>To consider any other matters that properly come before the Annual Meeting or any adjournment or postponement thereof.</w:t>
      </w:r>
    </w:p>
    <w:p>
      <w:pPr>
        <w:spacing w:after="0" w:line="127" w:lineRule="exact"/>
        <w:rPr>
          <w:sz w:val="20"/>
          <w:szCs w:val="20"/>
          <w:color w:val="auto"/>
        </w:rPr>
      </w:pPr>
    </w:p>
    <w:p>
      <w:pPr>
        <w:jc w:val="both"/>
        <w:ind w:left="4" w:right="20"/>
        <w:spacing w:after="0" w:line="251" w:lineRule="auto"/>
        <w:rPr>
          <w:sz w:val="20"/>
          <w:szCs w:val="20"/>
          <w:color w:val="auto"/>
        </w:rPr>
      </w:pPr>
      <w:r>
        <w:rPr>
          <w:rFonts w:ascii="Arial" w:cs="Arial" w:eastAsia="Arial" w:hAnsi="Arial"/>
          <w:sz w:val="16"/>
          <w:szCs w:val="16"/>
          <w:color w:val="auto"/>
        </w:rPr>
        <w:t>The accompanying proxy statement describes the matters to be considered at the Annual Meeting. Only stockholders of record at the close of business on March 30, 2026 are entitled to notice of, and to vote at, the Annual Meeting and at any adjournments or postponements thereof.</w:t>
      </w:r>
    </w:p>
    <w:p>
      <w:pPr>
        <w:spacing w:after="0" w:line="101" w:lineRule="exact"/>
        <w:rPr>
          <w:sz w:val="20"/>
          <w:szCs w:val="20"/>
          <w:color w:val="auto"/>
        </w:rPr>
      </w:pPr>
    </w:p>
    <w:p>
      <w:pPr>
        <w:jc w:val="both"/>
        <w:ind w:left="4" w:right="20"/>
        <w:spacing w:after="0" w:line="234" w:lineRule="auto"/>
        <w:rPr>
          <w:sz w:val="20"/>
          <w:szCs w:val="20"/>
          <w:color w:val="auto"/>
        </w:rPr>
      </w:pPr>
      <w:r>
        <w:rPr>
          <w:rFonts w:ascii="Arial" w:cs="Arial" w:eastAsia="Arial" w:hAnsi="Arial"/>
          <w:sz w:val="16"/>
          <w:szCs w:val="16"/>
          <w:color w:val="auto"/>
        </w:rPr>
        <w:t>We are pleased to take advantage of the Securities and Exchange Commission rules that allow us to furnish our proxy materials and our annual report to stockholders on the Internet. We believe that posting these materials on the Internet enables us to provide our stockholders with the information that they need more quickly while lowering our costs of printing and delivery and reducing the environmental impact of our Annual Meeting.</w:t>
      </w:r>
    </w:p>
    <w:p>
      <w:pPr>
        <w:spacing w:after="0" w:line="96" w:lineRule="exact"/>
        <w:rPr>
          <w:sz w:val="20"/>
          <w:szCs w:val="20"/>
          <w:color w:val="auto"/>
        </w:rPr>
      </w:pPr>
    </w:p>
    <w:p>
      <w:pPr>
        <w:jc w:val="both"/>
        <w:ind w:left="4" w:right="20"/>
        <w:spacing w:after="0"/>
        <w:rPr>
          <w:sz w:val="20"/>
          <w:szCs w:val="20"/>
          <w:color w:val="auto"/>
        </w:rPr>
      </w:pPr>
      <w:r>
        <w:rPr>
          <w:rFonts w:ascii="Arial" w:cs="Arial" w:eastAsia="Arial" w:hAnsi="Arial"/>
          <w:sz w:val="16"/>
          <w:szCs w:val="16"/>
          <w:color w:val="auto"/>
        </w:rPr>
        <w:t>We are holding the Annual Meeting in a virtual-only format this year. We believe that this is the right choice for Enovis and its stockholders, as allowing stockholders to participate from any location provides expanded stockholder access, improves stockholder convenience, improves communications, and alleviates the environmental impact of traveling to an in-person meeting. To attend, participate in, and vote during the Annual Meeting, stockholders of record must go to the meeting website at www.virtualshareholdermeeting.com/ENOV2026 and enter the control number found on their proxy card or Notice of Internet Availability of Proxy Materials (the “Notice”). If you are a beneficial stockholder who owns common stock in street name, meaning through a bank, broker or other nominee, and your voting instruction form or Notice indicates that you may vote those shares through the http://www.proxyvote.com website, then you may attend, participate in, and vote during the Annual Meeting using the 16-digit control number indicated on that voting instruction form or Notice. Otherwise, stockholders who hold their shares in street name should contact their bank, broker or other nominee (preferably at least five days before the Annual Meeting) and obtain a “legal proxy” in order to be able to attend, participate in or vote at the Annual Meeting.</w:t>
      </w:r>
    </w:p>
    <w:p>
      <w:pPr>
        <w:spacing w:after="0" w:line="113" w:lineRule="exact"/>
        <w:rPr>
          <w:sz w:val="20"/>
          <w:szCs w:val="20"/>
          <w:color w:val="auto"/>
        </w:rPr>
      </w:pPr>
    </w:p>
    <w:p>
      <w:pPr>
        <w:jc w:val="both"/>
        <w:ind w:left="4"/>
        <w:spacing w:after="0" w:line="251" w:lineRule="auto"/>
        <w:rPr>
          <w:sz w:val="20"/>
          <w:szCs w:val="20"/>
          <w:color w:val="auto"/>
        </w:rPr>
      </w:pPr>
      <w:r>
        <w:rPr>
          <w:rFonts w:ascii="Arial" w:cs="Arial" w:eastAsia="Arial" w:hAnsi="Arial"/>
          <w:sz w:val="16"/>
          <w:szCs w:val="16"/>
          <w:color w:val="auto"/>
        </w:rPr>
        <w:t>As a stockholder of Enovis, your vote is important. Whether or not you plan to attend the Annual Meeting virtually, we urge you to vote your shares at your earliest convenience and thank you for your continued support of Enovis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227330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1093" w:right="439" w:bottom="1440" w:gutter="0" w:footer="0" w:header="0"/>
        </w:sectPr>
      </w:pPr>
    </w:p>
    <w:bookmarkStart w:id="3" w:name="page4"/>
    <w:bookmarkEnd w:id="3"/>
    <w:p>
      <w:pPr>
        <w:ind w:left="8500"/>
        <w:spacing w:after="0"/>
        <w:rPr>
          <w:sz w:val="20"/>
          <w:szCs w:val="20"/>
          <w:color w:val="auto"/>
        </w:rPr>
      </w:pPr>
      <w:r>
        <w:rPr>
          <w:rFonts w:ascii="Arial" w:cs="Arial" w:eastAsia="Arial" w:hAnsi="Arial"/>
          <w:sz w:val="16"/>
          <w:szCs w:val="16"/>
          <w:b w:val="1"/>
          <w:bCs w:val="1"/>
          <w:color w:val="auto"/>
        </w:rPr>
        <w:t>Dated: April 6, 2026</w:t>
      </w:r>
    </w:p>
    <w:p>
      <w:pPr>
        <w:spacing w:after="0" w:line="134" w:lineRule="exact"/>
        <w:rPr>
          <w:sz w:val="20"/>
          <w:szCs w:val="20"/>
          <w:color w:val="auto"/>
        </w:rPr>
      </w:pPr>
    </w:p>
    <w:p>
      <w:pPr>
        <w:ind w:left="7560"/>
        <w:spacing w:after="0"/>
        <w:rPr>
          <w:sz w:val="20"/>
          <w:szCs w:val="20"/>
          <w:color w:val="auto"/>
        </w:rPr>
      </w:pPr>
      <w:r>
        <w:rPr>
          <w:rFonts w:ascii="Arial" w:cs="Arial" w:eastAsia="Arial" w:hAnsi="Arial"/>
          <w:sz w:val="16"/>
          <w:szCs w:val="16"/>
          <w:color w:val="auto"/>
        </w:rPr>
        <w:t>By Order of the Board of Directors</w:t>
      </w:r>
    </w:p>
    <w:p>
      <w:pPr>
        <w:jc w:val="right"/>
        <w:spacing w:after="0" w:line="211" w:lineRule="auto"/>
        <w:rPr>
          <w:sz w:val="20"/>
          <w:szCs w:val="20"/>
          <w:color w:val="auto"/>
        </w:rPr>
      </w:pPr>
      <w:r>
        <w:rPr>
          <w:rFonts w:ascii="Arial" w:cs="Arial" w:eastAsia="Arial" w:hAnsi="Arial"/>
          <w:sz w:val="16"/>
          <w:szCs w:val="16"/>
          <w:b w:val="1"/>
          <w:bCs w:val="1"/>
          <w:color w:val="auto"/>
        </w:rPr>
        <w:t>Brian P. Hanigan</w:t>
      </w:r>
    </w:p>
    <w:p>
      <w:pPr>
        <w:jc w:val="right"/>
        <w:spacing w:after="0"/>
        <w:rPr>
          <w:sz w:val="20"/>
          <w:szCs w:val="20"/>
          <w:color w:val="auto"/>
        </w:rPr>
      </w:pPr>
      <w:r>
        <w:rPr>
          <w:rFonts w:ascii="Arial" w:cs="Arial" w:eastAsia="Arial" w:hAnsi="Arial"/>
          <w:sz w:val="16"/>
          <w:szCs w:val="16"/>
          <w:i w:val="1"/>
          <w:iCs w:val="1"/>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748030</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0"/>
          </w:cols>
          <w:pgMar w:left="1440" w:top="625" w:right="439" w:bottom="1440" w:gutter="0" w:footer="0" w:header="0"/>
        </w:sectPr>
      </w:pPr>
    </w:p>
    <w:bookmarkStart w:id="4" w:name="page5"/>
    <w:bookmarkEnd w:id="4"/>
    <w:p>
      <w:pPr>
        <w:spacing w:after="0"/>
        <w:rPr>
          <w:sz w:val="20"/>
          <w:szCs w:val="20"/>
          <w:color w:val="auto"/>
        </w:rPr>
      </w:pPr>
      <w:r>
        <w:rPr>
          <w:rFonts w:ascii="Arial" w:cs="Arial" w:eastAsia="Arial" w:hAnsi="Arial"/>
          <w:sz w:val="32"/>
          <w:szCs w:val="32"/>
          <w:b w:val="1"/>
          <w:bCs w:val="1"/>
          <w:color w:val="auto"/>
        </w:rPr>
        <w:t>Table of Contents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840" w:type="dxa"/>
            <w:vAlign w:val="bottom"/>
            <w:gridSpan w:val="41"/>
          </w:tcPr>
          <w:p>
            <w:pPr>
              <w:spacing w:after="0"/>
              <w:rPr>
                <w:sz w:val="20"/>
                <w:szCs w:val="20"/>
                <w:color w:val="auto"/>
              </w:rPr>
            </w:pPr>
            <w:r>
              <w:rPr>
                <w:rFonts w:ascii="Arial" w:cs="Arial" w:eastAsia="Arial" w:hAnsi="Arial"/>
                <w:sz w:val="22"/>
                <w:szCs w:val="22"/>
                <w:b w:val="1"/>
                <w:bCs w:val="1"/>
                <w:color w:val="0000EE"/>
              </w:rPr>
              <w:t>PROXY SUMMARY</w:t>
            </w:r>
          </w:p>
        </w:tc>
        <w:tc>
          <w:tcPr>
            <w:tcW w:w="1180" w:type="dxa"/>
            <w:vAlign w:val="bottom"/>
          </w:tcPr>
          <w:p>
            <w:pPr>
              <w:jc w:val="right"/>
              <w:spacing w:after="0"/>
              <w:rPr>
                <w:sz w:val="20"/>
                <w:szCs w:val="20"/>
                <w:color w:val="auto"/>
              </w:rPr>
            </w:pPr>
            <w:r>
              <w:rPr>
                <w:rFonts w:ascii="Arial" w:cs="Arial" w:eastAsia="Arial" w:hAnsi="Arial"/>
                <w:sz w:val="22"/>
                <w:szCs w:val="22"/>
                <w:b w:val="1"/>
                <w:bCs w:val="1"/>
                <w:color w:val="C8102E"/>
              </w:rPr>
              <w:t>1</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60" w:type="dxa"/>
            <w:vAlign w:val="bottom"/>
          </w:tcPr>
          <w:p>
            <w:pPr>
              <w:spacing w:after="0"/>
              <w:rPr>
                <w:sz w:val="24"/>
                <w:szCs w:val="24"/>
                <w:color w:val="auto"/>
              </w:rPr>
            </w:pPr>
          </w:p>
        </w:tc>
        <w:tc>
          <w:tcPr>
            <w:tcW w:w="9480" w:type="dxa"/>
            <w:vAlign w:val="bottom"/>
            <w:gridSpan w:val="40"/>
          </w:tcPr>
          <w:p>
            <w:pPr>
              <w:spacing w:after="0"/>
              <w:rPr>
                <w:sz w:val="20"/>
                <w:szCs w:val="20"/>
                <w:color w:val="auto"/>
              </w:rPr>
            </w:pPr>
            <w:r>
              <w:rPr>
                <w:rFonts w:ascii="Arial" w:cs="Arial" w:eastAsia="Arial" w:hAnsi="Arial"/>
                <w:sz w:val="22"/>
                <w:szCs w:val="22"/>
                <w:color w:val="0000EE"/>
              </w:rPr>
              <w:t>Corporate Social Responsibility and Sustainability</w:t>
            </w:r>
          </w:p>
        </w:tc>
        <w:tc>
          <w:tcPr>
            <w:tcW w:w="1180" w:type="dxa"/>
            <w:vAlign w:val="bottom"/>
          </w:tcPr>
          <w:p>
            <w:pPr>
              <w:jc w:val="right"/>
              <w:spacing w:after="0"/>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760" w:type="dxa"/>
            <w:vAlign w:val="bottom"/>
            <w:tcBorders>
              <w:top w:val="single" w:sz="8" w:color="0000EE"/>
              <w:bottom w:val="single" w:sz="8" w:color="0000EE"/>
            </w:tcBorders>
            <w:gridSpan w:val="26"/>
          </w:tcPr>
          <w:p>
            <w:pPr>
              <w:spacing w:after="0" w:line="195" w:lineRule="exact"/>
              <w:rPr>
                <w:sz w:val="20"/>
                <w:szCs w:val="20"/>
                <w:color w:val="auto"/>
              </w:rPr>
            </w:pPr>
            <w:r>
              <w:rPr>
                <w:rFonts w:ascii="Arial" w:cs="Arial" w:eastAsia="Arial" w:hAnsi="Arial"/>
                <w:sz w:val="22"/>
                <w:szCs w:val="22"/>
                <w:color w:val="0000EE"/>
                <w:w w:val="92"/>
              </w:rPr>
              <w:t>Proxy Statement for Annual Meeting of Stockholders</w:t>
            </w:r>
          </w:p>
        </w:tc>
        <w:tc>
          <w:tcPr>
            <w:tcW w:w="200" w:type="dxa"/>
            <w:vAlign w:val="bottom"/>
            <w:tcBorders>
              <w:bottom w:val="single" w:sz="8" w:color="0000EE"/>
            </w:tcBorders>
          </w:tcPr>
          <w:p>
            <w:pPr>
              <w:spacing w:after="0"/>
              <w:rPr>
                <w:sz w:val="17"/>
                <w:szCs w:val="17"/>
                <w:color w:val="auto"/>
              </w:rPr>
            </w:pPr>
          </w:p>
        </w:tc>
        <w:tc>
          <w:tcPr>
            <w:tcW w:w="60" w:type="dxa"/>
            <w:vAlign w:val="bottom"/>
            <w:tcBorders>
              <w:bottom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80" w:type="dxa"/>
            <w:vAlign w:val="bottom"/>
          </w:tcPr>
          <w:p>
            <w:pPr>
              <w:jc w:val="right"/>
              <w:spacing w:after="0" w:line="195" w:lineRule="exact"/>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439"/>
        </w:trPr>
        <w:tc>
          <w:tcPr>
            <w:tcW w:w="9840" w:type="dxa"/>
            <w:vAlign w:val="bottom"/>
            <w:gridSpan w:val="41"/>
          </w:tcPr>
          <w:p>
            <w:pPr>
              <w:spacing w:after="0"/>
              <w:rPr>
                <w:sz w:val="20"/>
                <w:szCs w:val="20"/>
                <w:color w:val="auto"/>
              </w:rPr>
            </w:pPr>
            <w:r>
              <w:rPr>
                <w:rFonts w:ascii="Arial" w:cs="Arial" w:eastAsia="Arial" w:hAnsi="Arial"/>
                <w:sz w:val="22"/>
                <w:szCs w:val="22"/>
                <w:b w:val="1"/>
                <w:bCs w:val="1"/>
                <w:color w:val="0000EE"/>
              </w:rPr>
              <w:t>PROPOSAL 1 ELECTION OF DIRECTORS</w:t>
            </w:r>
          </w:p>
        </w:tc>
        <w:tc>
          <w:tcPr>
            <w:tcW w:w="1180" w:type="dxa"/>
            <w:vAlign w:val="bottom"/>
          </w:tcPr>
          <w:p>
            <w:pPr>
              <w:jc w:val="right"/>
              <w:spacing w:after="0"/>
              <w:rPr>
                <w:sz w:val="20"/>
                <w:szCs w:val="20"/>
                <w:color w:val="auto"/>
              </w:rPr>
            </w:pPr>
            <w:r>
              <w:rPr>
                <w:rFonts w:ascii="Arial" w:cs="Arial" w:eastAsia="Arial" w:hAnsi="Arial"/>
                <w:sz w:val="22"/>
                <w:szCs w:val="22"/>
                <w:b w:val="1"/>
                <w:bCs w:val="1"/>
                <w:color w:val="C8102E"/>
              </w:rPr>
              <w:t>9</w:t>
            </w:r>
          </w:p>
        </w:tc>
        <w:tc>
          <w:tcPr>
            <w:tcW w:w="0" w:type="dxa"/>
            <w:vAlign w:val="bottom"/>
          </w:tcPr>
          <w:p>
            <w:pPr>
              <w:spacing w:after="0"/>
              <w:rPr>
                <w:sz w:val="1"/>
                <w:szCs w:val="1"/>
                <w:color w:val="auto"/>
              </w:rPr>
            </w:pPr>
          </w:p>
        </w:tc>
      </w:tr>
      <w:tr>
        <w:trPr>
          <w:trHeight w:val="439"/>
        </w:trPr>
        <w:tc>
          <w:tcPr>
            <w:tcW w:w="360" w:type="dxa"/>
            <w:vAlign w:val="bottom"/>
            <w:tcBorders>
              <w:top w:val="single" w:sz="8" w:color="0000EE"/>
            </w:tcBorders>
          </w:tcPr>
          <w:p>
            <w:pPr>
              <w:spacing w:after="0"/>
              <w:rPr>
                <w:sz w:val="24"/>
                <w:szCs w:val="24"/>
                <w:color w:val="auto"/>
              </w:rPr>
            </w:pPr>
          </w:p>
        </w:tc>
        <w:tc>
          <w:tcPr>
            <w:tcW w:w="3860" w:type="dxa"/>
            <w:vAlign w:val="bottom"/>
            <w:tcBorders>
              <w:top w:val="single" w:sz="8" w:color="0000EE"/>
            </w:tcBorders>
            <w:gridSpan w:val="24"/>
          </w:tcPr>
          <w:p>
            <w:pPr>
              <w:spacing w:after="0"/>
              <w:rPr>
                <w:sz w:val="20"/>
                <w:szCs w:val="20"/>
                <w:color w:val="auto"/>
              </w:rPr>
            </w:pPr>
            <w:r>
              <w:rPr>
                <w:rFonts w:ascii="Arial" w:cs="Arial" w:eastAsia="Arial" w:hAnsi="Arial"/>
                <w:sz w:val="22"/>
                <w:szCs w:val="22"/>
                <w:color w:val="0000EE"/>
              </w:rPr>
              <w:t>Director Qualifications</w:t>
            </w:r>
          </w:p>
        </w:tc>
        <w:tc>
          <w:tcPr>
            <w:tcW w:w="5620" w:type="dxa"/>
            <w:vAlign w:val="bottom"/>
            <w:gridSpan w:val="16"/>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120" w:type="dxa"/>
            <w:vAlign w:val="bottom"/>
            <w:tcBorders>
              <w:top w:val="single" w:sz="8" w:color="0000EE"/>
            </w:tcBorders>
            <w:gridSpan w:val="7"/>
          </w:tcPr>
          <w:p>
            <w:pPr>
              <w:spacing w:after="0" w:line="195" w:lineRule="exact"/>
              <w:rPr>
                <w:sz w:val="20"/>
                <w:szCs w:val="20"/>
                <w:color w:val="auto"/>
              </w:rPr>
            </w:pPr>
            <w:r>
              <w:rPr>
                <w:rFonts w:ascii="Arial" w:cs="Arial" w:eastAsia="Arial" w:hAnsi="Arial"/>
                <w:sz w:val="22"/>
                <w:szCs w:val="22"/>
                <w:color w:val="0000EE"/>
                <w:w w:val="98"/>
              </w:rPr>
              <w:t>Nominees for Director</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2"/>
          </w:tcPr>
          <w:p>
            <w:pPr>
              <w:spacing w:after="0"/>
              <w:rPr>
                <w:sz w:val="17"/>
                <w:szCs w:val="17"/>
                <w:color w:val="auto"/>
              </w:rPr>
            </w:pPr>
          </w:p>
        </w:tc>
        <w:tc>
          <w:tcPr>
            <w:tcW w:w="520" w:type="dxa"/>
            <w:vAlign w:val="bottom"/>
            <w:gridSpan w:val="2"/>
          </w:tcPr>
          <w:p>
            <w:pPr>
              <w:spacing w:after="0"/>
              <w:rPr>
                <w:sz w:val="17"/>
                <w:szCs w:val="17"/>
                <w:color w:val="auto"/>
              </w:rPr>
            </w:pPr>
          </w:p>
        </w:tc>
        <w:tc>
          <w:tcPr>
            <w:tcW w:w="28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80" w:type="dxa"/>
            <w:vAlign w:val="bottom"/>
          </w:tcPr>
          <w:p>
            <w:pPr>
              <w:jc w:val="right"/>
              <w:spacing w:after="0" w:line="195" w:lineRule="exact"/>
              <w:rPr>
                <w:sz w:val="20"/>
                <w:szCs w:val="20"/>
                <w:color w:val="auto"/>
              </w:rPr>
            </w:pPr>
            <w:r>
              <w:rPr>
                <w:rFonts w:ascii="Arial" w:cs="Arial" w:eastAsia="Arial" w:hAnsi="Arial"/>
                <w:sz w:val="22"/>
                <w:szCs w:val="22"/>
                <w:color w:val="auto"/>
              </w:rPr>
              <w:t>10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100" w:type="dxa"/>
            <w:vAlign w:val="bottom"/>
            <w:tcBorders>
              <w:top w:val="single" w:sz="8" w:color="0000EE"/>
            </w:tcBorders>
            <w:gridSpan w:val="6"/>
          </w:tcPr>
          <w:p>
            <w:pPr>
              <w:spacing w:after="0" w:line="195" w:lineRule="exact"/>
              <w:rPr>
                <w:sz w:val="20"/>
                <w:szCs w:val="20"/>
                <w:color w:val="auto"/>
              </w:rPr>
            </w:pPr>
            <w:r>
              <w:rPr>
                <w:rFonts w:ascii="Arial" w:cs="Arial" w:eastAsia="Arial" w:hAnsi="Arial"/>
                <w:sz w:val="22"/>
                <w:szCs w:val="22"/>
                <w:color w:val="0000EE"/>
              </w:rPr>
              <w:t>Vote Required</w:t>
            </w:r>
          </w:p>
        </w:tc>
        <w:tc>
          <w:tcPr>
            <w:tcW w:w="8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2"/>
          </w:tcPr>
          <w:p>
            <w:pPr>
              <w:spacing w:after="0"/>
              <w:rPr>
                <w:sz w:val="17"/>
                <w:szCs w:val="17"/>
                <w:color w:val="auto"/>
              </w:rPr>
            </w:pPr>
          </w:p>
        </w:tc>
        <w:tc>
          <w:tcPr>
            <w:tcW w:w="520" w:type="dxa"/>
            <w:vAlign w:val="bottom"/>
            <w:gridSpan w:val="2"/>
          </w:tcPr>
          <w:p>
            <w:pPr>
              <w:spacing w:after="0"/>
              <w:rPr>
                <w:sz w:val="17"/>
                <w:szCs w:val="17"/>
                <w:color w:val="auto"/>
              </w:rPr>
            </w:pPr>
          </w:p>
        </w:tc>
        <w:tc>
          <w:tcPr>
            <w:tcW w:w="28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80" w:type="dxa"/>
            <w:vAlign w:val="bottom"/>
          </w:tcPr>
          <w:p>
            <w:pPr>
              <w:jc w:val="right"/>
              <w:spacing w:after="0" w:line="195" w:lineRule="exact"/>
              <w:rPr>
                <w:sz w:val="20"/>
                <w:szCs w:val="20"/>
                <w:color w:val="auto"/>
              </w:rPr>
            </w:pPr>
            <w:r>
              <w:rPr>
                <w:rFonts w:ascii="Arial" w:cs="Arial" w:eastAsia="Arial" w:hAnsi="Arial"/>
                <w:sz w:val="22"/>
                <w:szCs w:val="22"/>
                <w:color w:val="auto"/>
              </w:rPr>
              <w:t>14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80" w:type="dxa"/>
            <w:vAlign w:val="bottom"/>
            <w:vMerge w:val="restart"/>
          </w:tcPr>
          <w:p>
            <w:pPr>
              <w:jc w:val="right"/>
              <w:spacing w:after="0" w:line="216" w:lineRule="exact"/>
              <w:rPr>
                <w:sz w:val="20"/>
                <w:szCs w:val="20"/>
                <w:color w:val="auto"/>
              </w:rPr>
            </w:pPr>
            <w:r>
              <w:rPr>
                <w:rFonts w:ascii="Arial" w:cs="Arial" w:eastAsia="Arial" w:hAnsi="Arial"/>
                <w:sz w:val="22"/>
                <w:szCs w:val="22"/>
                <w:color w:val="auto"/>
              </w:rPr>
              <w:t>14</w:t>
            </w: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480" w:type="dxa"/>
            <w:vAlign w:val="bottom"/>
            <w:gridSpan w:val="40"/>
          </w:tcPr>
          <w:p>
            <w:pPr>
              <w:spacing w:after="0" w:line="195" w:lineRule="exact"/>
              <w:rPr>
                <w:sz w:val="20"/>
                <w:szCs w:val="20"/>
                <w:color w:val="auto"/>
              </w:rPr>
            </w:pPr>
            <w:r>
              <w:rPr>
                <w:rFonts w:ascii="Arial" w:cs="Arial" w:eastAsia="Arial" w:hAnsi="Arial"/>
                <w:sz w:val="22"/>
                <w:szCs w:val="22"/>
                <w:color w:val="0000EE"/>
              </w:rPr>
              <w:t>Board Recommendation</w:t>
            </w: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840" w:type="dxa"/>
            <w:vAlign w:val="bottom"/>
            <w:gridSpan w:val="41"/>
          </w:tcPr>
          <w:p>
            <w:pPr>
              <w:spacing w:after="0"/>
              <w:rPr>
                <w:sz w:val="20"/>
                <w:szCs w:val="20"/>
                <w:color w:val="auto"/>
              </w:rPr>
            </w:pPr>
            <w:r>
              <w:rPr>
                <w:rFonts w:ascii="Arial" w:cs="Arial" w:eastAsia="Arial" w:hAnsi="Arial"/>
                <w:sz w:val="22"/>
                <w:szCs w:val="22"/>
                <w:b w:val="1"/>
                <w:bCs w:val="1"/>
                <w:color w:val="0000EE"/>
              </w:rPr>
              <w:t>CORPORATE GOVERNANCE</w:t>
            </w:r>
          </w:p>
        </w:tc>
        <w:tc>
          <w:tcPr>
            <w:tcW w:w="1180" w:type="dxa"/>
            <w:vAlign w:val="bottom"/>
          </w:tcPr>
          <w:p>
            <w:pPr>
              <w:jc w:val="right"/>
              <w:spacing w:after="0"/>
              <w:rPr>
                <w:sz w:val="20"/>
                <w:szCs w:val="20"/>
                <w:color w:val="auto"/>
              </w:rPr>
            </w:pPr>
            <w:r>
              <w:rPr>
                <w:rFonts w:ascii="Arial" w:cs="Arial" w:eastAsia="Arial" w:hAnsi="Arial"/>
                <w:sz w:val="22"/>
                <w:szCs w:val="22"/>
                <w:b w:val="1"/>
                <w:bCs w:val="1"/>
                <w:color w:val="C8102E"/>
              </w:rPr>
              <w:t>15</w:t>
            </w:r>
          </w:p>
        </w:tc>
        <w:tc>
          <w:tcPr>
            <w:tcW w:w="0" w:type="dxa"/>
            <w:vAlign w:val="bottom"/>
          </w:tcPr>
          <w:p>
            <w:pPr>
              <w:spacing w:after="0"/>
              <w:rPr>
                <w:sz w:val="1"/>
                <w:szCs w:val="1"/>
                <w:color w:val="auto"/>
              </w:rPr>
            </w:pPr>
          </w:p>
        </w:tc>
      </w:tr>
      <w:tr>
        <w:trPr>
          <w:trHeight w:val="439"/>
        </w:trPr>
        <w:tc>
          <w:tcPr>
            <w:tcW w:w="360" w:type="dxa"/>
            <w:vAlign w:val="bottom"/>
            <w:tcBorders>
              <w:top w:val="single" w:sz="8" w:color="0000EE"/>
            </w:tcBorders>
          </w:tcPr>
          <w:p>
            <w:pPr>
              <w:spacing w:after="0"/>
              <w:rPr>
                <w:sz w:val="24"/>
                <w:szCs w:val="24"/>
                <w:color w:val="auto"/>
              </w:rPr>
            </w:pPr>
          </w:p>
        </w:tc>
        <w:tc>
          <w:tcPr>
            <w:tcW w:w="2600" w:type="dxa"/>
            <w:vAlign w:val="bottom"/>
            <w:tcBorders>
              <w:top w:val="single" w:sz="8" w:color="0000EE"/>
            </w:tcBorders>
            <w:gridSpan w:val="12"/>
          </w:tcPr>
          <w:p>
            <w:pPr>
              <w:spacing w:after="0"/>
              <w:rPr>
                <w:sz w:val="20"/>
                <w:szCs w:val="20"/>
                <w:color w:val="auto"/>
              </w:rPr>
            </w:pPr>
            <w:r>
              <w:rPr>
                <w:rFonts w:ascii="Arial" w:cs="Arial" w:eastAsia="Arial" w:hAnsi="Arial"/>
                <w:sz w:val="22"/>
                <w:szCs w:val="22"/>
                <w:color w:val="0000EE"/>
              </w:rPr>
              <w:t>Director Independence</w:t>
            </w:r>
          </w:p>
        </w:tc>
        <w:tc>
          <w:tcPr>
            <w:tcW w:w="6880" w:type="dxa"/>
            <w:vAlign w:val="bottom"/>
            <w:gridSpan w:val="28"/>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180" w:type="dxa"/>
            <w:vAlign w:val="bottom"/>
            <w:tcBorders>
              <w:top w:val="single" w:sz="8" w:color="0000EE"/>
            </w:tcBorders>
            <w:gridSpan w:val="8"/>
          </w:tcPr>
          <w:p>
            <w:pPr>
              <w:spacing w:after="0" w:line="195" w:lineRule="exact"/>
              <w:rPr>
                <w:sz w:val="20"/>
                <w:szCs w:val="20"/>
                <w:color w:val="auto"/>
              </w:rPr>
            </w:pPr>
            <w:r>
              <w:rPr>
                <w:rFonts w:ascii="Arial" w:cs="Arial" w:eastAsia="Arial" w:hAnsi="Arial"/>
                <w:sz w:val="22"/>
                <w:szCs w:val="22"/>
                <w:color w:val="0000EE"/>
                <w:w w:val="98"/>
              </w:rPr>
              <w:t>Board of Directors and</w:t>
            </w:r>
          </w:p>
        </w:tc>
        <w:tc>
          <w:tcPr>
            <w:tcW w:w="7300" w:type="dxa"/>
            <w:vAlign w:val="bottom"/>
            <w:gridSpan w:val="32"/>
          </w:tcPr>
          <w:p>
            <w:pPr>
              <w:ind w:left="40"/>
              <w:spacing w:after="0" w:line="195" w:lineRule="exact"/>
              <w:rPr>
                <w:sz w:val="20"/>
                <w:szCs w:val="20"/>
                <w:color w:val="auto"/>
              </w:rPr>
            </w:pPr>
            <w:r>
              <w:rPr>
                <w:rFonts w:ascii="Arial" w:cs="Arial" w:eastAsia="Arial" w:hAnsi="Arial"/>
                <w:sz w:val="22"/>
                <w:szCs w:val="22"/>
                <w:color w:val="0000EE"/>
              </w:rPr>
              <w:t>its Committees</w:t>
            </w:r>
          </w:p>
        </w:tc>
        <w:tc>
          <w:tcPr>
            <w:tcW w:w="1180" w:type="dxa"/>
            <w:vAlign w:val="bottom"/>
          </w:tcPr>
          <w:p>
            <w:pPr>
              <w:jc w:val="right"/>
              <w:spacing w:after="0" w:line="195" w:lineRule="exact"/>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80" w:type="dxa"/>
            <w:vAlign w:val="bottom"/>
            <w:vMerge w:val="restart"/>
          </w:tcPr>
          <w:p>
            <w:pPr>
              <w:jc w:val="right"/>
              <w:spacing w:after="0" w:line="216" w:lineRule="exact"/>
              <w:rPr>
                <w:sz w:val="20"/>
                <w:szCs w:val="20"/>
                <w:color w:val="auto"/>
              </w:rPr>
            </w:pPr>
            <w:r>
              <w:rPr>
                <w:rFonts w:ascii="Arial" w:cs="Arial" w:eastAsia="Arial" w:hAnsi="Arial"/>
                <w:sz w:val="22"/>
                <w:szCs w:val="22"/>
                <w:color w:val="auto"/>
              </w:rPr>
              <w:t>17</w:t>
            </w: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480" w:type="dxa"/>
            <w:vAlign w:val="bottom"/>
            <w:gridSpan w:val="40"/>
          </w:tcPr>
          <w:p>
            <w:pPr>
              <w:spacing w:after="0" w:line="195" w:lineRule="exact"/>
              <w:rPr>
                <w:sz w:val="20"/>
                <w:szCs w:val="20"/>
                <w:color w:val="auto"/>
              </w:rPr>
            </w:pPr>
            <w:r>
              <w:rPr>
                <w:rFonts w:ascii="Arial" w:cs="Arial" w:eastAsia="Arial" w:hAnsi="Arial"/>
                <w:sz w:val="22"/>
                <w:szCs w:val="22"/>
                <w:color w:val="0000EE"/>
              </w:rPr>
              <w:t>Compensation Committee Interlocks and Insider Participation</w:t>
            </w: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860" w:type="dxa"/>
            <w:vAlign w:val="bottom"/>
            <w:tcBorders>
              <w:top w:val="single" w:sz="8" w:color="0000EE"/>
            </w:tcBorders>
            <w:gridSpan w:val="34"/>
          </w:tcPr>
          <w:p>
            <w:pPr>
              <w:spacing w:after="0" w:line="195" w:lineRule="exact"/>
              <w:rPr>
                <w:sz w:val="20"/>
                <w:szCs w:val="20"/>
                <w:color w:val="auto"/>
              </w:rPr>
            </w:pPr>
            <w:r>
              <w:rPr>
                <w:rFonts w:ascii="Arial" w:cs="Arial" w:eastAsia="Arial" w:hAnsi="Arial"/>
                <w:sz w:val="22"/>
                <w:szCs w:val="22"/>
                <w:color w:val="0000EE"/>
              </w:rPr>
              <w:t>Mandatory Director Retirement Age</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80" w:type="dxa"/>
            <w:vAlign w:val="bottom"/>
          </w:tcPr>
          <w:p>
            <w:pPr>
              <w:jc w:val="right"/>
              <w:spacing w:after="0" w:line="195" w:lineRule="exact"/>
              <w:rPr>
                <w:sz w:val="20"/>
                <w:szCs w:val="20"/>
                <w:color w:val="auto"/>
              </w:rPr>
            </w:pPr>
            <w:r>
              <w:rPr>
                <w:rFonts w:ascii="Arial" w:cs="Arial" w:eastAsia="Arial" w:hAnsi="Arial"/>
                <w:sz w:val="22"/>
                <w:szCs w:val="22"/>
                <w:color w:val="auto"/>
              </w:rPr>
              <w:t>17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400" w:type="dxa"/>
            <w:vAlign w:val="bottom"/>
            <w:tcBorders>
              <w:top w:val="single" w:sz="8" w:color="0000EE"/>
            </w:tcBorders>
            <w:gridSpan w:val="20"/>
          </w:tcPr>
          <w:p>
            <w:pPr>
              <w:spacing w:after="0" w:line="195" w:lineRule="exact"/>
              <w:rPr>
                <w:sz w:val="20"/>
                <w:szCs w:val="20"/>
                <w:color w:val="auto"/>
              </w:rPr>
            </w:pPr>
            <w:r>
              <w:rPr>
                <w:rFonts w:ascii="Arial" w:cs="Arial" w:eastAsia="Arial" w:hAnsi="Arial"/>
                <w:sz w:val="22"/>
                <w:szCs w:val="22"/>
                <w:color w:val="0000EE"/>
                <w:w w:val="96"/>
              </w:rPr>
              <w:t>Identification of Director Candidates</w:t>
            </w:r>
          </w:p>
        </w:tc>
        <w:tc>
          <w:tcPr>
            <w:tcW w:w="6080" w:type="dxa"/>
            <w:vAlign w:val="bottom"/>
            <w:gridSpan w:val="20"/>
          </w:tcPr>
          <w:p>
            <w:pPr>
              <w:ind w:left="80"/>
              <w:spacing w:after="0" w:line="195" w:lineRule="exact"/>
              <w:rPr>
                <w:sz w:val="20"/>
                <w:szCs w:val="20"/>
                <w:color w:val="auto"/>
              </w:rPr>
            </w:pPr>
            <w:r>
              <w:rPr>
                <w:rFonts w:ascii="Arial" w:cs="Arial" w:eastAsia="Arial" w:hAnsi="Arial"/>
                <w:sz w:val="22"/>
                <w:szCs w:val="22"/>
                <w:color w:val="0000EE"/>
              </w:rPr>
              <w:t>and Director Nomination Process</w:t>
            </w:r>
          </w:p>
        </w:tc>
        <w:tc>
          <w:tcPr>
            <w:tcW w:w="1180" w:type="dxa"/>
            <w:vAlign w:val="bottom"/>
          </w:tcPr>
          <w:p>
            <w:pPr>
              <w:jc w:val="right"/>
              <w:spacing w:after="0" w:line="195" w:lineRule="exact"/>
              <w:rPr>
                <w:sz w:val="20"/>
                <w:szCs w:val="20"/>
                <w:color w:val="auto"/>
              </w:rPr>
            </w:pPr>
            <w:r>
              <w:rPr>
                <w:rFonts w:ascii="Arial" w:cs="Arial" w:eastAsia="Arial" w:hAnsi="Arial"/>
                <w:sz w:val="22"/>
                <w:szCs w:val="22"/>
                <w:color w:val="auto"/>
              </w:rPr>
              <w:t>17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640" w:type="dxa"/>
            <w:vAlign w:val="bottom"/>
            <w:tcBorders>
              <w:top w:val="single" w:sz="8" w:color="0000EE"/>
            </w:tcBorders>
            <w:gridSpan w:val="37"/>
          </w:tcPr>
          <w:p>
            <w:pPr>
              <w:spacing w:after="0" w:line="195" w:lineRule="exact"/>
              <w:rPr>
                <w:sz w:val="20"/>
                <w:szCs w:val="20"/>
                <w:color w:val="auto"/>
              </w:rPr>
            </w:pPr>
            <w:r>
              <w:rPr>
                <w:rFonts w:ascii="Arial" w:cs="Arial" w:eastAsia="Arial" w:hAnsi="Arial"/>
                <w:sz w:val="22"/>
                <w:szCs w:val="22"/>
                <w:color w:val="0000EE"/>
              </w:rPr>
              <w:t>Board Leadership Structure</w:t>
            </w: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80" w:type="dxa"/>
            <w:vAlign w:val="bottom"/>
          </w:tcPr>
          <w:p>
            <w:pPr>
              <w:jc w:val="right"/>
              <w:spacing w:after="0" w:line="195" w:lineRule="exact"/>
              <w:rPr>
                <w:sz w:val="20"/>
                <w:szCs w:val="20"/>
                <w:color w:val="auto"/>
              </w:rPr>
            </w:pPr>
            <w:r>
              <w:rPr>
                <w:rFonts w:ascii="Arial" w:cs="Arial" w:eastAsia="Arial" w:hAnsi="Arial"/>
                <w:sz w:val="22"/>
                <w:szCs w:val="22"/>
                <w:color w:val="auto"/>
              </w:rPr>
              <w:t>18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640" w:type="dxa"/>
            <w:vAlign w:val="bottom"/>
            <w:tcBorders>
              <w:top w:val="single" w:sz="8" w:color="0000EE"/>
            </w:tcBorders>
            <w:gridSpan w:val="14"/>
          </w:tcPr>
          <w:p>
            <w:pPr>
              <w:spacing w:after="0" w:line="195" w:lineRule="exact"/>
              <w:rPr>
                <w:sz w:val="20"/>
                <w:szCs w:val="20"/>
                <w:color w:val="auto"/>
              </w:rPr>
            </w:pPr>
            <w:r>
              <w:rPr>
                <w:rFonts w:ascii="Arial" w:cs="Arial" w:eastAsia="Arial" w:hAnsi="Arial"/>
                <w:sz w:val="22"/>
                <w:szCs w:val="22"/>
                <w:color w:val="0000EE"/>
              </w:rPr>
              <w:t>Board Evaluation Process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gridSpan w:val="2"/>
          </w:tcPr>
          <w:p>
            <w:pPr>
              <w:spacing w:after="0"/>
              <w:rPr>
                <w:sz w:val="17"/>
                <w:szCs w:val="17"/>
                <w:color w:val="auto"/>
              </w:rPr>
            </w:pPr>
          </w:p>
        </w:tc>
        <w:tc>
          <w:tcPr>
            <w:tcW w:w="140" w:type="dxa"/>
            <w:vAlign w:val="bottom"/>
            <w:gridSpan w:val="2"/>
          </w:tcPr>
          <w:p>
            <w:pPr>
              <w:spacing w:after="0"/>
              <w:rPr>
                <w:sz w:val="17"/>
                <w:szCs w:val="17"/>
                <w:color w:val="auto"/>
              </w:rPr>
            </w:pPr>
          </w:p>
        </w:tc>
        <w:tc>
          <w:tcPr>
            <w:tcW w:w="760" w:type="dxa"/>
            <w:vAlign w:val="bottom"/>
            <w:gridSpan w:val="2"/>
          </w:tcPr>
          <w:p>
            <w:pPr>
              <w:spacing w:after="0"/>
              <w:rPr>
                <w:sz w:val="17"/>
                <w:szCs w:val="17"/>
                <w:color w:val="auto"/>
              </w:rPr>
            </w:pPr>
          </w:p>
        </w:tc>
        <w:tc>
          <w:tcPr>
            <w:tcW w:w="520" w:type="dxa"/>
            <w:vAlign w:val="bottom"/>
            <w:gridSpan w:val="2"/>
          </w:tcPr>
          <w:p>
            <w:pPr>
              <w:spacing w:after="0"/>
              <w:rPr>
                <w:sz w:val="17"/>
                <w:szCs w:val="17"/>
                <w:color w:val="auto"/>
              </w:rPr>
            </w:pPr>
          </w:p>
        </w:tc>
        <w:tc>
          <w:tcPr>
            <w:tcW w:w="28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80" w:type="dxa"/>
            <w:vAlign w:val="bottom"/>
          </w:tcPr>
          <w:p>
            <w:pPr>
              <w:jc w:val="right"/>
              <w:spacing w:after="0" w:line="195" w:lineRule="exact"/>
              <w:rPr>
                <w:sz w:val="20"/>
                <w:szCs w:val="20"/>
                <w:color w:val="auto"/>
              </w:rPr>
            </w:pPr>
            <w:r>
              <w:rPr>
                <w:rFonts w:ascii="Arial" w:cs="Arial" w:eastAsia="Arial" w:hAnsi="Arial"/>
                <w:sz w:val="22"/>
                <w:szCs w:val="22"/>
                <w:color w:val="auto"/>
              </w:rPr>
              <w:t>18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80" w:type="dxa"/>
            <w:vAlign w:val="bottom"/>
            <w:vMerge w:val="restart"/>
          </w:tcPr>
          <w:p>
            <w:pPr>
              <w:jc w:val="right"/>
              <w:spacing w:after="0" w:line="216" w:lineRule="exact"/>
              <w:rPr>
                <w:sz w:val="20"/>
                <w:szCs w:val="20"/>
                <w:color w:val="auto"/>
              </w:rPr>
            </w:pPr>
            <w:r>
              <w:rPr>
                <w:rFonts w:ascii="Arial" w:cs="Arial" w:eastAsia="Arial" w:hAnsi="Arial"/>
                <w:sz w:val="22"/>
                <w:szCs w:val="22"/>
                <w:color w:val="auto"/>
              </w:rPr>
              <w:t>19</w:t>
            </w: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480" w:type="dxa"/>
            <w:vAlign w:val="bottom"/>
            <w:gridSpan w:val="40"/>
          </w:tcPr>
          <w:p>
            <w:pPr>
              <w:spacing w:after="0" w:line="195" w:lineRule="exact"/>
              <w:rPr>
                <w:sz w:val="20"/>
                <w:szCs w:val="20"/>
                <w:color w:val="auto"/>
              </w:rPr>
            </w:pPr>
            <w:r>
              <w:rPr>
                <w:rFonts w:ascii="Arial" w:cs="Arial" w:eastAsia="Arial" w:hAnsi="Arial"/>
                <w:sz w:val="22"/>
                <w:szCs w:val="22"/>
                <w:color w:val="0000EE"/>
              </w:rPr>
              <w:t>Board’s Role in Risk Oversight</w:t>
            </w: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920" w:type="dxa"/>
            <w:vAlign w:val="bottom"/>
            <w:tcBorders>
              <w:top w:val="single" w:sz="8" w:color="0000EE"/>
            </w:tcBorders>
            <w:gridSpan w:val="17"/>
          </w:tcPr>
          <w:p>
            <w:pPr>
              <w:spacing w:after="0" w:line="195" w:lineRule="exact"/>
              <w:rPr>
                <w:sz w:val="20"/>
                <w:szCs w:val="20"/>
                <w:color w:val="auto"/>
              </w:rPr>
            </w:pPr>
            <w:r>
              <w:rPr>
                <w:rFonts w:ascii="Arial" w:cs="Arial" w:eastAsia="Arial" w:hAnsi="Arial"/>
                <w:sz w:val="22"/>
                <w:szCs w:val="22"/>
                <w:color w:val="0000EE"/>
              </w:rPr>
              <w:t>Standards of Conduct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gridSpan w:val="2"/>
          </w:tcPr>
          <w:p>
            <w:pPr>
              <w:spacing w:after="0"/>
              <w:rPr>
                <w:sz w:val="17"/>
                <w:szCs w:val="17"/>
                <w:color w:val="auto"/>
              </w:rPr>
            </w:pPr>
          </w:p>
        </w:tc>
        <w:tc>
          <w:tcPr>
            <w:tcW w:w="140" w:type="dxa"/>
            <w:vAlign w:val="bottom"/>
            <w:gridSpan w:val="2"/>
          </w:tcPr>
          <w:p>
            <w:pPr>
              <w:spacing w:after="0"/>
              <w:rPr>
                <w:sz w:val="17"/>
                <w:szCs w:val="17"/>
                <w:color w:val="auto"/>
              </w:rPr>
            </w:pPr>
          </w:p>
        </w:tc>
        <w:tc>
          <w:tcPr>
            <w:tcW w:w="760" w:type="dxa"/>
            <w:vAlign w:val="bottom"/>
            <w:gridSpan w:val="2"/>
          </w:tcPr>
          <w:p>
            <w:pPr>
              <w:spacing w:after="0"/>
              <w:rPr>
                <w:sz w:val="17"/>
                <w:szCs w:val="17"/>
                <w:color w:val="auto"/>
              </w:rPr>
            </w:pPr>
          </w:p>
        </w:tc>
        <w:tc>
          <w:tcPr>
            <w:tcW w:w="520" w:type="dxa"/>
            <w:vAlign w:val="bottom"/>
            <w:gridSpan w:val="2"/>
          </w:tcPr>
          <w:p>
            <w:pPr>
              <w:spacing w:after="0"/>
              <w:rPr>
                <w:sz w:val="17"/>
                <w:szCs w:val="17"/>
                <w:color w:val="auto"/>
              </w:rPr>
            </w:pPr>
          </w:p>
        </w:tc>
        <w:tc>
          <w:tcPr>
            <w:tcW w:w="28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80" w:type="dxa"/>
            <w:vAlign w:val="bottom"/>
          </w:tcPr>
          <w:p>
            <w:pPr>
              <w:jc w:val="right"/>
              <w:spacing w:after="0" w:line="195" w:lineRule="exact"/>
              <w:rPr>
                <w:sz w:val="20"/>
                <w:szCs w:val="20"/>
                <w:color w:val="auto"/>
              </w:rPr>
            </w:pPr>
            <w:r>
              <w:rPr>
                <w:rFonts w:ascii="Arial" w:cs="Arial" w:eastAsia="Arial" w:hAnsi="Arial"/>
                <w:sz w:val="22"/>
                <w:szCs w:val="22"/>
                <w:color w:val="auto"/>
              </w:rPr>
              <w:t>20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080" w:type="dxa"/>
            <w:vAlign w:val="bottom"/>
            <w:tcBorders>
              <w:top w:val="single" w:sz="8" w:color="0000EE"/>
            </w:tcBorders>
            <w:gridSpan w:val="5"/>
          </w:tcPr>
          <w:p>
            <w:pPr>
              <w:spacing w:after="0" w:line="195" w:lineRule="exact"/>
              <w:rPr>
                <w:sz w:val="20"/>
                <w:szCs w:val="20"/>
                <w:color w:val="auto"/>
              </w:rPr>
            </w:pPr>
            <w:r>
              <w:rPr>
                <w:rFonts w:ascii="Arial" w:cs="Arial" w:eastAsia="Arial" w:hAnsi="Arial"/>
                <w:sz w:val="22"/>
                <w:szCs w:val="22"/>
                <w:color w:val="0000EE"/>
                <w:w w:val="98"/>
              </w:rPr>
              <w:t>Certain Relationships</w:t>
            </w:r>
          </w:p>
        </w:tc>
        <w:tc>
          <w:tcPr>
            <w:tcW w:w="7400" w:type="dxa"/>
            <w:vAlign w:val="bottom"/>
            <w:gridSpan w:val="35"/>
          </w:tcPr>
          <w:p>
            <w:pPr>
              <w:ind w:left="20"/>
              <w:spacing w:after="0" w:line="195" w:lineRule="exact"/>
              <w:rPr>
                <w:sz w:val="20"/>
                <w:szCs w:val="20"/>
                <w:color w:val="auto"/>
              </w:rPr>
            </w:pPr>
            <w:r>
              <w:rPr>
                <w:rFonts w:ascii="Arial" w:cs="Arial" w:eastAsia="Arial" w:hAnsi="Arial"/>
                <w:sz w:val="22"/>
                <w:szCs w:val="22"/>
                <w:color w:val="0000EE"/>
              </w:rPr>
              <w:t>and Related Person Transactions</w:t>
            </w:r>
          </w:p>
        </w:tc>
        <w:tc>
          <w:tcPr>
            <w:tcW w:w="1180" w:type="dxa"/>
            <w:vAlign w:val="bottom"/>
          </w:tcPr>
          <w:p>
            <w:pPr>
              <w:jc w:val="right"/>
              <w:spacing w:after="0" w:line="195" w:lineRule="exact"/>
              <w:rPr>
                <w:sz w:val="20"/>
                <w:szCs w:val="20"/>
                <w:color w:val="auto"/>
              </w:rPr>
            </w:pPr>
            <w:r>
              <w:rPr>
                <w:rFonts w:ascii="Arial" w:cs="Arial" w:eastAsia="Arial" w:hAnsi="Arial"/>
                <w:sz w:val="22"/>
                <w:szCs w:val="22"/>
                <w:color w:val="auto"/>
              </w:rPr>
              <w:t>21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300" w:type="dxa"/>
            <w:vAlign w:val="bottom"/>
            <w:tcBorders>
              <w:top w:val="single" w:sz="8" w:color="0000EE"/>
            </w:tcBorders>
            <w:gridSpan w:val="30"/>
          </w:tcPr>
          <w:p>
            <w:pPr>
              <w:spacing w:after="0" w:line="195" w:lineRule="exact"/>
              <w:rPr>
                <w:sz w:val="20"/>
                <w:szCs w:val="20"/>
                <w:color w:val="auto"/>
              </w:rPr>
            </w:pPr>
            <w:r>
              <w:rPr>
                <w:rFonts w:ascii="Arial" w:cs="Arial" w:eastAsia="Arial" w:hAnsi="Arial"/>
                <w:sz w:val="22"/>
                <w:szCs w:val="22"/>
                <w:color w:val="0000EE"/>
              </w:rPr>
              <w:t>Contacting the Board of Directors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80" w:type="dxa"/>
            <w:vAlign w:val="bottom"/>
          </w:tcPr>
          <w:p>
            <w:pPr>
              <w:jc w:val="right"/>
              <w:spacing w:after="0" w:line="195" w:lineRule="exact"/>
              <w:rPr>
                <w:sz w:val="20"/>
                <w:szCs w:val="20"/>
                <w:color w:val="auto"/>
              </w:rPr>
            </w:pPr>
            <w:r>
              <w:rPr>
                <w:rFonts w:ascii="Arial" w:cs="Arial" w:eastAsia="Arial" w:hAnsi="Arial"/>
                <w:sz w:val="22"/>
                <w:szCs w:val="22"/>
                <w:color w:val="auto"/>
              </w:rPr>
              <w:t>21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40" w:type="dxa"/>
            <w:vAlign w:val="bottom"/>
            <w:gridSpan w:val="7"/>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840" w:type="dxa"/>
            <w:vAlign w:val="bottom"/>
            <w:gridSpan w:val="41"/>
          </w:tcPr>
          <w:p>
            <w:pPr>
              <w:spacing w:after="0"/>
              <w:rPr>
                <w:sz w:val="20"/>
                <w:szCs w:val="20"/>
                <w:color w:val="auto"/>
              </w:rPr>
            </w:pPr>
            <w:r>
              <w:rPr>
                <w:rFonts w:ascii="Arial" w:cs="Arial" w:eastAsia="Arial" w:hAnsi="Arial"/>
                <w:sz w:val="22"/>
                <w:szCs w:val="22"/>
                <w:b w:val="1"/>
                <w:bCs w:val="1"/>
                <w:color w:val="0000EE"/>
              </w:rPr>
              <w:t>DIRECTOR COMPENSATION</w:t>
            </w:r>
          </w:p>
        </w:tc>
        <w:tc>
          <w:tcPr>
            <w:tcW w:w="1180" w:type="dxa"/>
            <w:vAlign w:val="bottom"/>
          </w:tcPr>
          <w:p>
            <w:pPr>
              <w:jc w:val="right"/>
              <w:spacing w:after="0"/>
              <w:rPr>
                <w:sz w:val="20"/>
                <w:szCs w:val="20"/>
                <w:color w:val="auto"/>
              </w:rPr>
            </w:pPr>
            <w:r>
              <w:rPr>
                <w:rFonts w:ascii="Arial" w:cs="Arial" w:eastAsia="Arial" w:hAnsi="Arial"/>
                <w:sz w:val="22"/>
                <w:szCs w:val="22"/>
                <w:b w:val="1"/>
                <w:bCs w:val="1"/>
                <w:color w:val="C8102E"/>
              </w:rPr>
              <w:t>22</w:t>
            </w:r>
          </w:p>
        </w:tc>
        <w:tc>
          <w:tcPr>
            <w:tcW w:w="0" w:type="dxa"/>
            <w:vAlign w:val="bottom"/>
          </w:tcPr>
          <w:p>
            <w:pPr>
              <w:spacing w:after="0"/>
              <w:rPr>
                <w:sz w:val="1"/>
                <w:szCs w:val="1"/>
                <w:color w:val="auto"/>
              </w:rPr>
            </w:pPr>
          </w:p>
        </w:tc>
      </w:tr>
      <w:tr>
        <w:trPr>
          <w:trHeight w:val="20"/>
        </w:trPr>
        <w:tc>
          <w:tcPr>
            <w:tcW w:w="204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40" w:type="dxa"/>
            <w:vAlign w:val="bottom"/>
            <w:gridSpan w:val="7"/>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840" w:type="dxa"/>
            <w:vAlign w:val="bottom"/>
            <w:gridSpan w:val="41"/>
          </w:tcPr>
          <w:p>
            <w:pPr>
              <w:spacing w:after="0"/>
              <w:rPr>
                <w:sz w:val="20"/>
                <w:szCs w:val="20"/>
                <w:color w:val="auto"/>
              </w:rPr>
            </w:pPr>
            <w:r>
              <w:rPr>
                <w:rFonts w:ascii="Arial" w:cs="Arial" w:eastAsia="Arial" w:hAnsi="Arial"/>
                <w:sz w:val="22"/>
                <w:szCs w:val="22"/>
                <w:b w:val="1"/>
                <w:bCs w:val="1"/>
                <w:color w:val="0000EE"/>
              </w:rPr>
              <w:t>PROPOSAL 2 RATIFICATION OF SELECTION OF INDEPENDENT REGISTERED PUBLIC</w:t>
            </w:r>
          </w:p>
        </w:tc>
        <w:tc>
          <w:tcPr>
            <w:tcW w:w="1180" w:type="dxa"/>
            <w:vAlign w:val="bottom"/>
            <w:vMerge w:val="restart"/>
          </w:tcPr>
          <w:p>
            <w:pPr>
              <w:jc w:val="right"/>
              <w:spacing w:after="0"/>
              <w:rPr>
                <w:sz w:val="20"/>
                <w:szCs w:val="20"/>
                <w:color w:val="auto"/>
              </w:rPr>
            </w:pPr>
            <w:r>
              <w:rPr>
                <w:rFonts w:ascii="Arial" w:cs="Arial" w:eastAsia="Arial" w:hAnsi="Arial"/>
                <w:sz w:val="22"/>
                <w:szCs w:val="22"/>
                <w:b w:val="1"/>
                <w:bCs w:val="1"/>
                <w:color w:val="C8102E"/>
              </w:rPr>
              <w:t>24</w:t>
            </w:r>
          </w:p>
        </w:tc>
        <w:tc>
          <w:tcPr>
            <w:tcW w:w="0" w:type="dxa"/>
            <w:vAlign w:val="bottom"/>
          </w:tcPr>
          <w:p>
            <w:pPr>
              <w:spacing w:after="0"/>
              <w:rPr>
                <w:sz w:val="1"/>
                <w:szCs w:val="1"/>
                <w:color w:val="auto"/>
              </w:rPr>
            </w:pPr>
          </w:p>
        </w:tc>
      </w:tr>
      <w:tr>
        <w:trPr>
          <w:trHeight w:val="196"/>
        </w:trPr>
        <w:tc>
          <w:tcPr>
            <w:tcW w:w="8900" w:type="dxa"/>
            <w:vAlign w:val="bottom"/>
            <w:tcBorders>
              <w:top w:val="single" w:sz="8" w:color="0000EE"/>
            </w:tcBorders>
            <w:gridSpan w:val="40"/>
          </w:tcPr>
          <w:p>
            <w:pPr>
              <w:spacing w:after="0" w:line="195" w:lineRule="exact"/>
              <w:rPr>
                <w:sz w:val="20"/>
                <w:szCs w:val="20"/>
                <w:color w:val="auto"/>
              </w:rPr>
            </w:pPr>
            <w:r>
              <w:rPr>
                <w:rFonts w:ascii="Arial" w:cs="Arial" w:eastAsia="Arial" w:hAnsi="Arial"/>
                <w:sz w:val="22"/>
                <w:szCs w:val="22"/>
                <w:b w:val="1"/>
                <w:bCs w:val="1"/>
                <w:color w:val="0000EE"/>
              </w:rPr>
              <w:t>ACCOUNTING FIRM</w:t>
            </w:r>
          </w:p>
        </w:tc>
        <w:tc>
          <w:tcPr>
            <w:tcW w:w="94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60" w:type="dxa"/>
            <w:vAlign w:val="bottom"/>
          </w:tcPr>
          <w:p>
            <w:pPr>
              <w:spacing w:after="0"/>
              <w:rPr>
                <w:sz w:val="24"/>
                <w:szCs w:val="24"/>
                <w:color w:val="auto"/>
              </w:rPr>
            </w:pPr>
          </w:p>
        </w:tc>
        <w:tc>
          <w:tcPr>
            <w:tcW w:w="9480" w:type="dxa"/>
            <w:vAlign w:val="bottom"/>
            <w:gridSpan w:val="40"/>
          </w:tcPr>
          <w:p>
            <w:pPr>
              <w:spacing w:after="0"/>
              <w:rPr>
                <w:sz w:val="20"/>
                <w:szCs w:val="20"/>
                <w:color w:val="auto"/>
              </w:rPr>
            </w:pPr>
            <w:r>
              <w:rPr>
                <w:rFonts w:ascii="Arial" w:cs="Arial" w:eastAsia="Arial" w:hAnsi="Arial"/>
                <w:sz w:val="22"/>
                <w:szCs w:val="22"/>
                <w:color w:val="0000EE"/>
              </w:rPr>
              <w:t>Independent Registered Public Accounting Firm Fees and Services</w:t>
            </w:r>
          </w:p>
        </w:tc>
        <w:tc>
          <w:tcPr>
            <w:tcW w:w="1180" w:type="dxa"/>
            <w:vAlign w:val="bottom"/>
          </w:tcPr>
          <w:p>
            <w:pPr>
              <w:jc w:val="right"/>
              <w:spacing w:after="0"/>
              <w:rPr>
                <w:sz w:val="20"/>
                <w:szCs w:val="20"/>
                <w:color w:val="auto"/>
              </w:rPr>
            </w:pPr>
            <w:r>
              <w:rPr>
                <w:rFonts w:ascii="Arial" w:cs="Arial" w:eastAsia="Arial" w:hAnsi="Arial"/>
                <w:sz w:val="22"/>
                <w:szCs w:val="22"/>
                <w:color w:val="auto"/>
              </w:rPr>
              <w:t>24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420" w:type="dxa"/>
            <w:vAlign w:val="bottom"/>
            <w:tcBorders>
              <w:top w:val="single" w:sz="8" w:color="0000EE"/>
            </w:tcBorders>
            <w:gridSpan w:val="35"/>
          </w:tcPr>
          <w:p>
            <w:pPr>
              <w:spacing w:after="0" w:line="195" w:lineRule="exact"/>
              <w:rPr>
                <w:sz w:val="20"/>
                <w:szCs w:val="20"/>
                <w:color w:val="auto"/>
              </w:rPr>
            </w:pPr>
            <w:r>
              <w:rPr>
                <w:rFonts w:ascii="Arial" w:cs="Arial" w:eastAsia="Arial" w:hAnsi="Arial"/>
                <w:sz w:val="22"/>
                <w:szCs w:val="22"/>
                <w:color w:val="0000EE"/>
              </w:rPr>
              <w:t>Audit Committee’s Pre-Approval Policies and Procedures</w:t>
            </w:r>
          </w:p>
        </w:tc>
        <w:tc>
          <w:tcPr>
            <w:tcW w:w="80" w:type="dxa"/>
            <w:vAlign w:val="bottom"/>
          </w:tcPr>
          <w:p>
            <w:pPr>
              <w:spacing w:after="0"/>
              <w:rPr>
                <w:sz w:val="17"/>
                <w:szCs w:val="17"/>
                <w:color w:val="auto"/>
              </w:rPr>
            </w:pPr>
          </w:p>
        </w:tc>
        <w:tc>
          <w:tcPr>
            <w:tcW w:w="1200" w:type="dxa"/>
            <w:vAlign w:val="bottom"/>
            <w:gridSpan w:val="2"/>
          </w:tcPr>
          <w:p>
            <w:pPr>
              <w:spacing w:after="0"/>
              <w:rPr>
                <w:sz w:val="17"/>
                <w:szCs w:val="17"/>
                <w:color w:val="auto"/>
              </w:rPr>
            </w:pPr>
          </w:p>
        </w:tc>
        <w:tc>
          <w:tcPr>
            <w:tcW w:w="1780" w:type="dxa"/>
            <w:vAlign w:val="bottom"/>
            <w:gridSpan w:val="2"/>
          </w:tcPr>
          <w:p>
            <w:pPr>
              <w:spacing w:after="0"/>
              <w:rPr>
                <w:sz w:val="17"/>
                <w:szCs w:val="17"/>
                <w:color w:val="auto"/>
              </w:rPr>
            </w:pPr>
          </w:p>
        </w:tc>
        <w:tc>
          <w:tcPr>
            <w:tcW w:w="1180" w:type="dxa"/>
            <w:vAlign w:val="bottom"/>
          </w:tcPr>
          <w:p>
            <w:pPr>
              <w:jc w:val="right"/>
              <w:spacing w:after="0" w:line="195" w:lineRule="exact"/>
              <w:rPr>
                <w:sz w:val="20"/>
                <w:szCs w:val="20"/>
                <w:color w:val="auto"/>
              </w:rPr>
            </w:pPr>
            <w:r>
              <w:rPr>
                <w:rFonts w:ascii="Arial" w:cs="Arial" w:eastAsia="Arial" w:hAnsi="Arial"/>
                <w:sz w:val="22"/>
                <w:szCs w:val="22"/>
                <w:color w:val="auto"/>
              </w:rPr>
              <w:t>25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460" w:type="dxa"/>
            <w:vAlign w:val="bottom"/>
            <w:tcBorders>
              <w:top w:val="single" w:sz="8" w:color="0000EE"/>
            </w:tcBorders>
            <w:gridSpan w:val="32"/>
          </w:tcPr>
          <w:p>
            <w:pPr>
              <w:spacing w:after="0" w:line="195" w:lineRule="exact"/>
              <w:rPr>
                <w:sz w:val="20"/>
                <w:szCs w:val="20"/>
                <w:color w:val="auto"/>
              </w:rPr>
            </w:pPr>
            <w:r>
              <w:rPr>
                <w:rFonts w:ascii="Arial" w:cs="Arial" w:eastAsia="Arial" w:hAnsi="Arial"/>
                <w:sz w:val="22"/>
                <w:szCs w:val="22"/>
                <w:color w:val="0000EE"/>
              </w:rPr>
              <w:t>Vote Required</w:t>
            </w:r>
          </w:p>
        </w:tc>
        <w:tc>
          <w:tcPr>
            <w:tcW w:w="220" w:type="dxa"/>
            <w:vAlign w:val="bottom"/>
          </w:tcPr>
          <w:p>
            <w:pPr>
              <w:spacing w:after="0"/>
              <w:rPr>
                <w:sz w:val="17"/>
                <w:szCs w:val="17"/>
                <w:color w:val="auto"/>
              </w:rPr>
            </w:pPr>
          </w:p>
        </w:tc>
        <w:tc>
          <w:tcPr>
            <w:tcW w:w="820" w:type="dxa"/>
            <w:vAlign w:val="bottom"/>
            <w:gridSpan w:val="3"/>
          </w:tcPr>
          <w:p>
            <w:pPr>
              <w:spacing w:after="0"/>
              <w:rPr>
                <w:sz w:val="17"/>
                <w:szCs w:val="17"/>
                <w:color w:val="auto"/>
              </w:rPr>
            </w:pPr>
          </w:p>
        </w:tc>
        <w:tc>
          <w:tcPr>
            <w:tcW w:w="1200" w:type="dxa"/>
            <w:vAlign w:val="bottom"/>
            <w:gridSpan w:val="2"/>
          </w:tcPr>
          <w:p>
            <w:pPr>
              <w:spacing w:after="0"/>
              <w:rPr>
                <w:sz w:val="17"/>
                <w:szCs w:val="17"/>
                <w:color w:val="auto"/>
              </w:rPr>
            </w:pPr>
          </w:p>
        </w:tc>
        <w:tc>
          <w:tcPr>
            <w:tcW w:w="1780" w:type="dxa"/>
            <w:vAlign w:val="bottom"/>
            <w:gridSpan w:val="2"/>
          </w:tcPr>
          <w:p>
            <w:pPr>
              <w:spacing w:after="0"/>
              <w:rPr>
                <w:sz w:val="17"/>
                <w:szCs w:val="17"/>
                <w:color w:val="auto"/>
              </w:rPr>
            </w:pPr>
          </w:p>
        </w:tc>
        <w:tc>
          <w:tcPr>
            <w:tcW w:w="1180" w:type="dxa"/>
            <w:vAlign w:val="bottom"/>
          </w:tcPr>
          <w:p>
            <w:pPr>
              <w:jc w:val="right"/>
              <w:spacing w:after="0" w:line="195" w:lineRule="exact"/>
              <w:rPr>
                <w:sz w:val="20"/>
                <w:szCs w:val="20"/>
                <w:color w:val="auto"/>
              </w:rPr>
            </w:pPr>
            <w:r>
              <w:rPr>
                <w:rFonts w:ascii="Arial" w:cs="Arial" w:eastAsia="Arial" w:hAnsi="Arial"/>
                <w:sz w:val="22"/>
                <w:szCs w:val="22"/>
                <w:color w:val="auto"/>
              </w:rPr>
              <w:t>25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70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180" w:type="dxa"/>
            <w:vAlign w:val="bottom"/>
            <w:vMerge w:val="restart"/>
          </w:tcPr>
          <w:p>
            <w:pPr>
              <w:jc w:val="right"/>
              <w:spacing w:after="0" w:line="216" w:lineRule="exact"/>
              <w:rPr>
                <w:sz w:val="20"/>
                <w:szCs w:val="20"/>
                <w:color w:val="auto"/>
              </w:rPr>
            </w:pPr>
            <w:r>
              <w:rPr>
                <w:rFonts w:ascii="Arial" w:cs="Arial" w:eastAsia="Arial" w:hAnsi="Arial"/>
                <w:sz w:val="22"/>
                <w:szCs w:val="22"/>
                <w:color w:val="auto"/>
              </w:rPr>
              <w:t>25</w:t>
            </w: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480" w:type="dxa"/>
            <w:vAlign w:val="bottom"/>
            <w:gridSpan w:val="40"/>
          </w:tcPr>
          <w:p>
            <w:pPr>
              <w:spacing w:after="0" w:line="195" w:lineRule="exact"/>
              <w:rPr>
                <w:sz w:val="20"/>
                <w:szCs w:val="20"/>
                <w:color w:val="auto"/>
              </w:rPr>
            </w:pPr>
            <w:r>
              <w:rPr>
                <w:rFonts w:ascii="Arial" w:cs="Arial" w:eastAsia="Arial" w:hAnsi="Arial"/>
                <w:sz w:val="22"/>
                <w:szCs w:val="22"/>
                <w:color w:val="0000EE"/>
              </w:rPr>
              <w:t>Board Recommendation</w:t>
            </w: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920" w:type="dxa"/>
            <w:vAlign w:val="bottom"/>
            <w:gridSpan w:val="4"/>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980" w:type="dxa"/>
            <w:vAlign w:val="bottom"/>
            <w:tcBorders>
              <w:bottom w:val="single" w:sz="8" w:color="0000EE"/>
            </w:tcBorders>
            <w:gridSpan w:val="14"/>
          </w:tcPr>
          <w:p>
            <w:pPr>
              <w:spacing w:after="0"/>
              <w:rPr>
                <w:sz w:val="20"/>
                <w:szCs w:val="20"/>
                <w:color w:val="auto"/>
              </w:rPr>
            </w:pPr>
            <w:r>
              <w:rPr>
                <w:rFonts w:ascii="Arial" w:cs="Arial" w:eastAsia="Arial" w:hAnsi="Arial"/>
                <w:sz w:val="22"/>
                <w:szCs w:val="22"/>
                <w:b w:val="1"/>
                <w:bCs w:val="1"/>
                <w:color w:val="0000EE"/>
                <w:w w:val="97"/>
              </w:rPr>
              <w:t>AUDIT COMMITTEE REPORT</w:t>
            </w:r>
          </w:p>
        </w:tc>
        <w:tc>
          <w:tcPr>
            <w:tcW w:w="6860" w:type="dxa"/>
            <w:vAlign w:val="bottom"/>
            <w:gridSpan w:val="27"/>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2"/>
                <w:szCs w:val="22"/>
                <w:b w:val="1"/>
                <w:bCs w:val="1"/>
                <w:color w:val="C8102E"/>
              </w:rPr>
              <w:t>26</w:t>
            </w:r>
          </w:p>
        </w:tc>
        <w:tc>
          <w:tcPr>
            <w:tcW w:w="0" w:type="dxa"/>
            <w:vAlign w:val="bottom"/>
          </w:tcPr>
          <w:p>
            <w:pPr>
              <w:spacing w:after="0"/>
              <w:rPr>
                <w:sz w:val="1"/>
                <w:szCs w:val="1"/>
                <w:color w:val="auto"/>
              </w:rPr>
            </w:pPr>
          </w:p>
        </w:tc>
      </w:tr>
      <w:tr>
        <w:trPr>
          <w:trHeight w:val="439"/>
        </w:trPr>
        <w:tc>
          <w:tcPr>
            <w:tcW w:w="9840" w:type="dxa"/>
            <w:vAlign w:val="bottom"/>
            <w:gridSpan w:val="41"/>
          </w:tcPr>
          <w:p>
            <w:pPr>
              <w:spacing w:after="0"/>
              <w:rPr>
                <w:sz w:val="20"/>
                <w:szCs w:val="20"/>
                <w:color w:val="auto"/>
              </w:rPr>
            </w:pPr>
            <w:r>
              <w:rPr>
                <w:rFonts w:ascii="Arial" w:cs="Arial" w:eastAsia="Arial" w:hAnsi="Arial"/>
                <w:sz w:val="22"/>
                <w:szCs w:val="22"/>
                <w:b w:val="1"/>
                <w:bCs w:val="1"/>
                <w:color w:val="0000EE"/>
              </w:rPr>
              <w:t>COMPENSATION DISCUSSION AND ANALYSIS</w:t>
            </w:r>
          </w:p>
        </w:tc>
        <w:tc>
          <w:tcPr>
            <w:tcW w:w="1180" w:type="dxa"/>
            <w:vAlign w:val="bottom"/>
          </w:tcPr>
          <w:p>
            <w:pPr>
              <w:jc w:val="right"/>
              <w:spacing w:after="0"/>
              <w:rPr>
                <w:sz w:val="20"/>
                <w:szCs w:val="20"/>
                <w:color w:val="auto"/>
              </w:rPr>
            </w:pPr>
            <w:r>
              <w:rPr>
                <w:rFonts w:ascii="Arial" w:cs="Arial" w:eastAsia="Arial" w:hAnsi="Arial"/>
                <w:sz w:val="22"/>
                <w:szCs w:val="22"/>
                <w:b w:val="1"/>
                <w:bCs w:val="1"/>
                <w:color w:val="C8102E"/>
              </w:rPr>
              <w:t>27</w:t>
            </w:r>
          </w:p>
        </w:tc>
        <w:tc>
          <w:tcPr>
            <w:tcW w:w="0" w:type="dxa"/>
            <w:vAlign w:val="bottom"/>
          </w:tcPr>
          <w:p>
            <w:pPr>
              <w:spacing w:after="0"/>
              <w:rPr>
                <w:sz w:val="1"/>
                <w:szCs w:val="1"/>
                <w:color w:val="auto"/>
              </w:rPr>
            </w:pPr>
          </w:p>
        </w:tc>
      </w:tr>
      <w:tr>
        <w:trPr>
          <w:trHeight w:val="439"/>
        </w:trPr>
        <w:tc>
          <w:tcPr>
            <w:tcW w:w="360" w:type="dxa"/>
            <w:vAlign w:val="bottom"/>
            <w:tcBorders>
              <w:top w:val="single" w:sz="8" w:color="0000EE"/>
            </w:tcBorders>
          </w:tcPr>
          <w:p>
            <w:pPr>
              <w:spacing w:after="0"/>
              <w:rPr>
                <w:sz w:val="24"/>
                <w:szCs w:val="24"/>
                <w:color w:val="auto"/>
              </w:rPr>
            </w:pPr>
          </w:p>
        </w:tc>
        <w:tc>
          <w:tcPr>
            <w:tcW w:w="192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22"/>
                <w:szCs w:val="22"/>
                <w:color w:val="0000EE"/>
                <w:w w:val="97"/>
              </w:rPr>
              <w:t>Executive Summary</w:t>
            </w:r>
          </w:p>
        </w:tc>
        <w:tc>
          <w:tcPr>
            <w:tcW w:w="2520" w:type="dxa"/>
            <w:vAlign w:val="bottom"/>
            <w:tcBorders>
              <w:top w:val="single" w:sz="8" w:color="0000EE"/>
            </w:tcBorders>
            <w:gridSpan w:val="21"/>
          </w:tcPr>
          <w:p>
            <w:pPr>
              <w:spacing w:after="0"/>
              <w:rPr>
                <w:sz w:val="24"/>
                <w:szCs w:val="24"/>
                <w:color w:val="auto"/>
              </w:rPr>
            </w:pPr>
          </w:p>
        </w:tc>
        <w:tc>
          <w:tcPr>
            <w:tcW w:w="5040" w:type="dxa"/>
            <w:vAlign w:val="bottom"/>
            <w:gridSpan w:val="15"/>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27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9480" w:type="dxa"/>
            <w:vAlign w:val="bottom"/>
            <w:gridSpan w:val="40"/>
          </w:tcPr>
          <w:p>
            <w:pPr>
              <w:spacing w:after="0" w:line="195" w:lineRule="exact"/>
              <w:rPr>
                <w:sz w:val="20"/>
                <w:szCs w:val="20"/>
                <w:color w:val="auto"/>
              </w:rPr>
            </w:pPr>
            <w:r>
              <w:rPr>
                <w:rFonts w:ascii="Arial" w:cs="Arial" w:eastAsia="Arial" w:hAnsi="Arial"/>
                <w:sz w:val="22"/>
                <w:szCs w:val="22"/>
                <w:color w:val="0000EE"/>
              </w:rPr>
              <w:t>Determination of Executive Compensation and Performance Criteria</w:t>
            </w:r>
          </w:p>
        </w:tc>
        <w:tc>
          <w:tcPr>
            <w:tcW w:w="1180" w:type="dxa"/>
            <w:vAlign w:val="bottom"/>
          </w:tcPr>
          <w:p>
            <w:pPr>
              <w:jc w:val="right"/>
              <w:spacing w:after="0" w:line="195" w:lineRule="exact"/>
              <w:rPr>
                <w:sz w:val="20"/>
                <w:szCs w:val="20"/>
                <w:color w:val="auto"/>
              </w:rPr>
            </w:pPr>
            <w:r>
              <w:rPr>
                <w:rFonts w:ascii="Arial" w:cs="Arial" w:eastAsia="Arial" w:hAnsi="Arial"/>
                <w:sz w:val="22"/>
                <w:szCs w:val="22"/>
                <w:color w:val="auto"/>
              </w:rPr>
              <w:t>31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440" w:type="dxa"/>
            <w:vAlign w:val="bottom"/>
            <w:tcBorders>
              <w:top w:val="single" w:sz="8" w:color="0000EE"/>
              <w:bottom w:val="single" w:sz="8" w:color="0000EE"/>
            </w:tcBorders>
            <w:gridSpan w:val="31"/>
          </w:tcPr>
          <w:p>
            <w:pPr>
              <w:spacing w:after="0" w:line="195" w:lineRule="exact"/>
              <w:rPr>
                <w:sz w:val="20"/>
                <w:szCs w:val="20"/>
                <w:color w:val="auto"/>
              </w:rPr>
            </w:pPr>
            <w:r>
              <w:rPr>
                <w:rFonts w:ascii="Arial" w:cs="Arial" w:eastAsia="Arial" w:hAnsi="Arial"/>
                <w:sz w:val="22"/>
                <w:szCs w:val="22"/>
                <w:color w:val="0000EE"/>
                <w:w w:val="97"/>
              </w:rPr>
              <w:t>Elements of Our 2025 Executive Compensation Program</w:t>
            </w:r>
          </w:p>
        </w:tc>
        <w:tc>
          <w:tcPr>
            <w:tcW w:w="1060" w:type="dxa"/>
            <w:vAlign w:val="bottom"/>
            <w:tcBorders>
              <w:top w:val="single" w:sz="8" w:color="0000EE"/>
            </w:tcBorders>
            <w:gridSpan w:val="5"/>
          </w:tcPr>
          <w:p>
            <w:pPr>
              <w:spacing w:after="0"/>
              <w:rPr>
                <w:sz w:val="17"/>
                <w:szCs w:val="17"/>
                <w:color w:val="auto"/>
              </w:rPr>
            </w:pPr>
          </w:p>
        </w:tc>
        <w:tc>
          <w:tcPr>
            <w:tcW w:w="1200" w:type="dxa"/>
            <w:vAlign w:val="bottom"/>
            <w:gridSpan w:val="2"/>
          </w:tcPr>
          <w:p>
            <w:pPr>
              <w:spacing w:after="0"/>
              <w:rPr>
                <w:sz w:val="17"/>
                <w:szCs w:val="17"/>
                <w:color w:val="auto"/>
              </w:rPr>
            </w:pPr>
          </w:p>
        </w:tc>
        <w:tc>
          <w:tcPr>
            <w:tcW w:w="1780" w:type="dxa"/>
            <w:vAlign w:val="bottom"/>
            <w:gridSpan w:val="2"/>
          </w:tcPr>
          <w:p>
            <w:pPr>
              <w:spacing w:after="0"/>
              <w:rPr>
                <w:sz w:val="17"/>
                <w:szCs w:val="17"/>
                <w:color w:val="auto"/>
              </w:rPr>
            </w:pPr>
          </w:p>
        </w:tc>
        <w:tc>
          <w:tcPr>
            <w:tcW w:w="1180" w:type="dxa"/>
            <w:vAlign w:val="bottom"/>
          </w:tcPr>
          <w:p>
            <w:pPr>
              <w:jc w:val="right"/>
              <w:spacing w:after="0" w:line="195" w:lineRule="exact"/>
              <w:rPr>
                <w:sz w:val="20"/>
                <w:szCs w:val="20"/>
                <w:color w:val="auto"/>
              </w:rPr>
            </w:pPr>
            <w:r>
              <w:rPr>
                <w:rFonts w:ascii="Arial" w:cs="Arial" w:eastAsia="Arial" w:hAnsi="Arial"/>
                <w:sz w:val="22"/>
                <w:szCs w:val="22"/>
                <w:color w:val="auto"/>
              </w:rPr>
              <w:t>31</w:t>
            </w:r>
          </w:p>
        </w:tc>
        <w:tc>
          <w:tcPr>
            <w:tcW w:w="0" w:type="dxa"/>
            <w:vAlign w:val="bottom"/>
          </w:tcPr>
          <w:p>
            <w:pPr>
              <w:spacing w:after="0"/>
              <w:rPr>
                <w:sz w:val="1"/>
                <w:szCs w:val="1"/>
                <w:color w:val="auto"/>
              </w:rPr>
            </w:pPr>
          </w:p>
        </w:tc>
      </w:tr>
      <w:tr>
        <w:trPr>
          <w:trHeight w:val="439"/>
        </w:trPr>
        <w:tc>
          <w:tcPr>
            <w:tcW w:w="9840" w:type="dxa"/>
            <w:vAlign w:val="bottom"/>
            <w:gridSpan w:val="41"/>
          </w:tcPr>
          <w:p>
            <w:pPr>
              <w:spacing w:after="0"/>
              <w:rPr>
                <w:sz w:val="20"/>
                <w:szCs w:val="20"/>
                <w:color w:val="auto"/>
              </w:rPr>
            </w:pPr>
            <w:r>
              <w:rPr>
                <w:rFonts w:ascii="Arial" w:cs="Arial" w:eastAsia="Arial" w:hAnsi="Arial"/>
                <w:sz w:val="22"/>
                <w:szCs w:val="22"/>
                <w:b w:val="1"/>
                <w:bCs w:val="1"/>
                <w:color w:val="0000EE"/>
              </w:rPr>
              <w:t>COMPENSATION AND HUMAN CAPITAL MANAGEMENT COMMITTEE REPORT</w:t>
            </w:r>
          </w:p>
        </w:tc>
        <w:tc>
          <w:tcPr>
            <w:tcW w:w="1180" w:type="dxa"/>
            <w:vAlign w:val="bottom"/>
          </w:tcPr>
          <w:p>
            <w:pPr>
              <w:jc w:val="right"/>
              <w:spacing w:after="0"/>
              <w:rPr>
                <w:sz w:val="20"/>
                <w:szCs w:val="20"/>
                <w:color w:val="auto"/>
              </w:rPr>
            </w:pPr>
            <w:r>
              <w:rPr>
                <w:rFonts w:ascii="Arial" w:cs="Arial" w:eastAsia="Arial" w:hAnsi="Arial"/>
                <w:sz w:val="22"/>
                <w:szCs w:val="22"/>
                <w:b w:val="1"/>
                <w:bCs w:val="1"/>
                <w:color w:val="C8102E"/>
              </w:rPr>
              <w:t>40</w:t>
            </w:r>
          </w:p>
        </w:tc>
        <w:tc>
          <w:tcPr>
            <w:tcW w:w="0" w:type="dxa"/>
            <w:vAlign w:val="bottom"/>
          </w:tcPr>
          <w:p>
            <w:pPr>
              <w:spacing w:after="0"/>
              <w:rPr>
                <w:sz w:val="1"/>
                <w:szCs w:val="1"/>
                <w:color w:val="auto"/>
              </w:rPr>
            </w:pPr>
          </w:p>
        </w:tc>
      </w:tr>
      <w:tr>
        <w:trPr>
          <w:trHeight w:val="439"/>
        </w:trPr>
        <w:tc>
          <w:tcPr>
            <w:tcW w:w="8060" w:type="dxa"/>
            <w:vAlign w:val="bottom"/>
            <w:tcBorders>
              <w:top w:val="single" w:sz="8" w:color="0000EE"/>
            </w:tcBorders>
            <w:gridSpan w:val="39"/>
          </w:tcPr>
          <w:p>
            <w:pPr>
              <w:spacing w:after="0"/>
              <w:rPr>
                <w:sz w:val="20"/>
                <w:szCs w:val="20"/>
                <w:color w:val="auto"/>
              </w:rPr>
            </w:pPr>
            <w:r>
              <w:rPr>
                <w:rFonts w:ascii="Arial" w:cs="Arial" w:eastAsia="Arial" w:hAnsi="Arial"/>
                <w:sz w:val="22"/>
                <w:szCs w:val="22"/>
                <w:b w:val="1"/>
                <w:bCs w:val="1"/>
                <w:color w:val="0000EE"/>
              </w:rPr>
              <w:t>EXECUTIVE COMPENSATION</w:t>
            </w:r>
          </w:p>
        </w:tc>
        <w:tc>
          <w:tcPr>
            <w:tcW w:w="1780" w:type="dxa"/>
            <w:vAlign w:val="bottom"/>
            <w:gridSpan w:val="2"/>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2"/>
                <w:szCs w:val="22"/>
                <w:b w:val="1"/>
                <w:bCs w:val="1"/>
                <w:color w:val="C8102E"/>
              </w:rPr>
              <w:t>41</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2660" w:type="dxa"/>
            <w:vAlign w:val="bottom"/>
            <w:gridSpan w:val="1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800" w:type="dxa"/>
            <w:vAlign w:val="bottom"/>
            <w:gridSpan w:val="7"/>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60" w:type="dxa"/>
            <w:vAlign w:val="bottom"/>
          </w:tcPr>
          <w:p>
            <w:pPr>
              <w:spacing w:after="0"/>
              <w:rPr>
                <w:sz w:val="24"/>
                <w:szCs w:val="24"/>
                <w:color w:val="auto"/>
              </w:rPr>
            </w:pPr>
          </w:p>
        </w:tc>
        <w:tc>
          <w:tcPr>
            <w:tcW w:w="9480" w:type="dxa"/>
            <w:vAlign w:val="bottom"/>
            <w:gridSpan w:val="40"/>
          </w:tcPr>
          <w:p>
            <w:pPr>
              <w:spacing w:after="0"/>
              <w:rPr>
                <w:sz w:val="20"/>
                <w:szCs w:val="20"/>
                <w:color w:val="auto"/>
              </w:rPr>
            </w:pPr>
            <w:r>
              <w:rPr>
                <w:rFonts w:ascii="Arial" w:cs="Arial" w:eastAsia="Arial" w:hAnsi="Arial"/>
                <w:sz w:val="22"/>
                <w:szCs w:val="22"/>
                <w:color w:val="0000EE"/>
              </w:rPr>
              <w:t>Summary Compensation Table</w:t>
            </w:r>
          </w:p>
        </w:tc>
        <w:tc>
          <w:tcPr>
            <w:tcW w:w="1180" w:type="dxa"/>
            <w:vAlign w:val="bottom"/>
          </w:tcPr>
          <w:p>
            <w:pPr>
              <w:jc w:val="right"/>
              <w:spacing w:after="0"/>
              <w:rPr>
                <w:sz w:val="20"/>
                <w:szCs w:val="20"/>
                <w:color w:val="auto"/>
              </w:rPr>
            </w:pPr>
            <w:r>
              <w:rPr>
                <w:rFonts w:ascii="Arial" w:cs="Arial" w:eastAsia="Arial" w:hAnsi="Arial"/>
                <w:sz w:val="22"/>
                <w:szCs w:val="22"/>
                <w:color w:val="auto"/>
              </w:rPr>
              <w:t>41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940" w:type="dxa"/>
            <w:vAlign w:val="bottom"/>
            <w:tcBorders>
              <w:top w:val="single" w:sz="8" w:color="0000EE"/>
            </w:tcBorders>
            <w:gridSpan w:val="18"/>
          </w:tcPr>
          <w:p>
            <w:pPr>
              <w:spacing w:after="0" w:line="195" w:lineRule="exact"/>
              <w:rPr>
                <w:sz w:val="20"/>
                <w:szCs w:val="20"/>
                <w:color w:val="auto"/>
              </w:rPr>
            </w:pPr>
            <w:r>
              <w:rPr>
                <w:rFonts w:ascii="Arial" w:cs="Arial" w:eastAsia="Arial" w:hAnsi="Arial"/>
                <w:sz w:val="22"/>
                <w:szCs w:val="22"/>
                <w:color w:val="0000EE"/>
              </w:rPr>
              <w:t>Grants of Plan-Based Awards</w:t>
            </w:r>
          </w:p>
        </w:tc>
        <w:tc>
          <w:tcPr>
            <w:tcW w:w="6540" w:type="dxa"/>
            <w:vAlign w:val="bottom"/>
            <w:gridSpan w:val="22"/>
          </w:tcPr>
          <w:p>
            <w:pPr>
              <w:spacing w:after="0" w:line="195" w:lineRule="exact"/>
              <w:rPr>
                <w:sz w:val="20"/>
                <w:szCs w:val="20"/>
                <w:color w:val="auto"/>
              </w:rPr>
            </w:pPr>
            <w:r>
              <w:rPr>
                <w:rFonts w:ascii="Arial" w:cs="Arial" w:eastAsia="Arial" w:hAnsi="Arial"/>
                <w:sz w:val="22"/>
                <w:szCs w:val="22"/>
                <w:color w:val="0000EE"/>
              </w:rPr>
              <w:t>for 2025</w:t>
            </w:r>
          </w:p>
        </w:tc>
        <w:tc>
          <w:tcPr>
            <w:tcW w:w="1180" w:type="dxa"/>
            <w:vAlign w:val="bottom"/>
          </w:tcPr>
          <w:p>
            <w:pPr>
              <w:jc w:val="right"/>
              <w:spacing w:after="0" w:line="195" w:lineRule="exact"/>
              <w:rPr>
                <w:sz w:val="20"/>
                <w:szCs w:val="20"/>
                <w:color w:val="auto"/>
              </w:rPr>
            </w:pPr>
            <w:r>
              <w:rPr>
                <w:rFonts w:ascii="Arial" w:cs="Arial" w:eastAsia="Arial" w:hAnsi="Arial"/>
                <w:sz w:val="22"/>
                <w:szCs w:val="22"/>
                <w:color w:val="auto"/>
              </w:rPr>
              <w:t>43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760" w:type="dxa"/>
            <w:vAlign w:val="bottom"/>
            <w:gridSpan w:val="16"/>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800" w:type="dxa"/>
            <w:vAlign w:val="bottom"/>
            <w:gridSpan w:val="7"/>
          </w:tcPr>
          <w:p>
            <w:pPr>
              <w:spacing w:after="0" w:line="20" w:lineRule="exact"/>
              <w:rPr>
                <w:sz w:val="1"/>
                <w:szCs w:val="1"/>
                <w:color w:val="auto"/>
              </w:rPr>
            </w:pPr>
          </w:p>
        </w:tc>
        <w:tc>
          <w:tcPr>
            <w:tcW w:w="1180" w:type="dxa"/>
            <w:vAlign w:val="bottom"/>
            <w:vMerge w:val="restart"/>
          </w:tcPr>
          <w:p>
            <w:pPr>
              <w:jc w:val="right"/>
              <w:spacing w:after="0" w:line="216" w:lineRule="exact"/>
              <w:rPr>
                <w:sz w:val="20"/>
                <w:szCs w:val="20"/>
                <w:color w:val="auto"/>
              </w:rPr>
            </w:pPr>
            <w:r>
              <w:rPr>
                <w:rFonts w:ascii="Arial" w:cs="Arial" w:eastAsia="Arial" w:hAnsi="Arial"/>
                <w:sz w:val="22"/>
                <w:szCs w:val="22"/>
                <w:color w:val="auto"/>
              </w:rPr>
              <w:t>44</w:t>
            </w: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960" w:type="dxa"/>
            <w:vAlign w:val="bottom"/>
            <w:tcBorders>
              <w:bottom w:val="single" w:sz="8" w:color="0000EE"/>
            </w:tcBorders>
            <w:gridSpan w:val="27"/>
          </w:tcPr>
          <w:p>
            <w:pPr>
              <w:spacing w:after="0" w:line="195" w:lineRule="exact"/>
              <w:rPr>
                <w:sz w:val="20"/>
                <w:szCs w:val="20"/>
                <w:color w:val="auto"/>
              </w:rPr>
            </w:pPr>
            <w:r>
              <w:rPr>
                <w:rFonts w:ascii="Arial" w:cs="Arial" w:eastAsia="Arial" w:hAnsi="Arial"/>
                <w:sz w:val="22"/>
                <w:szCs w:val="22"/>
                <w:color w:val="0000EE"/>
                <w:w w:val="97"/>
              </w:rPr>
              <w:t>Outstanding Equity Awards at 2025 Fiscal Year-End</w:t>
            </w:r>
          </w:p>
        </w:tc>
        <w:tc>
          <w:tcPr>
            <w:tcW w:w="4520" w:type="dxa"/>
            <w:vAlign w:val="bottom"/>
            <w:gridSpan w:val="13"/>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9480" w:type="dxa"/>
            <w:vAlign w:val="bottom"/>
            <w:gridSpan w:val="40"/>
          </w:tcPr>
          <w:p>
            <w:pPr>
              <w:spacing w:after="0" w:line="195" w:lineRule="exact"/>
              <w:rPr>
                <w:sz w:val="20"/>
                <w:szCs w:val="20"/>
                <w:color w:val="auto"/>
              </w:rPr>
            </w:pPr>
            <w:r>
              <w:rPr>
                <w:rFonts w:ascii="Arial" w:cs="Arial" w:eastAsia="Arial" w:hAnsi="Arial"/>
                <w:sz w:val="22"/>
                <w:szCs w:val="22"/>
                <w:color w:val="0000EE"/>
              </w:rPr>
              <w:t>Option Exercises and Stock Vested During Fiscal 2025</w:t>
            </w:r>
          </w:p>
        </w:tc>
        <w:tc>
          <w:tcPr>
            <w:tcW w:w="1180" w:type="dxa"/>
            <w:vAlign w:val="bottom"/>
          </w:tcPr>
          <w:p>
            <w:pPr>
              <w:jc w:val="right"/>
              <w:spacing w:after="0" w:line="195" w:lineRule="exact"/>
              <w:rPr>
                <w:sz w:val="20"/>
                <w:szCs w:val="20"/>
                <w:color w:val="auto"/>
              </w:rPr>
            </w:pPr>
            <w:r>
              <w:rPr>
                <w:rFonts w:ascii="Arial" w:cs="Arial" w:eastAsia="Arial" w:hAnsi="Arial"/>
                <w:sz w:val="22"/>
                <w:szCs w:val="22"/>
                <w:color w:val="auto"/>
              </w:rPr>
              <w:t>47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240" w:type="dxa"/>
            <w:vAlign w:val="bottom"/>
            <w:tcBorders>
              <w:top w:val="single" w:sz="8" w:color="0000EE"/>
            </w:tcBorders>
            <w:gridSpan w:val="29"/>
          </w:tcPr>
          <w:p>
            <w:pPr>
              <w:spacing w:after="0" w:line="195" w:lineRule="exact"/>
              <w:rPr>
                <w:sz w:val="20"/>
                <w:szCs w:val="20"/>
                <w:color w:val="auto"/>
              </w:rPr>
            </w:pPr>
            <w:r>
              <w:rPr>
                <w:rFonts w:ascii="Arial" w:cs="Arial" w:eastAsia="Arial" w:hAnsi="Arial"/>
                <w:sz w:val="22"/>
                <w:szCs w:val="22"/>
                <w:color w:val="0000EE"/>
              </w:rPr>
              <w:t>Nonqualified Deferred Compensation</w:t>
            </w:r>
          </w:p>
        </w:tc>
        <w:tc>
          <w:tcPr>
            <w:tcW w:w="440" w:type="dxa"/>
            <w:vAlign w:val="bottom"/>
            <w:gridSpan w:val="4"/>
          </w:tcPr>
          <w:p>
            <w:pPr>
              <w:spacing w:after="0"/>
              <w:rPr>
                <w:sz w:val="17"/>
                <w:szCs w:val="17"/>
                <w:color w:val="auto"/>
              </w:rPr>
            </w:pPr>
          </w:p>
        </w:tc>
        <w:tc>
          <w:tcPr>
            <w:tcW w:w="3800" w:type="dxa"/>
            <w:vAlign w:val="bottom"/>
            <w:gridSpan w:val="7"/>
          </w:tcPr>
          <w:p>
            <w:pPr>
              <w:spacing w:after="0"/>
              <w:rPr>
                <w:sz w:val="17"/>
                <w:szCs w:val="17"/>
                <w:color w:val="auto"/>
              </w:rPr>
            </w:pPr>
          </w:p>
        </w:tc>
        <w:tc>
          <w:tcPr>
            <w:tcW w:w="1180" w:type="dxa"/>
            <w:vAlign w:val="bottom"/>
          </w:tcPr>
          <w:p>
            <w:pPr>
              <w:jc w:val="right"/>
              <w:spacing w:after="0" w:line="195" w:lineRule="exact"/>
              <w:rPr>
                <w:sz w:val="20"/>
                <w:szCs w:val="20"/>
                <w:color w:val="auto"/>
              </w:rPr>
            </w:pPr>
            <w:r>
              <w:rPr>
                <w:rFonts w:ascii="Arial" w:cs="Arial" w:eastAsia="Arial" w:hAnsi="Arial"/>
                <w:sz w:val="22"/>
                <w:szCs w:val="22"/>
                <w:color w:val="auto"/>
              </w:rPr>
              <w:t>48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540" w:type="dxa"/>
            <w:vAlign w:val="bottom"/>
            <w:tcBorders>
              <w:top w:val="single" w:sz="8" w:color="0000EE"/>
              <w:bottom w:val="single" w:sz="8" w:color="0000EE"/>
            </w:tcBorders>
            <w:gridSpan w:val="21"/>
          </w:tcPr>
          <w:p>
            <w:pPr>
              <w:spacing w:after="0" w:line="195" w:lineRule="exact"/>
              <w:rPr>
                <w:sz w:val="20"/>
                <w:szCs w:val="20"/>
                <w:color w:val="auto"/>
              </w:rPr>
            </w:pPr>
            <w:r>
              <w:rPr>
                <w:rFonts w:ascii="Arial" w:cs="Arial" w:eastAsia="Arial" w:hAnsi="Arial"/>
                <w:sz w:val="22"/>
                <w:szCs w:val="22"/>
                <w:color w:val="0000EE"/>
                <w:w w:val="94"/>
              </w:rPr>
              <w:t>Potential Payments Upon Termination</w:t>
            </w:r>
          </w:p>
        </w:tc>
        <w:tc>
          <w:tcPr>
            <w:tcW w:w="2140" w:type="dxa"/>
            <w:vAlign w:val="bottom"/>
            <w:tcBorders>
              <w:bottom w:val="single" w:sz="8" w:color="0000EE"/>
            </w:tcBorders>
            <w:gridSpan w:val="12"/>
          </w:tcPr>
          <w:p>
            <w:pPr>
              <w:ind w:left="120"/>
              <w:spacing w:after="0" w:line="195" w:lineRule="exact"/>
              <w:rPr>
                <w:sz w:val="20"/>
                <w:szCs w:val="20"/>
                <w:color w:val="auto"/>
              </w:rPr>
            </w:pPr>
            <w:r>
              <w:rPr>
                <w:rFonts w:ascii="Arial" w:cs="Arial" w:eastAsia="Arial" w:hAnsi="Arial"/>
                <w:sz w:val="22"/>
                <w:szCs w:val="22"/>
                <w:color w:val="0000EE"/>
                <w:w w:val="97"/>
              </w:rPr>
              <w:t>or Change of Control</w:t>
            </w:r>
          </w:p>
        </w:tc>
        <w:tc>
          <w:tcPr>
            <w:tcW w:w="3800" w:type="dxa"/>
            <w:vAlign w:val="bottom"/>
            <w:gridSpan w:val="7"/>
          </w:tcPr>
          <w:p>
            <w:pPr>
              <w:spacing w:after="0"/>
              <w:rPr>
                <w:sz w:val="17"/>
                <w:szCs w:val="17"/>
                <w:color w:val="auto"/>
              </w:rPr>
            </w:pPr>
          </w:p>
        </w:tc>
        <w:tc>
          <w:tcPr>
            <w:tcW w:w="1180" w:type="dxa"/>
            <w:vAlign w:val="bottom"/>
          </w:tcPr>
          <w:p>
            <w:pPr>
              <w:jc w:val="right"/>
              <w:spacing w:after="0" w:line="195" w:lineRule="exact"/>
              <w:rPr>
                <w:sz w:val="20"/>
                <w:szCs w:val="20"/>
                <w:color w:val="auto"/>
              </w:rPr>
            </w:pPr>
            <w:r>
              <w:rPr>
                <w:rFonts w:ascii="Arial" w:cs="Arial" w:eastAsia="Arial" w:hAnsi="Arial"/>
                <w:sz w:val="22"/>
                <w:szCs w:val="22"/>
                <w:color w:val="auto"/>
              </w:rPr>
              <w:t>52</w:t>
            </w:r>
          </w:p>
        </w:tc>
        <w:tc>
          <w:tcPr>
            <w:tcW w:w="0" w:type="dxa"/>
            <w:vAlign w:val="bottom"/>
          </w:tcPr>
          <w:p>
            <w:pPr>
              <w:spacing w:after="0"/>
              <w:rPr>
                <w:sz w:val="1"/>
                <w:szCs w:val="1"/>
                <w:color w:val="auto"/>
              </w:rPr>
            </w:pPr>
          </w:p>
        </w:tc>
      </w:tr>
      <w:tr>
        <w:trPr>
          <w:trHeight w:val="439"/>
        </w:trPr>
        <w:tc>
          <w:tcPr>
            <w:tcW w:w="9840" w:type="dxa"/>
            <w:vAlign w:val="bottom"/>
            <w:gridSpan w:val="41"/>
          </w:tcPr>
          <w:p>
            <w:pPr>
              <w:spacing w:after="0"/>
              <w:rPr>
                <w:sz w:val="20"/>
                <w:szCs w:val="20"/>
                <w:color w:val="auto"/>
              </w:rPr>
            </w:pPr>
            <w:r>
              <w:rPr>
                <w:rFonts w:ascii="Arial" w:cs="Arial" w:eastAsia="Arial" w:hAnsi="Arial"/>
                <w:sz w:val="22"/>
                <w:szCs w:val="22"/>
                <w:b w:val="1"/>
                <w:bCs w:val="1"/>
                <w:color w:val="0000EE"/>
              </w:rPr>
              <w:t>CEO PAY RATIO DISCLOSURE</w:t>
            </w:r>
          </w:p>
        </w:tc>
        <w:tc>
          <w:tcPr>
            <w:tcW w:w="1180" w:type="dxa"/>
            <w:vAlign w:val="bottom"/>
          </w:tcPr>
          <w:p>
            <w:pPr>
              <w:jc w:val="right"/>
              <w:spacing w:after="0"/>
              <w:rPr>
                <w:sz w:val="20"/>
                <w:szCs w:val="20"/>
                <w:color w:val="auto"/>
              </w:rPr>
            </w:pPr>
            <w:r>
              <w:rPr>
                <w:rFonts w:ascii="Arial" w:cs="Arial" w:eastAsia="Arial" w:hAnsi="Arial"/>
                <w:sz w:val="22"/>
                <w:szCs w:val="22"/>
                <w:b w:val="1"/>
                <w:bCs w:val="1"/>
                <w:color w:val="C8102E"/>
              </w:rPr>
              <w:t>53</w:t>
            </w:r>
          </w:p>
        </w:tc>
        <w:tc>
          <w:tcPr>
            <w:tcW w:w="0" w:type="dxa"/>
            <w:vAlign w:val="bottom"/>
          </w:tcPr>
          <w:p>
            <w:pPr>
              <w:spacing w:after="0"/>
              <w:rPr>
                <w:sz w:val="1"/>
                <w:szCs w:val="1"/>
                <w:color w:val="auto"/>
              </w:rPr>
            </w:pPr>
          </w:p>
        </w:tc>
      </w:tr>
      <w:tr>
        <w:trPr>
          <w:trHeight w:val="479"/>
        </w:trPr>
        <w:tc>
          <w:tcPr>
            <w:tcW w:w="360" w:type="dxa"/>
            <w:vAlign w:val="bottom"/>
            <w:tcBorders>
              <w:top w:val="single" w:sz="8" w:color="0000EE"/>
              <w:bottom w:val="single" w:sz="8" w:color="auto"/>
            </w:tcBorders>
          </w:tcPr>
          <w:p>
            <w:pPr>
              <w:spacing w:after="0"/>
              <w:rPr>
                <w:sz w:val="24"/>
                <w:szCs w:val="24"/>
                <w:color w:val="auto"/>
              </w:rPr>
            </w:pPr>
          </w:p>
        </w:tc>
        <w:tc>
          <w:tcPr>
            <w:tcW w:w="136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595" w:right="4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120" w:type="dxa"/>
            <w:vAlign w:val="bottom"/>
            <w:tcBorders>
              <w:bottom w:val="single" w:sz="8" w:color="0000EE"/>
            </w:tcBorders>
            <w:gridSpan w:val="10"/>
          </w:tcPr>
          <w:p>
            <w:pPr>
              <w:spacing w:after="0"/>
              <w:rPr>
                <w:sz w:val="20"/>
                <w:szCs w:val="20"/>
                <w:color w:val="auto"/>
              </w:rPr>
            </w:pPr>
            <w:r>
              <w:rPr>
                <w:rFonts w:ascii="Arial" w:cs="Arial" w:eastAsia="Arial" w:hAnsi="Arial"/>
                <w:sz w:val="22"/>
                <w:szCs w:val="22"/>
                <w:b w:val="1"/>
                <w:bCs w:val="1"/>
                <w:color w:val="0000EE"/>
                <w:w w:val="96"/>
              </w:rPr>
              <w:t>PAY-VERSUS-PERFORMANCE</w:t>
            </w:r>
          </w:p>
        </w:tc>
        <w:tc>
          <w:tcPr>
            <w:tcW w:w="7440" w:type="dxa"/>
            <w:vAlign w:val="bottom"/>
            <w:gridSpan w:val="18"/>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22"/>
                <w:szCs w:val="22"/>
                <w:b w:val="1"/>
                <w:bCs w:val="1"/>
                <w:color w:val="C8102E"/>
              </w:rPr>
              <w:t>54</w:t>
            </w:r>
          </w:p>
        </w:tc>
        <w:tc>
          <w:tcPr>
            <w:tcW w:w="0" w:type="dxa"/>
            <w:vAlign w:val="bottom"/>
          </w:tcPr>
          <w:p>
            <w:pPr>
              <w:spacing w:after="0"/>
              <w:rPr>
                <w:sz w:val="1"/>
                <w:szCs w:val="1"/>
                <w:color w:val="auto"/>
              </w:rPr>
            </w:pPr>
          </w:p>
        </w:tc>
      </w:tr>
      <w:tr>
        <w:trPr>
          <w:trHeight w:val="439"/>
        </w:trPr>
        <w:tc>
          <w:tcPr>
            <w:tcW w:w="10560" w:type="dxa"/>
            <w:vAlign w:val="bottom"/>
            <w:gridSpan w:val="28"/>
          </w:tcPr>
          <w:p>
            <w:pPr>
              <w:spacing w:after="0"/>
              <w:rPr>
                <w:sz w:val="20"/>
                <w:szCs w:val="20"/>
                <w:color w:val="auto"/>
              </w:rPr>
            </w:pPr>
            <w:r>
              <w:rPr>
                <w:rFonts w:ascii="Arial" w:cs="Arial" w:eastAsia="Arial" w:hAnsi="Arial"/>
                <w:sz w:val="22"/>
                <w:szCs w:val="22"/>
                <w:b w:val="1"/>
                <w:bCs w:val="1"/>
                <w:color w:val="0000EE"/>
              </w:rPr>
              <w:t>EQUITY COMPENSATION PLAN INFORMATION</w:t>
            </w:r>
          </w:p>
        </w:tc>
        <w:tc>
          <w:tcPr>
            <w:tcW w:w="460" w:type="dxa"/>
            <w:vAlign w:val="bottom"/>
          </w:tcPr>
          <w:p>
            <w:pPr>
              <w:jc w:val="right"/>
              <w:spacing w:after="0"/>
              <w:rPr>
                <w:sz w:val="20"/>
                <w:szCs w:val="20"/>
                <w:color w:val="auto"/>
              </w:rPr>
            </w:pPr>
            <w:r>
              <w:rPr>
                <w:rFonts w:ascii="Arial" w:cs="Arial" w:eastAsia="Arial" w:hAnsi="Arial"/>
                <w:sz w:val="22"/>
                <w:szCs w:val="22"/>
                <w:b w:val="1"/>
                <w:bCs w:val="1"/>
                <w:color w:val="C8102E"/>
              </w:rPr>
              <w:t>57</w:t>
            </w:r>
          </w:p>
        </w:tc>
        <w:tc>
          <w:tcPr>
            <w:tcW w:w="0" w:type="dxa"/>
            <w:vAlign w:val="bottom"/>
          </w:tcPr>
          <w:p>
            <w:pPr>
              <w:spacing w:after="0"/>
              <w:rPr>
                <w:sz w:val="1"/>
                <w:szCs w:val="1"/>
                <w:color w:val="auto"/>
              </w:rPr>
            </w:pPr>
          </w:p>
        </w:tc>
      </w:tr>
      <w:tr>
        <w:trPr>
          <w:trHeight w:val="412"/>
        </w:trPr>
        <w:tc>
          <w:tcPr>
            <w:tcW w:w="4820" w:type="dxa"/>
            <w:vAlign w:val="bottom"/>
            <w:tcBorders>
              <w:top w:val="single" w:sz="8" w:color="0000EE"/>
            </w:tcBorders>
            <w:gridSpan w:val="19"/>
          </w:tcPr>
          <w:p>
            <w:pPr>
              <w:spacing w:after="0"/>
              <w:rPr>
                <w:sz w:val="20"/>
                <w:szCs w:val="20"/>
                <w:color w:val="auto"/>
              </w:rPr>
            </w:pPr>
            <w:r>
              <w:rPr>
                <w:rFonts w:ascii="Arial" w:cs="Arial" w:eastAsia="Arial" w:hAnsi="Arial"/>
                <w:sz w:val="22"/>
                <w:szCs w:val="22"/>
                <w:b w:val="1"/>
                <w:bCs w:val="1"/>
                <w:color w:val="0000EE"/>
              </w:rPr>
              <w:t>DELINQUENT SECTION 16(A) REPORTS</w:t>
            </w:r>
          </w:p>
        </w:tc>
        <w:tc>
          <w:tcPr>
            <w:tcW w:w="5740" w:type="dxa"/>
            <w:vAlign w:val="bottom"/>
            <w:gridSpan w:val="9"/>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22"/>
                <w:szCs w:val="22"/>
                <w:b w:val="1"/>
                <w:bCs w:val="1"/>
                <w:color w:val="C80F2D"/>
              </w:rPr>
              <w:t>57</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560" w:type="dxa"/>
            <w:vAlign w:val="bottom"/>
            <w:gridSpan w:val="28"/>
          </w:tcPr>
          <w:p>
            <w:pPr>
              <w:spacing w:after="0"/>
              <w:rPr>
                <w:sz w:val="20"/>
                <w:szCs w:val="20"/>
                <w:color w:val="auto"/>
              </w:rPr>
            </w:pPr>
            <w:r>
              <w:rPr>
                <w:rFonts w:ascii="Arial" w:cs="Arial" w:eastAsia="Arial" w:hAnsi="Arial"/>
                <w:sz w:val="22"/>
                <w:szCs w:val="22"/>
                <w:b w:val="1"/>
                <w:bCs w:val="1"/>
                <w:color w:val="0000EE"/>
                <w:w w:val="99"/>
              </w:rPr>
              <w:t>PROPOSAL 3 APPROVAL OF NAMED EXECUTIVE OFFICERS’ COMPENSATION, ON A NON-BINDING</w:t>
            </w:r>
          </w:p>
        </w:tc>
        <w:tc>
          <w:tcPr>
            <w:tcW w:w="460" w:type="dxa"/>
            <w:vAlign w:val="bottom"/>
            <w:vMerge w:val="restart"/>
          </w:tcPr>
          <w:p>
            <w:pPr>
              <w:jc w:val="right"/>
              <w:spacing w:after="0"/>
              <w:rPr>
                <w:sz w:val="20"/>
                <w:szCs w:val="20"/>
                <w:color w:val="auto"/>
              </w:rPr>
            </w:pPr>
            <w:r>
              <w:rPr>
                <w:rFonts w:ascii="Arial" w:cs="Arial" w:eastAsia="Arial" w:hAnsi="Arial"/>
                <w:sz w:val="22"/>
                <w:szCs w:val="22"/>
                <w:b w:val="1"/>
                <w:bCs w:val="1"/>
                <w:color w:val="C8102E"/>
              </w:rPr>
              <w:t>58</w:t>
            </w:r>
          </w:p>
        </w:tc>
        <w:tc>
          <w:tcPr>
            <w:tcW w:w="0" w:type="dxa"/>
            <w:vAlign w:val="bottom"/>
          </w:tcPr>
          <w:p>
            <w:pPr>
              <w:spacing w:after="0"/>
              <w:rPr>
                <w:sz w:val="1"/>
                <w:szCs w:val="1"/>
                <w:color w:val="auto"/>
              </w:rPr>
            </w:pPr>
          </w:p>
        </w:tc>
      </w:tr>
      <w:tr>
        <w:trPr>
          <w:trHeight w:val="196"/>
        </w:trPr>
        <w:tc>
          <w:tcPr>
            <w:tcW w:w="10340" w:type="dxa"/>
            <w:vAlign w:val="bottom"/>
            <w:tcBorders>
              <w:top w:val="single" w:sz="8" w:color="0000EE"/>
            </w:tcBorders>
            <w:gridSpan w:val="27"/>
          </w:tcPr>
          <w:p>
            <w:pPr>
              <w:spacing w:after="0" w:line="195" w:lineRule="exact"/>
              <w:rPr>
                <w:sz w:val="20"/>
                <w:szCs w:val="20"/>
                <w:color w:val="auto"/>
              </w:rPr>
            </w:pPr>
            <w:r>
              <w:rPr>
                <w:rFonts w:ascii="Arial" w:cs="Arial" w:eastAsia="Arial" w:hAnsi="Arial"/>
                <w:sz w:val="22"/>
                <w:szCs w:val="22"/>
                <w:b w:val="1"/>
                <w:bCs w:val="1"/>
                <w:color w:val="0000EE"/>
              </w:rPr>
              <w:t>ADVISORY BASIS (“SAY-ON-PAY”)</w:t>
            </w:r>
          </w:p>
        </w:tc>
        <w:tc>
          <w:tcPr>
            <w:tcW w:w="22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60" w:type="dxa"/>
            <w:vAlign w:val="bottom"/>
          </w:tcPr>
          <w:p>
            <w:pPr>
              <w:spacing w:after="0"/>
              <w:rPr>
                <w:sz w:val="24"/>
                <w:szCs w:val="24"/>
                <w:color w:val="auto"/>
              </w:rPr>
            </w:pPr>
          </w:p>
        </w:tc>
        <w:tc>
          <w:tcPr>
            <w:tcW w:w="10200" w:type="dxa"/>
            <w:vAlign w:val="bottom"/>
            <w:gridSpan w:val="27"/>
          </w:tcPr>
          <w:p>
            <w:pPr>
              <w:spacing w:after="0"/>
              <w:rPr>
                <w:sz w:val="20"/>
                <w:szCs w:val="20"/>
                <w:color w:val="auto"/>
              </w:rPr>
            </w:pPr>
            <w:r>
              <w:rPr>
                <w:rFonts w:ascii="Arial" w:cs="Arial" w:eastAsia="Arial" w:hAnsi="Arial"/>
                <w:sz w:val="22"/>
                <w:szCs w:val="22"/>
                <w:color w:val="0000EE"/>
              </w:rPr>
              <w:t>Why You Should Approve Our Executive Compensation Program</w:t>
            </w:r>
          </w:p>
        </w:tc>
        <w:tc>
          <w:tcPr>
            <w:tcW w:w="460" w:type="dxa"/>
            <w:vAlign w:val="bottom"/>
          </w:tcPr>
          <w:p>
            <w:pPr>
              <w:jc w:val="right"/>
              <w:spacing w:after="0"/>
              <w:rPr>
                <w:sz w:val="20"/>
                <w:szCs w:val="20"/>
                <w:color w:val="auto"/>
              </w:rPr>
            </w:pPr>
            <w:r>
              <w:rPr>
                <w:rFonts w:ascii="Arial" w:cs="Arial" w:eastAsia="Arial" w:hAnsi="Arial"/>
                <w:sz w:val="22"/>
                <w:szCs w:val="22"/>
                <w:color w:val="auto"/>
              </w:rPr>
              <w:t>58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200" w:type="dxa"/>
            <w:vAlign w:val="bottom"/>
            <w:tcBorders>
              <w:top w:val="single" w:sz="8" w:color="0000EE"/>
            </w:tcBorders>
            <w:gridSpan w:val="23"/>
          </w:tcPr>
          <w:p>
            <w:pPr>
              <w:spacing w:after="0" w:line="195" w:lineRule="exact"/>
              <w:rPr>
                <w:sz w:val="20"/>
                <w:szCs w:val="20"/>
                <w:color w:val="auto"/>
              </w:rPr>
            </w:pPr>
            <w:r>
              <w:rPr>
                <w:rFonts w:ascii="Arial" w:cs="Arial" w:eastAsia="Arial" w:hAnsi="Arial"/>
                <w:sz w:val="22"/>
                <w:szCs w:val="22"/>
                <w:color w:val="0000EE"/>
              </w:rPr>
              <w:t>Vote Required</w:t>
            </w:r>
          </w:p>
        </w:tc>
        <w:tc>
          <w:tcPr>
            <w:tcW w:w="3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2"/>
          </w:tcPr>
          <w:p>
            <w:pPr>
              <w:spacing w:after="0"/>
              <w:rPr>
                <w:sz w:val="17"/>
                <w:szCs w:val="17"/>
                <w:color w:val="auto"/>
              </w:rPr>
            </w:pPr>
          </w:p>
        </w:tc>
        <w:tc>
          <w:tcPr>
            <w:tcW w:w="460" w:type="dxa"/>
            <w:vAlign w:val="bottom"/>
          </w:tcPr>
          <w:p>
            <w:pPr>
              <w:jc w:val="right"/>
              <w:spacing w:after="0" w:line="195" w:lineRule="exact"/>
              <w:rPr>
                <w:sz w:val="20"/>
                <w:szCs w:val="20"/>
                <w:color w:val="auto"/>
              </w:rPr>
            </w:pPr>
            <w:r>
              <w:rPr>
                <w:rFonts w:ascii="Arial" w:cs="Arial" w:eastAsia="Arial" w:hAnsi="Arial"/>
                <w:sz w:val="22"/>
                <w:szCs w:val="22"/>
                <w:color w:val="auto"/>
              </w:rPr>
              <w:t>58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60" w:type="dxa"/>
            <w:vAlign w:val="bottom"/>
            <w:vMerge w:val="restart"/>
          </w:tcPr>
          <w:p>
            <w:pPr>
              <w:jc w:val="right"/>
              <w:spacing w:after="0" w:line="216" w:lineRule="exact"/>
              <w:rPr>
                <w:sz w:val="20"/>
                <w:szCs w:val="20"/>
                <w:color w:val="auto"/>
              </w:rPr>
            </w:pPr>
            <w:r>
              <w:rPr>
                <w:rFonts w:ascii="Arial" w:cs="Arial" w:eastAsia="Arial" w:hAnsi="Arial"/>
                <w:sz w:val="22"/>
                <w:szCs w:val="22"/>
                <w:color w:val="auto"/>
              </w:rPr>
              <w:t>58</w:t>
            </w: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200" w:type="dxa"/>
            <w:vAlign w:val="bottom"/>
            <w:gridSpan w:val="27"/>
          </w:tcPr>
          <w:p>
            <w:pPr>
              <w:spacing w:after="0" w:line="195" w:lineRule="exact"/>
              <w:rPr>
                <w:sz w:val="20"/>
                <w:szCs w:val="20"/>
                <w:color w:val="auto"/>
              </w:rPr>
            </w:pPr>
            <w:r>
              <w:rPr>
                <w:rFonts w:ascii="Arial" w:cs="Arial" w:eastAsia="Arial" w:hAnsi="Arial"/>
                <w:sz w:val="22"/>
                <w:szCs w:val="22"/>
                <w:color w:val="0000EE"/>
              </w:rPr>
              <w:t>Board Recommendation</w:t>
            </w: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840" w:type="dxa"/>
            <w:vAlign w:val="bottom"/>
            <w:tcBorders>
              <w:bottom w:val="single" w:sz="8" w:color="0000EE"/>
            </w:tcBorders>
            <w:gridSpan w:val="26"/>
          </w:tcPr>
          <w:p>
            <w:pPr>
              <w:spacing w:after="0"/>
              <w:rPr>
                <w:sz w:val="20"/>
                <w:szCs w:val="20"/>
                <w:color w:val="auto"/>
              </w:rPr>
            </w:pPr>
            <w:r>
              <w:rPr>
                <w:rFonts w:ascii="Arial" w:cs="Arial" w:eastAsia="Arial" w:hAnsi="Arial"/>
                <w:sz w:val="22"/>
                <w:szCs w:val="22"/>
                <w:b w:val="1"/>
                <w:bCs w:val="1"/>
                <w:color w:val="0000EE"/>
                <w:w w:val="97"/>
              </w:rPr>
              <w:t>PROPOSAL 4 APPROVAL OF AN AMENDMENT TO THE ENOVIS CORPORATION 2020 OMNIBUS</w:t>
            </w:r>
          </w:p>
        </w:tc>
        <w:tc>
          <w:tcPr>
            <w:tcW w:w="720" w:type="dxa"/>
            <w:vAlign w:val="bottom"/>
            <w:gridSpan w:val="2"/>
          </w:tcPr>
          <w:p>
            <w:pPr>
              <w:spacing w:after="0"/>
              <w:rPr>
                <w:sz w:val="24"/>
                <w:szCs w:val="24"/>
                <w:color w:val="auto"/>
              </w:rPr>
            </w:pPr>
          </w:p>
        </w:tc>
        <w:tc>
          <w:tcPr>
            <w:tcW w:w="460" w:type="dxa"/>
            <w:vAlign w:val="bottom"/>
            <w:vMerge w:val="restart"/>
          </w:tcPr>
          <w:p>
            <w:pPr>
              <w:jc w:val="right"/>
              <w:spacing w:after="0"/>
              <w:rPr>
                <w:sz w:val="20"/>
                <w:szCs w:val="20"/>
                <w:color w:val="auto"/>
              </w:rPr>
            </w:pPr>
            <w:r>
              <w:rPr>
                <w:rFonts w:ascii="Arial" w:cs="Arial" w:eastAsia="Arial" w:hAnsi="Arial"/>
                <w:sz w:val="22"/>
                <w:szCs w:val="22"/>
                <w:b w:val="1"/>
                <w:bCs w:val="1"/>
                <w:color w:val="C80E2D"/>
              </w:rPr>
              <w:t>59</w:t>
            </w:r>
          </w:p>
        </w:tc>
        <w:tc>
          <w:tcPr>
            <w:tcW w:w="0" w:type="dxa"/>
            <w:vAlign w:val="bottom"/>
          </w:tcPr>
          <w:p>
            <w:pPr>
              <w:spacing w:after="0"/>
              <w:rPr>
                <w:sz w:val="1"/>
                <w:szCs w:val="1"/>
                <w:color w:val="auto"/>
              </w:rPr>
            </w:pPr>
          </w:p>
        </w:tc>
      </w:tr>
      <w:tr>
        <w:trPr>
          <w:trHeight w:val="154"/>
        </w:trPr>
        <w:tc>
          <w:tcPr>
            <w:tcW w:w="1800" w:type="dxa"/>
            <w:vAlign w:val="bottom"/>
            <w:gridSpan w:val="4"/>
            <w:vMerge w:val="restart"/>
          </w:tcPr>
          <w:p>
            <w:pPr>
              <w:spacing w:after="0" w:line="195" w:lineRule="exact"/>
              <w:rPr>
                <w:sz w:val="20"/>
                <w:szCs w:val="20"/>
                <w:color w:val="auto"/>
              </w:rPr>
            </w:pPr>
            <w:r>
              <w:rPr>
                <w:rFonts w:ascii="Arial" w:cs="Arial" w:eastAsia="Arial" w:hAnsi="Arial"/>
                <w:sz w:val="22"/>
                <w:szCs w:val="22"/>
                <w:b w:val="1"/>
                <w:bCs w:val="1"/>
                <w:color w:val="0000EE"/>
                <w:w w:val="97"/>
              </w:rPr>
              <w:t>INCENTIVE PLAN</w:t>
            </w:r>
          </w:p>
        </w:tc>
        <w:tc>
          <w:tcPr>
            <w:tcW w:w="8760" w:type="dxa"/>
            <w:vAlign w:val="bottom"/>
            <w:gridSpan w:val="24"/>
            <w:vMerge w:val="restart"/>
          </w:tcPr>
          <w:p>
            <w:pPr>
              <w:spacing w:after="0"/>
              <w:rPr>
                <w:sz w:val="13"/>
                <w:szCs w:val="13"/>
                <w:color w:val="auto"/>
              </w:rPr>
            </w:pPr>
          </w:p>
        </w:tc>
        <w:tc>
          <w:tcPr>
            <w:tcW w:w="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1800" w:type="dxa"/>
            <w:vAlign w:val="bottom"/>
            <w:tcBorders>
              <w:bottom w:val="single" w:sz="8" w:color="0000EE"/>
            </w:tcBorders>
            <w:gridSpan w:val="4"/>
            <w:vMerge w:val="continue"/>
          </w:tcPr>
          <w:p>
            <w:pPr>
              <w:spacing w:after="0"/>
              <w:rPr>
                <w:sz w:val="3"/>
                <w:szCs w:val="3"/>
                <w:color w:val="auto"/>
              </w:rPr>
            </w:pPr>
          </w:p>
        </w:tc>
        <w:tc>
          <w:tcPr>
            <w:tcW w:w="8760" w:type="dxa"/>
            <w:vAlign w:val="bottom"/>
            <w:gridSpan w:val="24"/>
            <w:vMerge w:val="continue"/>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2"/>
        </w:trPr>
        <w:tc>
          <w:tcPr>
            <w:tcW w:w="360" w:type="dxa"/>
            <w:vAlign w:val="bottom"/>
          </w:tcPr>
          <w:p>
            <w:pPr>
              <w:spacing w:after="0"/>
              <w:rPr>
                <w:sz w:val="24"/>
                <w:szCs w:val="24"/>
                <w:color w:val="auto"/>
              </w:rPr>
            </w:pPr>
          </w:p>
        </w:tc>
        <w:tc>
          <w:tcPr>
            <w:tcW w:w="10200" w:type="dxa"/>
            <w:vAlign w:val="bottom"/>
            <w:gridSpan w:val="27"/>
          </w:tcPr>
          <w:p>
            <w:pPr>
              <w:spacing w:after="0"/>
              <w:rPr>
                <w:sz w:val="20"/>
                <w:szCs w:val="20"/>
                <w:color w:val="auto"/>
              </w:rPr>
            </w:pPr>
            <w:r>
              <w:rPr>
                <w:rFonts w:ascii="Arial" w:cs="Arial" w:eastAsia="Arial" w:hAnsi="Arial"/>
                <w:sz w:val="22"/>
                <w:szCs w:val="22"/>
                <w:color w:val="0000EE"/>
              </w:rPr>
              <w:t>Share Request Background</w:t>
            </w:r>
          </w:p>
        </w:tc>
        <w:tc>
          <w:tcPr>
            <w:tcW w:w="460" w:type="dxa"/>
            <w:vAlign w:val="bottom"/>
          </w:tcPr>
          <w:p>
            <w:pPr>
              <w:jc w:val="right"/>
              <w:spacing w:after="0"/>
              <w:rPr>
                <w:sz w:val="20"/>
                <w:szCs w:val="20"/>
                <w:color w:val="auto"/>
              </w:rPr>
            </w:pPr>
            <w:r>
              <w:rPr>
                <w:rFonts w:ascii="Arial" w:cs="Arial" w:eastAsia="Arial" w:hAnsi="Arial"/>
                <w:sz w:val="22"/>
                <w:szCs w:val="22"/>
                <w:color w:val="auto"/>
              </w:rPr>
              <w:t>59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640" w:type="dxa"/>
            <w:vAlign w:val="bottom"/>
            <w:tcBorders>
              <w:top w:val="single" w:sz="8" w:color="0000EE"/>
            </w:tcBorders>
            <w:gridSpan w:val="8"/>
          </w:tcPr>
          <w:p>
            <w:pPr>
              <w:spacing w:after="0" w:line="195" w:lineRule="exact"/>
              <w:rPr>
                <w:sz w:val="20"/>
                <w:szCs w:val="20"/>
                <w:color w:val="auto"/>
              </w:rPr>
            </w:pPr>
            <w:r>
              <w:rPr>
                <w:rFonts w:ascii="Arial" w:cs="Arial" w:eastAsia="Arial" w:hAnsi="Arial"/>
                <w:sz w:val="22"/>
                <w:szCs w:val="22"/>
                <w:color w:val="0000EE"/>
                <w:w w:val="93"/>
              </w:rPr>
              <w:t>Outside Director Award Limit</w:t>
            </w:r>
          </w:p>
        </w:tc>
        <w:tc>
          <w:tcPr>
            <w:tcW w:w="7560" w:type="dxa"/>
            <w:vAlign w:val="bottom"/>
            <w:gridSpan w:val="19"/>
          </w:tcPr>
          <w:p>
            <w:pPr>
              <w:ind w:left="160"/>
              <w:spacing w:after="0" w:line="195" w:lineRule="exact"/>
              <w:rPr>
                <w:sz w:val="20"/>
                <w:szCs w:val="20"/>
                <w:color w:val="auto"/>
              </w:rPr>
            </w:pPr>
            <w:r>
              <w:rPr>
                <w:rFonts w:ascii="Arial" w:cs="Arial" w:eastAsia="Arial" w:hAnsi="Arial"/>
                <w:sz w:val="22"/>
                <w:szCs w:val="22"/>
                <w:color w:val="0000EE"/>
              </w:rPr>
              <w:t>Background</w:t>
            </w:r>
          </w:p>
        </w:tc>
        <w:tc>
          <w:tcPr>
            <w:tcW w:w="460" w:type="dxa"/>
            <w:vAlign w:val="bottom"/>
          </w:tcPr>
          <w:p>
            <w:pPr>
              <w:jc w:val="right"/>
              <w:spacing w:after="0" w:line="195" w:lineRule="exact"/>
              <w:rPr>
                <w:sz w:val="20"/>
                <w:szCs w:val="20"/>
                <w:color w:val="auto"/>
              </w:rPr>
            </w:pPr>
            <w:r>
              <w:rPr>
                <w:rFonts w:ascii="Arial" w:cs="Arial" w:eastAsia="Arial" w:hAnsi="Arial"/>
                <w:sz w:val="22"/>
                <w:szCs w:val="22"/>
                <w:color w:val="auto"/>
              </w:rPr>
              <w:t>60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960" w:type="dxa"/>
            <w:vAlign w:val="bottom"/>
            <w:tcBorders>
              <w:top w:val="single" w:sz="8" w:color="0000EE"/>
            </w:tcBorders>
            <w:gridSpan w:val="17"/>
          </w:tcPr>
          <w:p>
            <w:pPr>
              <w:spacing w:after="0" w:line="195" w:lineRule="exact"/>
              <w:rPr>
                <w:sz w:val="20"/>
                <w:szCs w:val="20"/>
                <w:color w:val="auto"/>
              </w:rPr>
            </w:pPr>
            <w:r>
              <w:rPr>
                <w:rFonts w:ascii="Arial" w:cs="Arial" w:eastAsia="Arial" w:hAnsi="Arial"/>
                <w:sz w:val="22"/>
                <w:szCs w:val="22"/>
                <w:color w:val="0000EE"/>
              </w:rPr>
              <w:t>Highlights of the Amended 2020 Plan</w:t>
            </w:r>
          </w:p>
        </w:tc>
        <w:tc>
          <w:tcPr>
            <w:tcW w:w="66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20" w:type="dxa"/>
            <w:vAlign w:val="bottom"/>
            <w:gridSpan w:val="2"/>
          </w:tcPr>
          <w:p>
            <w:pPr>
              <w:spacing w:after="0"/>
              <w:rPr>
                <w:sz w:val="17"/>
                <w:szCs w:val="17"/>
                <w:color w:val="auto"/>
              </w:rPr>
            </w:pPr>
          </w:p>
        </w:tc>
        <w:tc>
          <w:tcPr>
            <w:tcW w:w="780" w:type="dxa"/>
            <w:vAlign w:val="bottom"/>
            <w:gridSpan w:val="3"/>
          </w:tcPr>
          <w:p>
            <w:pPr>
              <w:spacing w:after="0"/>
              <w:rPr>
                <w:sz w:val="17"/>
                <w:szCs w:val="17"/>
                <w:color w:val="auto"/>
              </w:rPr>
            </w:pPr>
          </w:p>
        </w:tc>
        <w:tc>
          <w:tcPr>
            <w:tcW w:w="460" w:type="dxa"/>
            <w:vAlign w:val="bottom"/>
          </w:tcPr>
          <w:p>
            <w:pPr>
              <w:jc w:val="right"/>
              <w:spacing w:after="0" w:line="195" w:lineRule="exact"/>
              <w:rPr>
                <w:sz w:val="20"/>
                <w:szCs w:val="20"/>
                <w:color w:val="auto"/>
              </w:rPr>
            </w:pPr>
            <w:r>
              <w:rPr>
                <w:rFonts w:ascii="Arial" w:cs="Arial" w:eastAsia="Arial" w:hAnsi="Arial"/>
                <w:sz w:val="22"/>
                <w:szCs w:val="22"/>
                <w:color w:val="auto"/>
              </w:rPr>
              <w:t>60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560" w:type="dxa"/>
            <w:vAlign w:val="bottom"/>
            <w:tcBorders>
              <w:top w:val="single" w:sz="8" w:color="0000EE"/>
            </w:tcBorders>
            <w:gridSpan w:val="13"/>
          </w:tcPr>
          <w:p>
            <w:pPr>
              <w:spacing w:after="0" w:line="195" w:lineRule="exact"/>
              <w:rPr>
                <w:sz w:val="20"/>
                <w:szCs w:val="20"/>
                <w:color w:val="auto"/>
              </w:rPr>
            </w:pPr>
            <w:r>
              <w:rPr>
                <w:rFonts w:ascii="Arial" w:cs="Arial" w:eastAsia="Arial" w:hAnsi="Arial"/>
                <w:sz w:val="22"/>
                <w:szCs w:val="22"/>
                <w:color w:val="0000EE"/>
                <w:w w:val="95"/>
              </w:rPr>
              <w:t>Summary of the Material Terms of the</w:t>
            </w:r>
          </w:p>
        </w:tc>
        <w:tc>
          <w:tcPr>
            <w:tcW w:w="6640" w:type="dxa"/>
            <w:vAlign w:val="bottom"/>
            <w:gridSpan w:val="14"/>
          </w:tcPr>
          <w:p>
            <w:pPr>
              <w:ind w:left="100"/>
              <w:spacing w:after="0" w:line="195" w:lineRule="exact"/>
              <w:rPr>
                <w:sz w:val="20"/>
                <w:szCs w:val="20"/>
                <w:color w:val="auto"/>
              </w:rPr>
            </w:pPr>
            <w:r>
              <w:rPr>
                <w:rFonts w:ascii="Arial" w:cs="Arial" w:eastAsia="Arial" w:hAnsi="Arial"/>
                <w:sz w:val="22"/>
                <w:szCs w:val="22"/>
                <w:color w:val="0000EE"/>
              </w:rPr>
              <w:t>2020 Plan</w:t>
            </w:r>
          </w:p>
        </w:tc>
        <w:tc>
          <w:tcPr>
            <w:tcW w:w="460" w:type="dxa"/>
            <w:vAlign w:val="bottom"/>
          </w:tcPr>
          <w:p>
            <w:pPr>
              <w:jc w:val="right"/>
              <w:spacing w:after="0" w:line="195" w:lineRule="exact"/>
              <w:rPr>
                <w:sz w:val="20"/>
                <w:szCs w:val="20"/>
                <w:color w:val="auto"/>
              </w:rPr>
            </w:pPr>
            <w:r>
              <w:rPr>
                <w:rFonts w:ascii="Arial" w:cs="Arial" w:eastAsia="Arial" w:hAnsi="Arial"/>
                <w:sz w:val="22"/>
                <w:szCs w:val="22"/>
                <w:color w:val="auto"/>
              </w:rPr>
              <w:t>61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260" w:type="dxa"/>
            <w:vAlign w:val="bottom"/>
            <w:tcBorders>
              <w:top w:val="single" w:sz="8" w:color="0000EE"/>
              <w:bottom w:val="single" w:sz="8" w:color="0000EE"/>
            </w:tcBorders>
          </w:tcPr>
          <w:p>
            <w:pPr>
              <w:spacing w:after="0" w:line="195" w:lineRule="exact"/>
              <w:rPr>
                <w:sz w:val="20"/>
                <w:szCs w:val="20"/>
                <w:color w:val="auto"/>
              </w:rPr>
            </w:pPr>
            <w:r>
              <w:rPr>
                <w:rFonts w:ascii="Arial" w:cs="Arial" w:eastAsia="Arial" w:hAnsi="Arial"/>
                <w:sz w:val="22"/>
                <w:szCs w:val="22"/>
                <w:color w:val="0000EE"/>
                <w:w w:val="96"/>
              </w:rPr>
              <w:t>Share Usage</w:t>
            </w:r>
          </w:p>
        </w:tc>
        <w:tc>
          <w:tcPr>
            <w:tcW w:w="3360" w:type="dxa"/>
            <w:vAlign w:val="bottom"/>
            <w:tcBorders>
              <w:top w:val="single" w:sz="8" w:color="0000EE"/>
            </w:tcBorders>
            <w:gridSpan w:val="18"/>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20" w:type="dxa"/>
            <w:vAlign w:val="bottom"/>
            <w:gridSpan w:val="2"/>
          </w:tcPr>
          <w:p>
            <w:pPr>
              <w:spacing w:after="0"/>
              <w:rPr>
                <w:sz w:val="17"/>
                <w:szCs w:val="17"/>
                <w:color w:val="auto"/>
              </w:rPr>
            </w:pPr>
          </w:p>
        </w:tc>
        <w:tc>
          <w:tcPr>
            <w:tcW w:w="780" w:type="dxa"/>
            <w:vAlign w:val="bottom"/>
            <w:gridSpan w:val="3"/>
          </w:tcPr>
          <w:p>
            <w:pPr>
              <w:spacing w:after="0"/>
              <w:rPr>
                <w:sz w:val="17"/>
                <w:szCs w:val="17"/>
                <w:color w:val="auto"/>
              </w:rPr>
            </w:pPr>
          </w:p>
        </w:tc>
        <w:tc>
          <w:tcPr>
            <w:tcW w:w="460" w:type="dxa"/>
            <w:vAlign w:val="bottom"/>
          </w:tcPr>
          <w:p>
            <w:pPr>
              <w:jc w:val="right"/>
              <w:spacing w:after="0" w:line="195" w:lineRule="exact"/>
              <w:rPr>
                <w:sz w:val="20"/>
                <w:szCs w:val="20"/>
                <w:color w:val="auto"/>
              </w:rPr>
            </w:pPr>
            <w:r>
              <w:rPr>
                <w:rFonts w:ascii="Arial" w:cs="Arial" w:eastAsia="Arial" w:hAnsi="Arial"/>
                <w:sz w:val="22"/>
                <w:szCs w:val="22"/>
                <w:color w:val="auto"/>
              </w:rPr>
              <w:t>63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400" w:type="dxa"/>
            <w:vAlign w:val="bottom"/>
            <w:tcBorders>
              <w:bottom w:val="single" w:sz="8" w:color="0000EE"/>
            </w:tcBorders>
            <w:gridSpan w:val="11"/>
          </w:tcPr>
          <w:p>
            <w:pPr>
              <w:spacing w:after="0" w:line="195" w:lineRule="exact"/>
              <w:rPr>
                <w:sz w:val="20"/>
                <w:szCs w:val="20"/>
                <w:color w:val="auto"/>
              </w:rPr>
            </w:pPr>
            <w:r>
              <w:rPr>
                <w:rFonts w:ascii="Arial" w:cs="Arial" w:eastAsia="Arial" w:hAnsi="Arial"/>
                <w:sz w:val="22"/>
                <w:szCs w:val="22"/>
                <w:color w:val="0000EE"/>
                <w:w w:val="96"/>
              </w:rPr>
              <w:t>Federal Income Tax Consequences</w:t>
            </w:r>
          </w:p>
        </w:tc>
        <w:tc>
          <w:tcPr>
            <w:tcW w:w="6800" w:type="dxa"/>
            <w:vAlign w:val="bottom"/>
            <w:gridSpan w:val="16"/>
          </w:tcPr>
          <w:p>
            <w:pPr>
              <w:spacing w:after="0"/>
              <w:rPr>
                <w:sz w:val="17"/>
                <w:szCs w:val="17"/>
                <w:color w:val="auto"/>
              </w:rPr>
            </w:pPr>
          </w:p>
        </w:tc>
        <w:tc>
          <w:tcPr>
            <w:tcW w:w="460" w:type="dxa"/>
            <w:vAlign w:val="bottom"/>
          </w:tcPr>
          <w:p>
            <w:pPr>
              <w:jc w:val="right"/>
              <w:spacing w:after="0" w:line="195" w:lineRule="exact"/>
              <w:rPr>
                <w:sz w:val="20"/>
                <w:szCs w:val="20"/>
                <w:color w:val="auto"/>
              </w:rPr>
            </w:pPr>
            <w:r>
              <w:rPr>
                <w:rFonts w:ascii="Arial" w:cs="Arial" w:eastAsia="Arial" w:hAnsi="Arial"/>
                <w:sz w:val="22"/>
                <w:szCs w:val="22"/>
                <w:color w:val="auto"/>
              </w:rPr>
              <w:t>65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200" w:type="dxa"/>
            <w:vAlign w:val="bottom"/>
            <w:gridSpan w:val="27"/>
          </w:tcPr>
          <w:p>
            <w:pPr>
              <w:spacing w:after="0" w:line="195" w:lineRule="exact"/>
              <w:rPr>
                <w:sz w:val="20"/>
                <w:szCs w:val="20"/>
                <w:color w:val="auto"/>
              </w:rPr>
            </w:pPr>
            <w:r>
              <w:rPr>
                <w:rFonts w:ascii="Arial" w:cs="Arial" w:eastAsia="Arial" w:hAnsi="Arial"/>
                <w:sz w:val="22"/>
                <w:szCs w:val="22"/>
                <w:color w:val="0000EE"/>
              </w:rPr>
              <w:t>Existing Plan Benefits to Named Executive Officers and Others</w:t>
            </w:r>
          </w:p>
        </w:tc>
        <w:tc>
          <w:tcPr>
            <w:tcW w:w="460" w:type="dxa"/>
            <w:vAlign w:val="bottom"/>
          </w:tcPr>
          <w:p>
            <w:pPr>
              <w:jc w:val="right"/>
              <w:spacing w:after="0" w:line="195" w:lineRule="exact"/>
              <w:rPr>
                <w:sz w:val="20"/>
                <w:szCs w:val="20"/>
                <w:color w:val="auto"/>
              </w:rPr>
            </w:pPr>
            <w:r>
              <w:rPr>
                <w:rFonts w:ascii="Arial" w:cs="Arial" w:eastAsia="Arial" w:hAnsi="Arial"/>
                <w:sz w:val="22"/>
                <w:szCs w:val="22"/>
                <w:color w:val="auto"/>
              </w:rPr>
              <w:t>67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000" w:type="dxa"/>
            <w:vAlign w:val="bottom"/>
            <w:tcBorders>
              <w:top w:val="single" w:sz="8" w:color="0000EE"/>
            </w:tcBorders>
            <w:gridSpan w:val="22"/>
          </w:tcPr>
          <w:p>
            <w:pPr>
              <w:spacing w:after="0" w:line="195" w:lineRule="exact"/>
              <w:rPr>
                <w:sz w:val="20"/>
                <w:szCs w:val="20"/>
                <w:color w:val="auto"/>
              </w:rPr>
            </w:pPr>
            <w:r>
              <w:rPr>
                <w:rFonts w:ascii="Arial" w:cs="Arial" w:eastAsia="Arial" w:hAnsi="Arial"/>
                <w:sz w:val="22"/>
                <w:szCs w:val="22"/>
                <w:color w:val="0000EE"/>
              </w:rPr>
              <w:t>Registration with the SEC</w:t>
            </w:r>
          </w:p>
        </w:tc>
        <w:tc>
          <w:tcPr>
            <w:tcW w:w="3420" w:type="dxa"/>
            <w:vAlign w:val="bottom"/>
            <w:gridSpan w:val="2"/>
          </w:tcPr>
          <w:p>
            <w:pPr>
              <w:spacing w:after="0"/>
              <w:rPr>
                <w:sz w:val="17"/>
                <w:szCs w:val="17"/>
                <w:color w:val="auto"/>
              </w:rPr>
            </w:pPr>
          </w:p>
        </w:tc>
        <w:tc>
          <w:tcPr>
            <w:tcW w:w="780" w:type="dxa"/>
            <w:vAlign w:val="bottom"/>
            <w:gridSpan w:val="3"/>
          </w:tcPr>
          <w:p>
            <w:pPr>
              <w:spacing w:after="0"/>
              <w:rPr>
                <w:sz w:val="17"/>
                <w:szCs w:val="17"/>
                <w:color w:val="auto"/>
              </w:rPr>
            </w:pPr>
          </w:p>
        </w:tc>
        <w:tc>
          <w:tcPr>
            <w:tcW w:w="460" w:type="dxa"/>
            <w:vAlign w:val="bottom"/>
          </w:tcPr>
          <w:p>
            <w:pPr>
              <w:jc w:val="right"/>
              <w:spacing w:after="0" w:line="195" w:lineRule="exact"/>
              <w:rPr>
                <w:sz w:val="20"/>
                <w:szCs w:val="20"/>
                <w:color w:val="auto"/>
              </w:rPr>
            </w:pPr>
            <w:r>
              <w:rPr>
                <w:rFonts w:ascii="Arial" w:cs="Arial" w:eastAsia="Arial" w:hAnsi="Arial"/>
                <w:sz w:val="22"/>
                <w:szCs w:val="22"/>
                <w:color w:val="auto"/>
              </w:rPr>
              <w:t>68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460" w:type="dxa"/>
            <w:vAlign w:val="bottom"/>
            <w:tcBorders>
              <w:top w:val="single" w:sz="8" w:color="0000EE"/>
            </w:tcBorders>
            <w:gridSpan w:val="7"/>
          </w:tcPr>
          <w:p>
            <w:pPr>
              <w:spacing w:after="0" w:line="195" w:lineRule="exact"/>
              <w:rPr>
                <w:sz w:val="20"/>
                <w:szCs w:val="20"/>
                <w:color w:val="auto"/>
              </w:rPr>
            </w:pPr>
            <w:r>
              <w:rPr>
                <w:rFonts w:ascii="Arial" w:cs="Arial" w:eastAsia="Arial" w:hAnsi="Arial"/>
                <w:sz w:val="22"/>
                <w:szCs w:val="22"/>
                <w:color w:val="0000EE"/>
                <w:w w:val="94"/>
              </w:rPr>
              <w:t>Equity Compensation Plan</w:t>
            </w:r>
          </w:p>
        </w:tc>
        <w:tc>
          <w:tcPr>
            <w:tcW w:w="7740" w:type="dxa"/>
            <w:vAlign w:val="bottom"/>
            <w:gridSpan w:val="20"/>
          </w:tcPr>
          <w:p>
            <w:pPr>
              <w:ind w:left="140"/>
              <w:spacing w:after="0" w:line="195" w:lineRule="exact"/>
              <w:rPr>
                <w:sz w:val="20"/>
                <w:szCs w:val="20"/>
                <w:color w:val="auto"/>
              </w:rPr>
            </w:pPr>
            <w:r>
              <w:rPr>
                <w:rFonts w:ascii="Arial" w:cs="Arial" w:eastAsia="Arial" w:hAnsi="Arial"/>
                <w:sz w:val="22"/>
                <w:szCs w:val="22"/>
                <w:color w:val="0000EE"/>
              </w:rPr>
              <w:t>Information</w:t>
            </w:r>
          </w:p>
        </w:tc>
        <w:tc>
          <w:tcPr>
            <w:tcW w:w="460" w:type="dxa"/>
            <w:vAlign w:val="bottom"/>
          </w:tcPr>
          <w:p>
            <w:pPr>
              <w:jc w:val="right"/>
              <w:spacing w:after="0" w:line="195" w:lineRule="exact"/>
              <w:rPr>
                <w:sz w:val="20"/>
                <w:szCs w:val="20"/>
                <w:color w:val="auto"/>
              </w:rPr>
            </w:pPr>
            <w:r>
              <w:rPr>
                <w:rFonts w:ascii="Arial" w:cs="Arial" w:eastAsia="Arial" w:hAnsi="Arial"/>
                <w:sz w:val="22"/>
                <w:szCs w:val="22"/>
                <w:color w:val="auto"/>
              </w:rPr>
              <w:t>68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36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40" w:type="dxa"/>
            <w:vAlign w:val="bottom"/>
            <w:gridSpan w:val="7"/>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60" w:type="dxa"/>
            <w:vAlign w:val="bottom"/>
            <w:vMerge w:val="restart"/>
          </w:tcPr>
          <w:p>
            <w:pPr>
              <w:jc w:val="right"/>
              <w:spacing w:after="0" w:line="216" w:lineRule="exact"/>
              <w:rPr>
                <w:sz w:val="20"/>
                <w:szCs w:val="20"/>
                <w:color w:val="auto"/>
              </w:rPr>
            </w:pPr>
            <w:r>
              <w:rPr>
                <w:rFonts w:ascii="Arial" w:cs="Arial" w:eastAsia="Arial" w:hAnsi="Arial"/>
                <w:sz w:val="22"/>
                <w:szCs w:val="22"/>
                <w:color w:val="auto"/>
              </w:rPr>
              <w:t>68</w:t>
            </w: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200" w:type="dxa"/>
            <w:vAlign w:val="bottom"/>
            <w:gridSpan w:val="27"/>
          </w:tcPr>
          <w:p>
            <w:pPr>
              <w:spacing w:after="0" w:line="195" w:lineRule="exact"/>
              <w:rPr>
                <w:sz w:val="20"/>
                <w:szCs w:val="20"/>
                <w:color w:val="auto"/>
              </w:rPr>
            </w:pPr>
            <w:r>
              <w:rPr>
                <w:rFonts w:ascii="Arial" w:cs="Arial" w:eastAsia="Arial" w:hAnsi="Arial"/>
                <w:sz w:val="22"/>
                <w:szCs w:val="22"/>
                <w:color w:val="0000EE"/>
              </w:rPr>
              <w:t>Why You Should Approve the Amendment to the Enovis Corporation 2020 Omnibus Incentive Plan</w:t>
            </w: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9420" w:type="dxa"/>
            <w:vAlign w:val="bottom"/>
            <w:tcBorders>
              <w:top w:val="single" w:sz="8" w:color="0000EE"/>
            </w:tcBorders>
            <w:gridSpan w:val="24"/>
          </w:tcPr>
          <w:p>
            <w:pPr>
              <w:spacing w:after="0" w:line="195" w:lineRule="exact"/>
              <w:rPr>
                <w:sz w:val="20"/>
                <w:szCs w:val="20"/>
                <w:color w:val="auto"/>
              </w:rPr>
            </w:pPr>
            <w:r>
              <w:rPr>
                <w:rFonts w:ascii="Arial" w:cs="Arial" w:eastAsia="Arial" w:hAnsi="Arial"/>
                <w:sz w:val="22"/>
                <w:szCs w:val="22"/>
                <w:color w:val="0000EE"/>
              </w:rPr>
              <w:t>Vote Required</w:t>
            </w:r>
          </w:p>
        </w:tc>
        <w:tc>
          <w:tcPr>
            <w:tcW w:w="780" w:type="dxa"/>
            <w:vAlign w:val="bottom"/>
            <w:gridSpan w:val="3"/>
          </w:tcPr>
          <w:p>
            <w:pPr>
              <w:spacing w:after="0"/>
              <w:rPr>
                <w:sz w:val="17"/>
                <w:szCs w:val="17"/>
                <w:color w:val="auto"/>
              </w:rPr>
            </w:pPr>
          </w:p>
        </w:tc>
        <w:tc>
          <w:tcPr>
            <w:tcW w:w="460" w:type="dxa"/>
            <w:vAlign w:val="bottom"/>
          </w:tcPr>
          <w:p>
            <w:pPr>
              <w:jc w:val="right"/>
              <w:spacing w:after="0" w:line="195" w:lineRule="exact"/>
              <w:rPr>
                <w:sz w:val="20"/>
                <w:szCs w:val="20"/>
                <w:color w:val="auto"/>
              </w:rPr>
            </w:pPr>
            <w:r>
              <w:rPr>
                <w:rFonts w:ascii="Arial" w:cs="Arial" w:eastAsia="Arial" w:hAnsi="Arial"/>
                <w:sz w:val="22"/>
                <w:szCs w:val="22"/>
                <w:color w:val="auto"/>
              </w:rPr>
              <w:t>68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36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gridSpan w:val="7"/>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520" w:type="dxa"/>
            <w:vAlign w:val="bottom"/>
            <w:gridSpan w:val="6"/>
          </w:tcPr>
          <w:p>
            <w:pPr>
              <w:spacing w:after="0" w:line="20" w:lineRule="exact"/>
              <w:rPr>
                <w:sz w:val="1"/>
                <w:szCs w:val="1"/>
                <w:color w:val="auto"/>
              </w:rPr>
            </w:pPr>
          </w:p>
        </w:tc>
        <w:tc>
          <w:tcPr>
            <w:tcW w:w="460" w:type="dxa"/>
            <w:vAlign w:val="bottom"/>
            <w:vMerge w:val="restart"/>
          </w:tcPr>
          <w:p>
            <w:pPr>
              <w:jc w:val="right"/>
              <w:spacing w:after="0" w:line="216" w:lineRule="exact"/>
              <w:rPr>
                <w:sz w:val="20"/>
                <w:szCs w:val="20"/>
                <w:color w:val="auto"/>
              </w:rPr>
            </w:pPr>
            <w:r>
              <w:rPr>
                <w:rFonts w:ascii="Arial" w:cs="Arial" w:eastAsia="Arial" w:hAnsi="Arial"/>
                <w:sz w:val="22"/>
                <w:szCs w:val="22"/>
                <w:color w:val="auto"/>
              </w:rPr>
              <w:t>68</w:t>
            </w: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200" w:type="dxa"/>
            <w:vAlign w:val="bottom"/>
            <w:gridSpan w:val="27"/>
          </w:tcPr>
          <w:p>
            <w:pPr>
              <w:spacing w:after="0" w:line="195" w:lineRule="exact"/>
              <w:rPr>
                <w:sz w:val="20"/>
                <w:szCs w:val="20"/>
                <w:color w:val="auto"/>
              </w:rPr>
            </w:pPr>
            <w:r>
              <w:rPr>
                <w:rFonts w:ascii="Arial" w:cs="Arial" w:eastAsia="Arial" w:hAnsi="Arial"/>
                <w:sz w:val="22"/>
                <w:szCs w:val="22"/>
                <w:color w:val="0000EE"/>
              </w:rPr>
              <w:t>Board Recommendation</w:t>
            </w: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36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52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560" w:type="dxa"/>
            <w:vAlign w:val="bottom"/>
            <w:gridSpan w:val="28"/>
          </w:tcPr>
          <w:p>
            <w:pPr>
              <w:spacing w:after="0"/>
              <w:rPr>
                <w:sz w:val="20"/>
                <w:szCs w:val="20"/>
                <w:color w:val="auto"/>
              </w:rPr>
            </w:pPr>
            <w:r>
              <w:rPr>
                <w:rFonts w:ascii="Arial" w:cs="Arial" w:eastAsia="Arial" w:hAnsi="Arial"/>
                <w:sz w:val="22"/>
                <w:szCs w:val="22"/>
                <w:b w:val="1"/>
                <w:bCs w:val="1"/>
                <w:color w:val="0000EE"/>
              </w:rPr>
              <w:t>BENEFICIAL OWNERSHIP OF OUR COMMON STOCK</w:t>
            </w:r>
          </w:p>
        </w:tc>
        <w:tc>
          <w:tcPr>
            <w:tcW w:w="460" w:type="dxa"/>
            <w:vAlign w:val="bottom"/>
          </w:tcPr>
          <w:p>
            <w:pPr>
              <w:jc w:val="right"/>
              <w:spacing w:after="0"/>
              <w:rPr>
                <w:sz w:val="20"/>
                <w:szCs w:val="20"/>
                <w:color w:val="auto"/>
              </w:rPr>
            </w:pPr>
            <w:r>
              <w:rPr>
                <w:rFonts w:ascii="Arial" w:cs="Arial" w:eastAsia="Arial" w:hAnsi="Arial"/>
                <w:sz w:val="22"/>
                <w:szCs w:val="22"/>
                <w:b w:val="1"/>
                <w:bCs w:val="1"/>
                <w:color w:val="C8102E"/>
              </w:rPr>
              <w:t>69</w:t>
            </w:r>
          </w:p>
        </w:tc>
        <w:tc>
          <w:tcPr>
            <w:tcW w:w="0" w:type="dxa"/>
            <w:vAlign w:val="bottom"/>
          </w:tcPr>
          <w:p>
            <w:pPr>
              <w:spacing w:after="0"/>
              <w:rPr>
                <w:sz w:val="1"/>
                <w:szCs w:val="1"/>
                <w:color w:val="auto"/>
              </w:rPr>
            </w:pPr>
          </w:p>
        </w:tc>
      </w:tr>
      <w:tr>
        <w:trPr>
          <w:trHeight w:val="439"/>
        </w:trPr>
        <w:tc>
          <w:tcPr>
            <w:tcW w:w="214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22"/>
                <w:szCs w:val="22"/>
                <w:b w:val="1"/>
                <w:bCs w:val="1"/>
                <w:color w:val="0000EE"/>
                <w:w w:val="96"/>
              </w:rPr>
              <w:t>GENERAL MATTERS</w:t>
            </w:r>
          </w:p>
        </w:tc>
        <w:tc>
          <w:tcPr>
            <w:tcW w:w="3320" w:type="dxa"/>
            <w:vAlign w:val="bottom"/>
            <w:tcBorders>
              <w:top w:val="single" w:sz="8" w:color="0000EE"/>
            </w:tcBorders>
            <w:gridSpan w:val="16"/>
          </w:tcPr>
          <w:p>
            <w:pPr>
              <w:spacing w:after="0"/>
              <w:rPr>
                <w:sz w:val="24"/>
                <w:szCs w:val="24"/>
                <w:color w:val="auto"/>
              </w:rPr>
            </w:pPr>
          </w:p>
        </w:tc>
        <w:tc>
          <w:tcPr>
            <w:tcW w:w="5100" w:type="dxa"/>
            <w:vAlign w:val="bottom"/>
            <w:gridSpan w:val="7"/>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22"/>
                <w:szCs w:val="22"/>
                <w:b w:val="1"/>
                <w:bCs w:val="1"/>
                <w:color w:val="C8102E"/>
              </w:rPr>
              <w:t>70</w:t>
            </w:r>
          </w:p>
        </w:tc>
        <w:tc>
          <w:tcPr>
            <w:tcW w:w="0" w:type="dxa"/>
            <w:vAlign w:val="bottom"/>
          </w:tcPr>
          <w:p>
            <w:pPr>
              <w:spacing w:after="0"/>
              <w:rPr>
                <w:sz w:val="1"/>
                <w:szCs w:val="1"/>
                <w:color w:val="auto"/>
              </w:rPr>
            </w:pPr>
          </w:p>
        </w:tc>
      </w:tr>
      <w:tr>
        <w:trPr>
          <w:trHeight w:val="439"/>
        </w:trPr>
        <w:tc>
          <w:tcPr>
            <w:tcW w:w="360" w:type="dxa"/>
            <w:vAlign w:val="bottom"/>
          </w:tcPr>
          <w:p>
            <w:pPr>
              <w:spacing w:after="0"/>
              <w:rPr>
                <w:sz w:val="24"/>
                <w:szCs w:val="24"/>
                <w:color w:val="auto"/>
              </w:rPr>
            </w:pPr>
          </w:p>
        </w:tc>
        <w:tc>
          <w:tcPr>
            <w:tcW w:w="3520" w:type="dxa"/>
            <w:vAlign w:val="bottom"/>
            <w:tcBorders>
              <w:bottom w:val="single" w:sz="8" w:color="0000EE"/>
            </w:tcBorders>
            <w:gridSpan w:val="12"/>
          </w:tcPr>
          <w:p>
            <w:pPr>
              <w:spacing w:after="0"/>
              <w:rPr>
                <w:sz w:val="20"/>
                <w:szCs w:val="20"/>
                <w:color w:val="auto"/>
              </w:rPr>
            </w:pPr>
            <w:r>
              <w:rPr>
                <w:rFonts w:ascii="Arial" w:cs="Arial" w:eastAsia="Arial" w:hAnsi="Arial"/>
                <w:sz w:val="22"/>
                <w:szCs w:val="22"/>
                <w:color w:val="0000EE"/>
                <w:w w:val="97"/>
              </w:rPr>
              <w:t>Outstanding Stock and Voting Rights</w:t>
            </w:r>
          </w:p>
        </w:tc>
        <w:tc>
          <w:tcPr>
            <w:tcW w:w="6680" w:type="dxa"/>
            <w:vAlign w:val="bottom"/>
            <w:gridSpan w:val="15"/>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22"/>
                <w:szCs w:val="22"/>
                <w:color w:val="auto"/>
              </w:rPr>
              <w:t>70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200" w:type="dxa"/>
            <w:vAlign w:val="bottom"/>
            <w:gridSpan w:val="27"/>
          </w:tcPr>
          <w:p>
            <w:pPr>
              <w:spacing w:after="0" w:line="195" w:lineRule="exact"/>
              <w:rPr>
                <w:sz w:val="20"/>
                <w:szCs w:val="20"/>
                <w:color w:val="auto"/>
              </w:rPr>
            </w:pPr>
            <w:r>
              <w:rPr>
                <w:rFonts w:ascii="Arial" w:cs="Arial" w:eastAsia="Arial" w:hAnsi="Arial"/>
                <w:sz w:val="22"/>
                <w:szCs w:val="22"/>
                <w:color w:val="0000EE"/>
              </w:rPr>
              <w:t>Stockholder Proposals and Nominations</w:t>
            </w:r>
          </w:p>
        </w:tc>
        <w:tc>
          <w:tcPr>
            <w:tcW w:w="460" w:type="dxa"/>
            <w:vAlign w:val="bottom"/>
          </w:tcPr>
          <w:p>
            <w:pPr>
              <w:jc w:val="right"/>
              <w:spacing w:after="0" w:line="195" w:lineRule="exact"/>
              <w:rPr>
                <w:sz w:val="20"/>
                <w:szCs w:val="20"/>
                <w:color w:val="auto"/>
              </w:rPr>
            </w:pPr>
            <w:r>
              <w:rPr>
                <w:rFonts w:ascii="Arial" w:cs="Arial" w:eastAsia="Arial" w:hAnsi="Arial"/>
                <w:sz w:val="22"/>
                <w:szCs w:val="22"/>
                <w:color w:val="auto"/>
              </w:rPr>
              <w:t>71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840" w:type="dxa"/>
            <w:vAlign w:val="bottom"/>
            <w:tcBorders>
              <w:top w:val="single" w:sz="8" w:color="0000EE"/>
            </w:tcBorders>
            <w:gridSpan w:val="16"/>
          </w:tcPr>
          <w:p>
            <w:pPr>
              <w:spacing w:after="0" w:line="195" w:lineRule="exact"/>
              <w:rPr>
                <w:sz w:val="20"/>
                <w:szCs w:val="20"/>
                <w:color w:val="auto"/>
              </w:rPr>
            </w:pPr>
            <w:r>
              <w:rPr>
                <w:rFonts w:ascii="Arial" w:cs="Arial" w:eastAsia="Arial" w:hAnsi="Arial"/>
                <w:sz w:val="22"/>
                <w:szCs w:val="22"/>
                <w:color w:val="0000EE"/>
              </w:rPr>
              <w:t>Delivery of Documents to Stockholders</w:t>
            </w:r>
          </w:p>
        </w:tc>
        <w:tc>
          <w:tcPr>
            <w:tcW w:w="6360" w:type="dxa"/>
            <w:vAlign w:val="bottom"/>
            <w:gridSpan w:val="11"/>
          </w:tcPr>
          <w:p>
            <w:pPr>
              <w:spacing w:after="0" w:line="195" w:lineRule="exact"/>
              <w:rPr>
                <w:sz w:val="20"/>
                <w:szCs w:val="20"/>
                <w:color w:val="auto"/>
              </w:rPr>
            </w:pPr>
            <w:r>
              <w:rPr>
                <w:rFonts w:ascii="Arial" w:cs="Arial" w:eastAsia="Arial" w:hAnsi="Arial"/>
                <w:sz w:val="22"/>
                <w:szCs w:val="22"/>
                <w:color w:val="0000EE"/>
              </w:rPr>
              <w:t>Sharing an Address</w:t>
            </w:r>
          </w:p>
        </w:tc>
        <w:tc>
          <w:tcPr>
            <w:tcW w:w="460" w:type="dxa"/>
            <w:vAlign w:val="bottom"/>
          </w:tcPr>
          <w:p>
            <w:pPr>
              <w:jc w:val="right"/>
              <w:spacing w:after="0" w:line="195" w:lineRule="exact"/>
              <w:rPr>
                <w:sz w:val="20"/>
                <w:szCs w:val="20"/>
                <w:color w:val="auto"/>
              </w:rPr>
            </w:pPr>
            <w:r>
              <w:rPr>
                <w:rFonts w:ascii="Arial" w:cs="Arial" w:eastAsia="Arial" w:hAnsi="Arial"/>
                <w:sz w:val="22"/>
                <w:szCs w:val="22"/>
                <w:color w:val="auto"/>
              </w:rPr>
              <w:t>71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680" w:type="dxa"/>
            <w:vAlign w:val="bottom"/>
            <w:tcBorders>
              <w:top w:val="single" w:sz="8" w:color="0000EE"/>
            </w:tcBorders>
            <w:gridSpan w:val="21"/>
          </w:tcPr>
          <w:p>
            <w:pPr>
              <w:spacing w:after="0" w:line="195" w:lineRule="exact"/>
              <w:rPr>
                <w:sz w:val="20"/>
                <w:szCs w:val="20"/>
                <w:color w:val="auto"/>
              </w:rPr>
            </w:pPr>
            <w:r>
              <w:rPr>
                <w:rFonts w:ascii="Arial" w:cs="Arial" w:eastAsia="Arial" w:hAnsi="Arial"/>
                <w:sz w:val="22"/>
                <w:szCs w:val="22"/>
                <w:color w:val="0000EE"/>
              </w:rPr>
              <w:t>Additional Information</w:t>
            </w:r>
          </w:p>
        </w:tc>
        <w:tc>
          <w:tcPr>
            <w:tcW w:w="4520" w:type="dxa"/>
            <w:vAlign w:val="bottom"/>
            <w:gridSpan w:val="6"/>
          </w:tcPr>
          <w:p>
            <w:pPr>
              <w:spacing w:after="0"/>
              <w:rPr>
                <w:sz w:val="17"/>
                <w:szCs w:val="17"/>
                <w:color w:val="auto"/>
              </w:rPr>
            </w:pPr>
          </w:p>
        </w:tc>
        <w:tc>
          <w:tcPr>
            <w:tcW w:w="460" w:type="dxa"/>
            <w:vAlign w:val="bottom"/>
          </w:tcPr>
          <w:p>
            <w:pPr>
              <w:jc w:val="right"/>
              <w:spacing w:after="0" w:line="195" w:lineRule="exact"/>
              <w:rPr>
                <w:sz w:val="20"/>
                <w:szCs w:val="20"/>
                <w:color w:val="auto"/>
              </w:rPr>
            </w:pPr>
            <w:r>
              <w:rPr>
                <w:rFonts w:ascii="Arial" w:cs="Arial" w:eastAsia="Arial" w:hAnsi="Arial"/>
                <w:sz w:val="22"/>
                <w:szCs w:val="22"/>
                <w:color w:val="auto"/>
              </w:rPr>
              <w:t>72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360" w:type="dxa"/>
            <w:vAlign w:val="bottom"/>
            <w:tcBorders>
              <w:top w:val="single" w:sz="8" w:color="0000EE"/>
              <w:bottom w:val="single" w:sz="8" w:color="0000EE"/>
            </w:tcBorders>
            <w:gridSpan w:val="2"/>
          </w:tcPr>
          <w:p>
            <w:pPr>
              <w:spacing w:after="0" w:line="195" w:lineRule="exact"/>
              <w:rPr>
                <w:sz w:val="20"/>
                <w:szCs w:val="20"/>
                <w:color w:val="auto"/>
              </w:rPr>
            </w:pPr>
            <w:r>
              <w:rPr>
                <w:rFonts w:ascii="Arial" w:cs="Arial" w:eastAsia="Arial" w:hAnsi="Arial"/>
                <w:sz w:val="22"/>
                <w:szCs w:val="22"/>
                <w:color w:val="0000EE"/>
                <w:w w:val="98"/>
              </w:rPr>
              <w:t>Other Matters</w:t>
            </w:r>
          </w:p>
        </w:tc>
        <w:tc>
          <w:tcPr>
            <w:tcW w:w="720" w:type="dxa"/>
            <w:vAlign w:val="bottom"/>
            <w:tcBorders>
              <w:top w:val="single" w:sz="8" w:color="0000EE"/>
            </w:tcBorders>
            <w:gridSpan w:val="3"/>
          </w:tcPr>
          <w:p>
            <w:pPr>
              <w:spacing w:after="0"/>
              <w:rPr>
                <w:sz w:val="17"/>
                <w:szCs w:val="17"/>
                <w:color w:val="auto"/>
              </w:rPr>
            </w:pPr>
          </w:p>
        </w:tc>
        <w:tc>
          <w:tcPr>
            <w:tcW w:w="8120" w:type="dxa"/>
            <w:vAlign w:val="bottom"/>
            <w:gridSpan w:val="22"/>
          </w:tcPr>
          <w:p>
            <w:pPr>
              <w:spacing w:after="0"/>
              <w:rPr>
                <w:sz w:val="17"/>
                <w:szCs w:val="17"/>
                <w:color w:val="auto"/>
              </w:rPr>
            </w:pPr>
          </w:p>
        </w:tc>
        <w:tc>
          <w:tcPr>
            <w:tcW w:w="460" w:type="dxa"/>
            <w:vAlign w:val="bottom"/>
          </w:tcPr>
          <w:p>
            <w:pPr>
              <w:jc w:val="right"/>
              <w:spacing w:after="0" w:line="195" w:lineRule="exact"/>
              <w:rPr>
                <w:sz w:val="20"/>
                <w:szCs w:val="20"/>
                <w:color w:val="auto"/>
              </w:rPr>
            </w:pPr>
            <w:r>
              <w:rPr>
                <w:rFonts w:ascii="Arial" w:cs="Arial" w:eastAsia="Arial" w:hAnsi="Arial"/>
                <w:sz w:val="22"/>
                <w:szCs w:val="22"/>
                <w:color w:val="auto"/>
              </w:rPr>
              <w:t>72</w:t>
            </w:r>
          </w:p>
        </w:tc>
        <w:tc>
          <w:tcPr>
            <w:tcW w:w="0" w:type="dxa"/>
            <w:vAlign w:val="bottom"/>
          </w:tcPr>
          <w:p>
            <w:pPr>
              <w:spacing w:after="0"/>
              <w:rPr>
                <w:sz w:val="1"/>
                <w:szCs w:val="1"/>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32"/>
          <w:szCs w:val="32"/>
          <w:b w:val="1"/>
          <w:bCs w:val="1"/>
          <w:color w:val="C8102E"/>
        </w:rPr>
        <w:t>Special Note Regarding Forward-Looking Statements</w:t>
      </w:r>
    </w:p>
    <w:p>
      <w:pPr>
        <w:spacing w:after="0" w:line="172" w:lineRule="exact"/>
        <w:rPr>
          <w:sz w:val="20"/>
          <w:szCs w:val="20"/>
          <w:color w:val="auto"/>
        </w:rPr>
      </w:pPr>
    </w:p>
    <w:p>
      <w:pPr>
        <w:jc w:val="both"/>
        <w:ind w:right="20"/>
        <w:spacing w:after="0" w:line="227" w:lineRule="auto"/>
        <w:rPr>
          <w:sz w:val="20"/>
          <w:szCs w:val="20"/>
          <w:color w:val="auto"/>
        </w:rPr>
      </w:pPr>
      <w:r>
        <w:rPr>
          <w:rFonts w:ascii="Arial" w:cs="Arial" w:eastAsia="Arial" w:hAnsi="Arial"/>
          <w:sz w:val="17"/>
          <w:szCs w:val="17"/>
          <w:i w:val="1"/>
          <w:iCs w:val="1"/>
          <w:color w:val="auto"/>
        </w:rPr>
        <w:t>This proxy statement (this “Proxy Statement”) includes forward-looking statements, including forward-looking statements within the meaning of the U.S. Private Securities Litigation Reform Act of 1995. Such forward-looking statements include, but are not limited to, statements concerning the plans, goals, objectives, outlook, expectations and intentions of Enovis Corporation (“Enovis” or “we”) and other</w:t>
      </w:r>
    </w:p>
    <w:p>
      <w:pPr>
        <w:spacing w:after="0" w:line="1" w:lineRule="exact"/>
        <w:rPr>
          <w:sz w:val="20"/>
          <w:szCs w:val="20"/>
          <w:color w:val="auto"/>
        </w:rPr>
      </w:pPr>
    </w:p>
    <w:p>
      <w:pPr>
        <w:jc w:val="both"/>
        <w:ind w:right="20"/>
        <w:spacing w:after="0" w:line="208" w:lineRule="auto"/>
        <w:rPr>
          <w:sz w:val="20"/>
          <w:szCs w:val="20"/>
          <w:color w:val="auto"/>
        </w:rPr>
      </w:pPr>
      <w:r>
        <w:rPr>
          <w:rFonts w:ascii="Arial" w:cs="Arial" w:eastAsia="Arial" w:hAnsi="Arial"/>
          <w:sz w:val="18"/>
          <w:szCs w:val="18"/>
          <w:i w:val="1"/>
          <w:iCs w:val="1"/>
          <w:color w:val="auto"/>
        </w:rPr>
        <w:t>statements that are not historical or current fact. Forward-looking statements are based on our current expectations and involve risks and uncertainties that could cause actual results to differ materially from those expressed or implied in such forward-looking statements. Factors that could cause our results to differ materially from current expectations include, but are not limited to, risks related to</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i w:val="1"/>
          <w:iCs w:val="1"/>
          <w:color w:val="auto"/>
        </w:rPr>
        <w:t>macroeconomic conditions, including the impact of increasing inflationary pressures; changes in government trade policies, including the implementation of tariffs; supply chain disruptions; increasing energy costs and availability concerns, particularly in the European market; disruptions in the global economy caused by escalating geopolitical tensions including in connection with the ongoing conflicts between</w:t>
      </w:r>
    </w:p>
    <w:p>
      <w:pPr>
        <w:spacing w:after="0" w:line="2" w:lineRule="exact"/>
        <w:rPr>
          <w:sz w:val="20"/>
          <w:szCs w:val="20"/>
          <w:color w:val="auto"/>
        </w:rPr>
      </w:pPr>
    </w:p>
    <w:p>
      <w:pPr>
        <w:jc w:val="both"/>
        <w:ind w:right="20"/>
        <w:spacing w:after="0" w:line="208" w:lineRule="auto"/>
        <w:rPr>
          <w:sz w:val="20"/>
          <w:szCs w:val="20"/>
          <w:color w:val="auto"/>
        </w:rPr>
      </w:pPr>
      <w:r>
        <w:rPr>
          <w:rFonts w:ascii="Arial" w:cs="Arial" w:eastAsia="Arial" w:hAnsi="Arial"/>
          <w:sz w:val="18"/>
          <w:szCs w:val="18"/>
          <w:i w:val="1"/>
          <w:iCs w:val="1"/>
          <w:color w:val="auto"/>
        </w:rPr>
        <w:t>Russia and the Ukraine and in the Middle East; the impact of public health emergencies and global pandemics; and the other factors detailed in our reports filed with the Securities and Exchange Commission (the “SEC”), including our Annual Report on Form 10-K for the fiscal year ended December 31, 2025 under the caption “Risk Factors,” as well as the other risks discussed in our filings with the SEC. In</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i w:val="1"/>
          <w:iCs w:val="1"/>
          <w:color w:val="auto"/>
        </w:rPr>
        <w:t>addition, these statements are based on assumptions that are subject to change. This Proxy Statement speaks only as of the date hereof. We do not assume any obligation and do not intend to update any forward-looking statement except as required by law. Additionally, certain information included herein or elsewhere, including our website, is informed by third-party frameworks and other stakeholder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expectations and is therefore not necessarily “material” for purposes of our securities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246380</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670" w:right="439" w:bottom="1440" w:gutter="0" w:footer="0" w:header="0"/>
        </w:sectPr>
      </w:pPr>
    </w:p>
    <w:bookmarkStart w:id="6" w:name="page7"/>
    <w:bookmarkEnd w:id="6"/>
    <w:p>
      <w:pPr>
        <w:spacing w:after="0"/>
        <w:rPr>
          <w:sz w:val="20"/>
          <w:szCs w:val="20"/>
          <w:color w:val="auto"/>
        </w:rPr>
      </w:pPr>
      <w:r>
        <w:rPr>
          <w:rFonts w:ascii="Arial" w:cs="Arial" w:eastAsia="Arial" w:hAnsi="Arial"/>
          <w:sz w:val="47"/>
          <w:szCs w:val="47"/>
          <w:color w:val="C8102E"/>
        </w:rPr>
        <w:t>PROXY SUMMARY</w:t>
      </w:r>
    </w:p>
    <w:p>
      <w:pPr>
        <w:spacing w:after="0" w:line="160" w:lineRule="exact"/>
        <w:rPr>
          <w:sz w:val="20"/>
          <w:szCs w:val="20"/>
          <w:color w:val="auto"/>
        </w:rPr>
      </w:pPr>
    </w:p>
    <w:p>
      <w:pPr>
        <w:jc w:val="both"/>
        <w:ind w:right="20"/>
        <w:spacing w:after="0" w:line="233" w:lineRule="auto"/>
        <w:rPr>
          <w:sz w:val="20"/>
          <w:szCs w:val="20"/>
          <w:color w:val="auto"/>
        </w:rPr>
      </w:pPr>
      <w:r>
        <w:rPr>
          <w:rFonts w:ascii="Arial" w:cs="Arial" w:eastAsia="Arial" w:hAnsi="Arial"/>
          <w:sz w:val="16"/>
          <w:szCs w:val="16"/>
          <w:i w:val="1"/>
          <w:iCs w:val="1"/>
          <w:color w:val="auto"/>
        </w:rPr>
        <w:t>This summary highlights information contained elsewhere in this Proxy Statement. It does not contain all of the information that you should consider, and you should read the entire Proxy Statement carefully before voting. Page references are supplied to help you find further information in this Proxy Statement.</w:t>
      </w:r>
    </w:p>
    <w:p>
      <w:pPr>
        <w:spacing w:after="0" w:line="11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Annual Meeting of Stockholders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20" w:type="dxa"/>
            <w:vAlign w:val="bottom"/>
            <w:tcBorders>
              <w:top w:val="single" w:sz="8" w:color="auto"/>
            </w:tcBorders>
            <w:shd w:val="clear" w:color="auto" w:fill="EDEDEE"/>
          </w:tcPr>
          <w:p>
            <w:pPr>
              <w:ind w:left="80"/>
              <w:spacing w:after="0"/>
              <w:rPr>
                <w:sz w:val="20"/>
                <w:szCs w:val="20"/>
                <w:color w:val="auto"/>
              </w:rPr>
            </w:pPr>
            <w:r>
              <w:rPr>
                <w:rFonts w:ascii="Arial" w:cs="Arial" w:eastAsia="Arial" w:hAnsi="Arial"/>
                <w:sz w:val="16"/>
                <w:szCs w:val="16"/>
                <w:b w:val="1"/>
                <w:bCs w:val="1"/>
                <w:color w:val="auto"/>
              </w:rPr>
              <w:t>Date and Time:</w:t>
            </w:r>
          </w:p>
        </w:tc>
        <w:tc>
          <w:tcPr>
            <w:tcW w:w="9000" w:type="dxa"/>
            <w:vAlign w:val="bottom"/>
            <w:tcBorders>
              <w:top w:val="single" w:sz="8" w:color="auto"/>
            </w:tcBorders>
            <w:shd w:val="clear" w:color="auto" w:fill="EDEDEE"/>
          </w:tcPr>
          <w:p>
            <w:pPr>
              <w:ind w:left="120"/>
              <w:spacing w:after="0"/>
              <w:rPr>
                <w:sz w:val="20"/>
                <w:szCs w:val="20"/>
                <w:color w:val="auto"/>
              </w:rPr>
            </w:pPr>
            <w:r>
              <w:rPr>
                <w:rFonts w:ascii="Arial" w:cs="Arial" w:eastAsia="Arial" w:hAnsi="Arial"/>
                <w:sz w:val="16"/>
                <w:szCs w:val="16"/>
                <w:color w:val="auto"/>
              </w:rPr>
              <w:t>Tuesday, May 19, 2026 at 12:00 p.m., Eastern Time</w:t>
            </w:r>
          </w:p>
        </w:tc>
      </w:tr>
      <w:tr>
        <w:trPr>
          <w:trHeight w:val="189"/>
        </w:trPr>
        <w:tc>
          <w:tcPr>
            <w:tcW w:w="2020" w:type="dxa"/>
            <w:vAlign w:val="bottom"/>
          </w:tcPr>
          <w:p>
            <w:pPr>
              <w:ind w:left="80"/>
              <w:spacing w:after="0"/>
              <w:rPr>
                <w:sz w:val="20"/>
                <w:szCs w:val="20"/>
                <w:color w:val="auto"/>
              </w:rPr>
            </w:pPr>
            <w:r>
              <w:rPr>
                <w:rFonts w:ascii="Arial" w:cs="Arial" w:eastAsia="Arial" w:hAnsi="Arial"/>
                <w:sz w:val="16"/>
                <w:szCs w:val="16"/>
                <w:b w:val="1"/>
                <w:bCs w:val="1"/>
                <w:color w:val="auto"/>
              </w:rPr>
              <w:t>Location:</w:t>
            </w:r>
          </w:p>
        </w:tc>
        <w:tc>
          <w:tcPr>
            <w:tcW w:w="9000" w:type="dxa"/>
            <w:vAlign w:val="bottom"/>
          </w:tcPr>
          <w:p>
            <w:pPr>
              <w:ind w:left="120"/>
              <w:spacing w:after="0"/>
              <w:rPr>
                <w:sz w:val="20"/>
                <w:szCs w:val="20"/>
                <w:color w:val="auto"/>
              </w:rPr>
            </w:pPr>
            <w:r>
              <w:rPr>
                <w:rFonts w:ascii="Arial" w:cs="Arial" w:eastAsia="Arial" w:hAnsi="Arial"/>
                <w:sz w:val="16"/>
                <w:szCs w:val="16"/>
                <w:color w:val="auto"/>
              </w:rPr>
              <w:t>Via live webcast at www.virtualshareholdermeeting.com/ENOV2026</w:t>
            </w:r>
          </w:p>
        </w:tc>
      </w:tr>
      <w:tr>
        <w:trPr>
          <w:trHeight w:val="189"/>
        </w:trPr>
        <w:tc>
          <w:tcPr>
            <w:tcW w:w="2020" w:type="dxa"/>
            <w:vAlign w:val="bottom"/>
            <w:tcBorders>
              <w:bottom w:val="single" w:sz="8" w:color="auto"/>
            </w:tcBorders>
            <w:shd w:val="clear" w:color="auto" w:fill="EDEDEE"/>
          </w:tcPr>
          <w:p>
            <w:pPr>
              <w:ind w:left="80"/>
              <w:spacing w:after="0"/>
              <w:rPr>
                <w:sz w:val="20"/>
                <w:szCs w:val="20"/>
                <w:color w:val="auto"/>
              </w:rPr>
            </w:pPr>
            <w:r>
              <w:rPr>
                <w:rFonts w:ascii="Arial" w:cs="Arial" w:eastAsia="Arial" w:hAnsi="Arial"/>
                <w:sz w:val="16"/>
                <w:szCs w:val="16"/>
                <w:b w:val="1"/>
                <w:bCs w:val="1"/>
                <w:color w:val="auto"/>
              </w:rPr>
              <w:t>Record Date:</w:t>
            </w:r>
          </w:p>
        </w:tc>
        <w:tc>
          <w:tcPr>
            <w:tcW w:w="9000" w:type="dxa"/>
            <w:vAlign w:val="bottom"/>
            <w:tcBorders>
              <w:bottom w:val="single" w:sz="8" w:color="auto"/>
            </w:tcBorders>
            <w:shd w:val="clear" w:color="auto" w:fill="EDEDEE"/>
          </w:tcPr>
          <w:p>
            <w:pPr>
              <w:ind w:left="120"/>
              <w:spacing w:after="0"/>
              <w:rPr>
                <w:sz w:val="20"/>
                <w:szCs w:val="20"/>
                <w:color w:val="auto"/>
              </w:rPr>
            </w:pPr>
            <w:r>
              <w:rPr>
                <w:rFonts w:ascii="Arial" w:cs="Arial" w:eastAsia="Arial" w:hAnsi="Arial"/>
                <w:sz w:val="16"/>
                <w:szCs w:val="16"/>
                <w:color w:val="auto"/>
              </w:rPr>
              <w:t>March 30, 2026</w:t>
            </w:r>
          </w:p>
        </w:tc>
      </w:tr>
    </w:tbl>
    <w:p>
      <w:pPr>
        <w:spacing w:after="0" w:line="12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Availability of Proxy Materials – Use of Notice and Access</w:t>
      </w:r>
    </w:p>
    <w:p>
      <w:pPr>
        <w:spacing w:after="0" w:line="168"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b w:val="1"/>
          <w:bCs w:val="1"/>
          <w:color w:val="auto"/>
        </w:rPr>
        <w:t xml:space="preserve">Important Notice Regarding the Availability of Proxy Materials for the Stockholder Meeting to be held on May 19, 2026: Our Annual Report to Stockholders and this Proxy Statement are available at </w:t>
      </w:r>
      <w:r>
        <w:rPr>
          <w:rFonts w:ascii="Arial" w:cs="Arial" w:eastAsia="Arial" w:hAnsi="Arial"/>
          <w:sz w:val="16"/>
          <w:szCs w:val="16"/>
          <w:b w:val="1"/>
          <w:bCs w:val="1"/>
          <w:i w:val="1"/>
          <w:iCs w:val="1"/>
          <w:color w:val="auto"/>
        </w:rPr>
        <w:t>www.proxyvote.com.</w:t>
      </w:r>
    </w:p>
    <w:p>
      <w:pPr>
        <w:spacing w:after="0" w:line="99" w:lineRule="exact"/>
        <w:rPr>
          <w:sz w:val="20"/>
          <w:szCs w:val="20"/>
          <w:color w:val="auto"/>
        </w:rPr>
      </w:pPr>
    </w:p>
    <w:p>
      <w:pPr>
        <w:jc w:val="both"/>
        <w:ind w:right="20"/>
        <w:spacing w:after="0" w:line="225" w:lineRule="auto"/>
        <w:rPr>
          <w:sz w:val="20"/>
          <w:szCs w:val="20"/>
          <w:color w:val="auto"/>
        </w:rPr>
      </w:pPr>
      <w:r>
        <w:rPr>
          <w:rFonts w:ascii="Arial" w:cs="Arial" w:eastAsia="Arial" w:hAnsi="Arial"/>
          <w:sz w:val="16"/>
          <w:szCs w:val="16"/>
          <w:color w:val="auto"/>
        </w:rPr>
        <w:t>Pursuant to the “notice and access” rules adopted by the Securities and Exchange Commission, we have elected to provide stockholders access to our proxy materials primarily over the Internet. Accordingly, on or about April 6, 2026, we sent a Notice of Internet Availability of Proxy Materials (the “Notice”) to our stockholders entitled to vote at the Annual Meeting as of the close of business on March 30, 2026, the record date of the meeting. The Notice includes instructions on how to access our proxy materials over the Internet and how to request a printed copy of these materials. In addition, by following the instructions in the Notice, stockholders may request to receive proxy materials in printed form by mail or electronically by e-mail on an ongoing basis.</w:t>
      </w:r>
    </w:p>
    <w:p>
      <w:pPr>
        <w:spacing w:after="0" w:line="137" w:lineRule="exact"/>
        <w:rPr>
          <w:sz w:val="20"/>
          <w:szCs w:val="20"/>
          <w:color w:val="auto"/>
        </w:rPr>
      </w:pPr>
    </w:p>
    <w:p>
      <w:pPr>
        <w:jc w:val="both"/>
        <w:ind w:right="20"/>
        <w:spacing w:after="0" w:line="228" w:lineRule="auto"/>
        <w:rPr>
          <w:sz w:val="20"/>
          <w:szCs w:val="20"/>
          <w:color w:val="auto"/>
        </w:rPr>
      </w:pPr>
      <w:r>
        <w:rPr>
          <w:rFonts w:ascii="Arial" w:cs="Arial" w:eastAsia="Arial" w:hAnsi="Arial"/>
          <w:sz w:val="16"/>
          <w:szCs w:val="16"/>
          <w:color w:val="auto"/>
        </w:rPr>
        <w:t>Choosing to receive your future proxy materials by e-mail will save us the cost of printing and mailing documents to you and will reduce the impact of our annual meetings on the environment. If you choose to receive future proxy materials by e-mail, you will receive an e-mail next year with instructions containing a link to those materials and a link to the proxy voting site. Your election to receive proxy materials by e-mail will remain in effect until you terminate it.</w:t>
      </w:r>
    </w:p>
    <w:p>
      <w:pPr>
        <w:spacing w:after="0" w:line="10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Who May Vote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You may vote if you were a stockholder of record at the close of business on March 30, 2026, the record date.</w:t>
      </w:r>
    </w:p>
    <w:p>
      <w:pPr>
        <w:spacing w:after="0" w:line="13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How to Cast Your Vote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You can vote by any of the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123825</wp:posOffset>
            </wp:positionV>
            <wp:extent cx="231140" cy="196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1140" cy="196850"/>
                    </a:xfrm>
                    <a:prstGeom prst="rect">
                      <a:avLst/>
                    </a:prstGeom>
                    <a:noFill/>
                  </pic:spPr>
                </pic:pic>
              </a:graphicData>
            </a:graphic>
          </wp:anchor>
        </w:drawing>
      </w:r>
    </w:p>
    <w:p>
      <w:pPr>
        <w:spacing w:after="0" w:line="21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Via the internet (</w:t>
      </w:r>
      <w:r>
        <w:rPr>
          <w:rFonts w:ascii="Arial" w:cs="Arial" w:eastAsia="Arial" w:hAnsi="Arial"/>
          <w:sz w:val="16"/>
          <w:szCs w:val="16"/>
          <w:i w:val="1"/>
          <w:iCs w:val="1"/>
          <w:color w:val="auto"/>
        </w:rPr>
        <w:t>www.proxyvote.com</w:t>
      </w:r>
      <w:r>
        <w:rPr>
          <w:rFonts w:ascii="Arial" w:cs="Arial" w:eastAsia="Arial" w:hAnsi="Arial"/>
          <w:sz w:val="16"/>
          <w:szCs w:val="16"/>
          <w:color w:val="auto"/>
        </w:rPr>
        <w:t>) through May 18, 2026;</w:t>
      </w:r>
    </w:p>
    <w:p>
      <w:pPr>
        <w:spacing w:after="0" w:line="30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By telephone (1-800-690-6903) through May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-98425</wp:posOffset>
            </wp:positionV>
            <wp:extent cx="137160" cy="2400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7160" cy="24003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80" w:right="20"/>
        <w:spacing w:after="0" w:line="251" w:lineRule="auto"/>
        <w:rPr>
          <w:sz w:val="20"/>
          <w:szCs w:val="20"/>
          <w:color w:val="auto"/>
        </w:rPr>
      </w:pPr>
      <w:r>
        <w:rPr>
          <w:rFonts w:ascii="Arial" w:cs="Arial" w:eastAsia="Arial" w:hAnsi="Arial"/>
          <w:sz w:val="16"/>
          <w:szCs w:val="16"/>
          <w:color w:val="auto"/>
        </w:rPr>
        <w:t>By completing, signing and returning your proxy by mail in the envelope provided or to Vote Processing, c/o Broadridge, 51 Mercedes Way, Edgewood, NJ 11717 by May 18, 2026;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-157480</wp:posOffset>
            </wp:positionV>
            <wp:extent cx="21399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3995" cy="137160"/>
                    </a:xfrm>
                    <a:prstGeom prst="rect">
                      <a:avLst/>
                    </a:prstGeom>
                    <a:noFill/>
                  </pic:spPr>
                </pic:pic>
              </a:graphicData>
            </a:graphic>
          </wp:anchor>
        </w:drawing>
      </w:r>
    </w:p>
    <w:p>
      <w:pPr>
        <w:spacing w:after="0" w:line="162" w:lineRule="exact"/>
        <w:rPr>
          <w:sz w:val="20"/>
          <w:szCs w:val="20"/>
          <w:color w:val="auto"/>
        </w:rPr>
      </w:pPr>
    </w:p>
    <w:p>
      <w:pPr>
        <w:ind w:left="480" w:right="20"/>
        <w:spacing w:after="0" w:line="211" w:lineRule="auto"/>
        <w:rPr>
          <w:sz w:val="20"/>
          <w:szCs w:val="20"/>
          <w:color w:val="auto"/>
        </w:rPr>
      </w:pPr>
      <w:r>
        <w:rPr>
          <w:rFonts w:ascii="Arial" w:cs="Arial" w:eastAsia="Arial" w:hAnsi="Arial"/>
          <w:sz w:val="16"/>
          <w:szCs w:val="16"/>
          <w:color w:val="auto"/>
        </w:rPr>
        <w:t>Via virtual attendance and voting at the Annual Meeting. To attend the Annual Meeting, you must go to the meeting website at www.virtualshareholdermeeting.com/ENOV2026 and enter your control number. Once admitted, you may vote by following the instructions</w:t>
      </w:r>
    </w:p>
    <w:p>
      <w:pPr>
        <w:ind w:left="480" w:right="20" w:hanging="351"/>
        <w:spacing w:after="0" w:line="231"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6"/>
          <w:szCs w:val="16"/>
          <w:color w:val="auto"/>
        </w:rPr>
        <w:t>available on the meeting website. If you are a beneficial stockholder who owns shares in street name and have questions about your control number or how to obtain one, please contact the bank, broker or other nominee who holds your shares.</w:t>
      </w:r>
    </w:p>
    <w:p>
      <w:pPr>
        <w:spacing w:after="0" w:line="123"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If you are a beneficial stockholder who owns your shares in street name, the availability of online or telephone voting may depend on the voting procedures of the organization that holds your shares.</w:t>
      </w:r>
    </w:p>
    <w:p>
      <w:pPr>
        <w:spacing w:after="0" w:line="129" w:lineRule="exact"/>
        <w:rPr>
          <w:sz w:val="20"/>
          <w:szCs w:val="20"/>
          <w:color w:val="auto"/>
        </w:rPr>
      </w:pPr>
    </w:p>
    <w:p>
      <w:pPr>
        <w:ind w:left="7560"/>
        <w:spacing w:after="0"/>
        <w:tabs>
          <w:tab w:leader="none" w:pos="10840" w:val="left"/>
        </w:tabs>
        <w:rPr>
          <w:sz w:val="20"/>
          <w:szCs w:val="20"/>
          <w:color w:val="auto"/>
        </w:rPr>
      </w:pPr>
      <w:r>
        <w:rPr>
          <w:sz w:val="1"/>
          <w:szCs w:val="1"/>
          <w:color w:val="auto"/>
        </w:rPr>
        <w:drawing>
          <wp:inline distT="0" distB="0" distL="0" distR="0">
            <wp:extent cx="685800" cy="16256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0" cy="162560"/>
                    </a:xfrm>
                    <a:prstGeom prst="rect">
                      <a:avLst/>
                    </a:prstGeom>
                    <a:noFill/>
                    <a:ln>
                      <a:noFill/>
                    </a:ln>
                  </pic:spPr>
                </pic:pic>
              </a:graphicData>
            </a:graphic>
          </wp:inline>
        </w:drawing>
      </w:r>
      <w:r>
        <w:rPr>
          <w:rFonts w:ascii="Arial" w:cs="Arial" w:eastAsia="Arial" w:hAnsi="Arial"/>
          <w:sz w:val="18"/>
          <w:szCs w:val="18"/>
          <w:color w:val="auto"/>
        </w:rPr>
        <w:t xml:space="preserve"> - 2026 Proxy Statement</w:t>
      </w:r>
      <w:r>
        <w:rPr>
          <w:sz w:val="20"/>
          <w:szCs w:val="20"/>
          <w:color w:val="auto"/>
        </w:rPr>
        <w:tab/>
      </w: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-186690</wp:posOffset>
            </wp:positionV>
            <wp:extent cx="6995160" cy="3257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325755"/>
                    </a:xfrm>
                    <a:prstGeom prst="rect">
                      <a:avLst/>
                    </a:prstGeom>
                    <a:noFill/>
                  </pic:spPr>
                </pic:pic>
              </a:graphicData>
            </a:graphic>
          </wp:anchor>
        </w:drawing>
      </w:r>
    </w:p>
    <w:p>
      <w:pPr>
        <w:sectPr>
          <w:pgSz w:w="11900" w:h="16838" w:orient="portrait"/>
          <w:cols w:equalWidth="0" w:num="1">
            <w:col w:w="11020"/>
          </w:cols>
          <w:pgMar w:left="440" w:top="588" w:right="439" w:bottom="1440" w:gutter="0" w:footer="0" w:header="0"/>
        </w:sectPr>
      </w:pPr>
    </w:p>
    <w:bookmarkStart w:id="7" w:name="page8"/>
    <w:bookmarkEnd w:id="7"/>
    <w:p>
      <w:pPr>
        <w:ind w:left="4"/>
        <w:spacing w:after="0"/>
        <w:rPr>
          <w:sz w:val="20"/>
          <w:szCs w:val="20"/>
          <w:color w:val="auto"/>
        </w:rPr>
      </w:pPr>
      <w:r>
        <w:rPr>
          <w:rFonts w:ascii="Arial" w:cs="Arial" w:eastAsia="Arial" w:hAnsi="Arial"/>
          <w:sz w:val="25"/>
          <w:szCs w:val="25"/>
          <w:b w:val="1"/>
          <w:bCs w:val="1"/>
          <w:color w:val="auto"/>
        </w:rPr>
        <w:t>Voting Matters</w:t>
      </w:r>
    </w:p>
    <w:p>
      <w:pPr>
        <w:spacing w:after="0" w:line="155" w:lineRule="exact"/>
        <w:rPr>
          <w:sz w:val="20"/>
          <w:szCs w:val="20"/>
          <w:color w:val="auto"/>
        </w:rPr>
      </w:pPr>
    </w:p>
    <w:tbl>
      <w:tblPr>
        <w:tblLayout w:type="fixed"/>
        <w:tblInd w:w="4" w:type="dxa"/>
        <w:tblCellMar>
          <w:top w:w="0" w:type="dxa"/>
          <w:left w:w="0" w:type="dxa"/>
          <w:bottom w:w="0" w:type="dxa"/>
          <w:right w:w="0" w:type="dxa"/>
        </w:tblCellMar>
      </w:tblPr>
      <w:tr>
        <w:trPr>
          <w:trHeight w:val="215"/>
        </w:trPr>
        <w:tc>
          <w:tcPr>
            <w:tcW w:w="6560" w:type="dxa"/>
            <w:vAlign w:val="bottom"/>
            <w:gridSpan w:val="2"/>
          </w:tcPr>
          <w:p>
            <w:pPr>
              <w:spacing w:after="0"/>
              <w:rPr>
                <w:sz w:val="20"/>
                <w:szCs w:val="20"/>
                <w:color w:val="auto"/>
              </w:rPr>
            </w:pPr>
            <w:r>
              <w:rPr>
                <w:rFonts w:ascii="Arial" w:cs="Arial" w:eastAsia="Arial" w:hAnsi="Arial"/>
                <w:sz w:val="16"/>
                <w:szCs w:val="16"/>
                <w:color w:val="auto"/>
              </w:rPr>
              <w:t>We are asking you to vote on the following proposals at the Annual Meeting:</w:t>
            </w:r>
          </w:p>
        </w:tc>
        <w:tc>
          <w:tcPr>
            <w:tcW w:w="24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86"/>
        </w:trPr>
        <w:tc>
          <w:tcPr>
            <w:tcW w:w="84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2460" w:type="dxa"/>
            <w:vAlign w:val="bottom"/>
          </w:tcPr>
          <w:p>
            <w:pPr>
              <w:ind w:left="280"/>
              <w:spacing w:after="0"/>
              <w:rPr>
                <w:sz w:val="20"/>
                <w:szCs w:val="20"/>
                <w:color w:val="auto"/>
              </w:rPr>
            </w:pPr>
            <w:r>
              <w:rPr>
                <w:rFonts w:ascii="Arial" w:cs="Arial" w:eastAsia="Arial" w:hAnsi="Arial"/>
                <w:sz w:val="16"/>
                <w:szCs w:val="16"/>
                <w:b w:val="1"/>
                <w:bCs w:val="1"/>
                <w:color w:val="C8102E"/>
              </w:rPr>
              <w:t>Board Vote</w:t>
            </w: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840" w:type="dxa"/>
            <w:vAlign w:val="bottom"/>
          </w:tcPr>
          <w:p>
            <w:pPr>
              <w:spacing w:after="0"/>
              <w:rPr>
                <w:sz w:val="20"/>
                <w:szCs w:val="20"/>
                <w:color w:val="auto"/>
              </w:rPr>
            </w:pPr>
            <w:r>
              <w:rPr>
                <w:rFonts w:ascii="Arial" w:cs="Arial" w:eastAsia="Arial" w:hAnsi="Arial"/>
                <w:sz w:val="16"/>
                <w:szCs w:val="16"/>
                <w:b w:val="1"/>
                <w:bCs w:val="1"/>
                <w:color w:val="C8102E"/>
              </w:rPr>
              <w:t>Proposal</w:t>
            </w:r>
          </w:p>
        </w:tc>
        <w:tc>
          <w:tcPr>
            <w:tcW w:w="5720" w:type="dxa"/>
            <w:vAlign w:val="bottom"/>
          </w:tcPr>
          <w:p>
            <w:pPr>
              <w:spacing w:after="0"/>
              <w:rPr>
                <w:sz w:val="21"/>
                <w:szCs w:val="21"/>
                <w:color w:val="auto"/>
              </w:rPr>
            </w:pPr>
          </w:p>
        </w:tc>
        <w:tc>
          <w:tcPr>
            <w:tcW w:w="2460" w:type="dxa"/>
            <w:vAlign w:val="bottom"/>
          </w:tcPr>
          <w:p>
            <w:pPr>
              <w:ind w:left="280"/>
              <w:spacing w:after="0"/>
              <w:rPr>
                <w:sz w:val="20"/>
                <w:szCs w:val="20"/>
                <w:color w:val="auto"/>
              </w:rPr>
            </w:pPr>
            <w:r>
              <w:rPr>
                <w:rFonts w:ascii="Arial" w:cs="Arial" w:eastAsia="Arial" w:hAnsi="Arial"/>
                <w:sz w:val="16"/>
                <w:szCs w:val="16"/>
                <w:b w:val="1"/>
                <w:bCs w:val="1"/>
                <w:color w:val="C8102E"/>
              </w:rPr>
              <w:t>Recommendation</w:t>
            </w:r>
          </w:p>
        </w:tc>
        <w:tc>
          <w:tcPr>
            <w:tcW w:w="2020" w:type="dxa"/>
            <w:vAlign w:val="bottom"/>
            <w:gridSpan w:val="2"/>
          </w:tcPr>
          <w:p>
            <w:pPr>
              <w:ind w:left="780"/>
              <w:spacing w:after="0"/>
              <w:rPr>
                <w:sz w:val="20"/>
                <w:szCs w:val="20"/>
                <w:color w:val="auto"/>
              </w:rPr>
            </w:pPr>
            <w:r>
              <w:rPr>
                <w:rFonts w:ascii="Arial" w:cs="Arial" w:eastAsia="Arial" w:hAnsi="Arial"/>
                <w:sz w:val="16"/>
                <w:szCs w:val="16"/>
                <w:b w:val="1"/>
                <w:bCs w:val="1"/>
                <w:color w:val="C8102E"/>
              </w:rPr>
              <w:t>Page Reference</w:t>
            </w:r>
          </w:p>
        </w:tc>
      </w:tr>
      <w:tr>
        <w:trPr>
          <w:trHeight w:val="128"/>
        </w:trPr>
        <w:tc>
          <w:tcPr>
            <w:tcW w:w="6560" w:type="dxa"/>
            <w:vAlign w:val="bottom"/>
            <w:tcBorders>
              <w:top w:val="single" w:sz="8" w:color="auto"/>
            </w:tcBorders>
            <w:gridSpan w:val="2"/>
            <w:shd w:val="clear" w:color="auto" w:fill="EDEDEE"/>
          </w:tcPr>
          <w:p>
            <w:pPr>
              <w:spacing w:after="0" w:line="129" w:lineRule="exact"/>
              <w:rPr>
                <w:sz w:val="20"/>
                <w:szCs w:val="20"/>
                <w:color w:val="auto"/>
              </w:rPr>
            </w:pPr>
            <w:r>
              <w:rPr>
                <w:rFonts w:ascii="Arial" w:cs="Arial" w:eastAsia="Arial" w:hAnsi="Arial"/>
                <w:sz w:val="14"/>
                <w:szCs w:val="14"/>
                <w:b w:val="1"/>
                <w:bCs w:val="1"/>
                <w:color w:val="auto"/>
              </w:rPr>
              <w:t>Proposal 1 – Election of Directors</w:t>
            </w:r>
          </w:p>
        </w:tc>
        <w:tc>
          <w:tcPr>
            <w:tcW w:w="2460" w:type="dxa"/>
            <w:vAlign w:val="bottom"/>
            <w:tcBorders>
              <w:top w:val="single" w:sz="8" w:color="auto"/>
            </w:tcBorders>
            <w:shd w:val="clear" w:color="auto" w:fill="EDEDEE"/>
          </w:tcPr>
          <w:p>
            <w:pPr>
              <w:ind w:left="280"/>
              <w:spacing w:after="0" w:line="129" w:lineRule="exact"/>
              <w:rPr>
                <w:sz w:val="20"/>
                <w:szCs w:val="20"/>
                <w:color w:val="auto"/>
              </w:rPr>
            </w:pPr>
            <w:r>
              <w:rPr>
                <w:rFonts w:ascii="Arial" w:cs="Arial" w:eastAsia="Arial" w:hAnsi="Arial"/>
                <w:sz w:val="14"/>
                <w:szCs w:val="14"/>
                <w:b w:val="1"/>
                <w:bCs w:val="1"/>
                <w:color w:val="auto"/>
              </w:rPr>
              <w:t>FOR each director</w:t>
            </w:r>
          </w:p>
        </w:tc>
        <w:tc>
          <w:tcPr>
            <w:tcW w:w="2000" w:type="dxa"/>
            <w:vAlign w:val="bottom"/>
            <w:tcBorders>
              <w:top w:val="single" w:sz="8" w:color="auto"/>
            </w:tcBorders>
            <w:shd w:val="clear" w:color="auto" w:fill="EDEDEE"/>
          </w:tcPr>
          <w:p>
            <w:pPr>
              <w:jc w:val="right"/>
              <w:spacing w:after="0" w:line="129" w:lineRule="exact"/>
              <w:rPr>
                <w:sz w:val="20"/>
                <w:szCs w:val="20"/>
                <w:color w:val="auto"/>
              </w:rPr>
            </w:pPr>
            <w:r>
              <w:rPr>
                <w:rFonts w:ascii="Arial" w:cs="Arial" w:eastAsia="Arial" w:hAnsi="Arial"/>
                <w:sz w:val="14"/>
                <w:szCs w:val="14"/>
                <w:color w:val="auto"/>
              </w:rPr>
              <w:t>9</w:t>
            </w:r>
          </w:p>
        </w:tc>
        <w:tc>
          <w:tcPr>
            <w:tcW w:w="20" w:type="dxa"/>
            <w:vAlign w:val="bottom"/>
          </w:tcPr>
          <w:p>
            <w:pPr>
              <w:spacing w:after="0"/>
              <w:rPr>
                <w:sz w:val="11"/>
                <w:szCs w:val="11"/>
                <w:color w:val="auto"/>
              </w:rPr>
            </w:pPr>
          </w:p>
        </w:tc>
      </w:tr>
      <w:tr>
        <w:trPr>
          <w:trHeight w:val="223"/>
        </w:trPr>
        <w:tc>
          <w:tcPr>
            <w:tcW w:w="840" w:type="dxa"/>
            <w:vAlign w:val="bottom"/>
            <w:tcBorders>
              <w:bottom w:val="single" w:sz="8" w:color="EDEDEE"/>
            </w:tcBorders>
            <w:shd w:val="clear" w:color="auto" w:fill="EDEDEE"/>
          </w:tcPr>
          <w:p>
            <w:pPr>
              <w:spacing w:after="0"/>
              <w:rPr>
                <w:sz w:val="19"/>
                <w:szCs w:val="19"/>
                <w:color w:val="auto"/>
              </w:rPr>
            </w:pPr>
          </w:p>
        </w:tc>
        <w:tc>
          <w:tcPr>
            <w:tcW w:w="5720" w:type="dxa"/>
            <w:vAlign w:val="bottom"/>
            <w:tcBorders>
              <w:bottom w:val="single" w:sz="8" w:color="EDEDEE"/>
            </w:tcBorders>
            <w:shd w:val="clear" w:color="auto" w:fill="EDEDEE"/>
          </w:tcPr>
          <w:p>
            <w:pPr>
              <w:spacing w:after="0"/>
              <w:rPr>
                <w:sz w:val="19"/>
                <w:szCs w:val="19"/>
                <w:color w:val="auto"/>
              </w:rPr>
            </w:pPr>
          </w:p>
        </w:tc>
        <w:tc>
          <w:tcPr>
            <w:tcW w:w="2460" w:type="dxa"/>
            <w:vAlign w:val="bottom"/>
            <w:tcBorders>
              <w:bottom w:val="single" w:sz="8" w:color="EDEDEE"/>
            </w:tcBorders>
            <w:shd w:val="clear" w:color="auto" w:fill="EDEDEE"/>
          </w:tcPr>
          <w:p>
            <w:pPr>
              <w:ind w:left="280"/>
              <w:spacing w:after="0"/>
              <w:rPr>
                <w:sz w:val="20"/>
                <w:szCs w:val="20"/>
                <w:color w:val="auto"/>
              </w:rPr>
            </w:pPr>
            <w:r>
              <w:rPr>
                <w:rFonts w:ascii="Arial" w:cs="Arial" w:eastAsia="Arial" w:hAnsi="Arial"/>
                <w:sz w:val="16"/>
                <w:szCs w:val="16"/>
                <w:b w:val="1"/>
                <w:bCs w:val="1"/>
                <w:color w:val="auto"/>
              </w:rPr>
              <w:t>nominee</w:t>
            </w:r>
          </w:p>
        </w:tc>
        <w:tc>
          <w:tcPr>
            <w:tcW w:w="2000" w:type="dxa"/>
            <w:vAlign w:val="bottom"/>
            <w:tcBorders>
              <w:bottom w:val="single" w:sz="8" w:color="EDEDEE"/>
            </w:tcBorders>
            <w:shd w:val="clear" w:color="auto" w:fill="EDEDEE"/>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6"/>
                <w:szCs w:val="16"/>
                <w:b w:val="1"/>
                <w:bCs w:val="1"/>
                <w:color w:val="auto"/>
              </w:rPr>
              <w:t>Proposal 2</w:t>
            </w:r>
          </w:p>
        </w:tc>
        <w:tc>
          <w:tcPr>
            <w:tcW w:w="5720" w:type="dxa"/>
            <w:vAlign w:val="bottom"/>
          </w:tcPr>
          <w:p>
            <w:pPr>
              <w:ind w:left="20"/>
              <w:spacing w:after="0"/>
              <w:rPr>
                <w:sz w:val="20"/>
                <w:szCs w:val="20"/>
                <w:color w:val="auto"/>
              </w:rPr>
            </w:pPr>
            <w:r>
              <w:rPr>
                <w:rFonts w:ascii="Arial" w:cs="Arial" w:eastAsia="Arial" w:hAnsi="Arial"/>
                <w:sz w:val="16"/>
                <w:szCs w:val="16"/>
                <w:b w:val="1"/>
                <w:bCs w:val="1"/>
                <w:color w:val="auto"/>
              </w:rPr>
              <w:t>– Approval of Auditor</w:t>
            </w:r>
          </w:p>
        </w:tc>
        <w:tc>
          <w:tcPr>
            <w:tcW w:w="2460" w:type="dxa"/>
            <w:vAlign w:val="bottom"/>
          </w:tcPr>
          <w:p>
            <w:pPr>
              <w:ind w:left="280"/>
              <w:spacing w:after="0"/>
              <w:rPr>
                <w:sz w:val="20"/>
                <w:szCs w:val="20"/>
                <w:color w:val="auto"/>
              </w:rPr>
            </w:pPr>
            <w:r>
              <w:rPr>
                <w:rFonts w:ascii="Arial" w:cs="Arial" w:eastAsia="Arial" w:hAnsi="Arial"/>
                <w:sz w:val="16"/>
                <w:szCs w:val="16"/>
                <w:b w:val="1"/>
                <w:bCs w:val="1"/>
                <w:color w:val="auto"/>
              </w:rPr>
              <w:t>FOR</w:t>
            </w:r>
          </w:p>
        </w:tc>
        <w:tc>
          <w:tcPr>
            <w:tcW w:w="2000" w:type="dxa"/>
            <w:vAlign w:val="bottom"/>
          </w:tcPr>
          <w:p>
            <w:pPr>
              <w:jc w:val="right"/>
              <w:spacing w:after="0"/>
              <w:rPr>
                <w:sz w:val="20"/>
                <w:szCs w:val="20"/>
                <w:color w:val="auto"/>
              </w:rPr>
            </w:pPr>
            <w:r>
              <w:rPr>
                <w:rFonts w:ascii="Arial" w:cs="Arial" w:eastAsia="Arial" w:hAnsi="Arial"/>
                <w:sz w:val="16"/>
                <w:szCs w:val="16"/>
                <w:color w:val="auto"/>
              </w:rPr>
              <w:t>24</w:t>
            </w:r>
          </w:p>
        </w:tc>
        <w:tc>
          <w:tcPr>
            <w:tcW w:w="20" w:type="dxa"/>
            <w:vAlign w:val="bottom"/>
          </w:tcPr>
          <w:p>
            <w:pPr>
              <w:spacing w:after="0"/>
              <w:rPr>
                <w:sz w:val="18"/>
                <w:szCs w:val="18"/>
                <w:color w:val="auto"/>
              </w:rPr>
            </w:pPr>
          </w:p>
        </w:tc>
      </w:tr>
      <w:tr>
        <w:trPr>
          <w:trHeight w:val="216"/>
        </w:trPr>
        <w:tc>
          <w:tcPr>
            <w:tcW w:w="840" w:type="dxa"/>
            <w:vAlign w:val="bottom"/>
            <w:shd w:val="clear" w:color="auto" w:fill="EDEDEE"/>
          </w:tcPr>
          <w:p>
            <w:pPr>
              <w:spacing w:after="0"/>
              <w:rPr>
                <w:sz w:val="20"/>
                <w:szCs w:val="20"/>
                <w:color w:val="auto"/>
              </w:rPr>
            </w:pPr>
            <w:r>
              <w:rPr>
                <w:rFonts w:ascii="Arial" w:cs="Arial" w:eastAsia="Arial" w:hAnsi="Arial"/>
                <w:sz w:val="16"/>
                <w:szCs w:val="16"/>
                <w:b w:val="1"/>
                <w:bCs w:val="1"/>
                <w:color w:val="auto"/>
              </w:rPr>
              <w:t>Proposal 3</w:t>
            </w:r>
          </w:p>
        </w:tc>
        <w:tc>
          <w:tcPr>
            <w:tcW w:w="5720" w:type="dxa"/>
            <w:vAlign w:val="bottom"/>
            <w:shd w:val="clear" w:color="auto" w:fill="EDEDEE"/>
          </w:tcPr>
          <w:p>
            <w:pPr>
              <w:ind w:left="20"/>
              <w:spacing w:after="0"/>
              <w:rPr>
                <w:sz w:val="20"/>
                <w:szCs w:val="20"/>
                <w:color w:val="auto"/>
              </w:rPr>
            </w:pPr>
            <w:r>
              <w:rPr>
                <w:rFonts w:ascii="Arial" w:cs="Arial" w:eastAsia="Arial" w:hAnsi="Arial"/>
                <w:sz w:val="16"/>
                <w:szCs w:val="16"/>
                <w:b w:val="1"/>
                <w:bCs w:val="1"/>
                <w:color w:val="auto"/>
              </w:rPr>
              <w:t>– Say-on-Pay</w:t>
            </w:r>
          </w:p>
        </w:tc>
        <w:tc>
          <w:tcPr>
            <w:tcW w:w="2460" w:type="dxa"/>
            <w:vAlign w:val="bottom"/>
            <w:shd w:val="clear" w:color="auto" w:fill="EDEDEE"/>
          </w:tcPr>
          <w:p>
            <w:pPr>
              <w:ind w:left="280"/>
              <w:spacing w:after="0"/>
              <w:rPr>
                <w:sz w:val="20"/>
                <w:szCs w:val="20"/>
                <w:color w:val="auto"/>
              </w:rPr>
            </w:pPr>
            <w:r>
              <w:rPr>
                <w:rFonts w:ascii="Arial" w:cs="Arial" w:eastAsia="Arial" w:hAnsi="Arial"/>
                <w:sz w:val="16"/>
                <w:szCs w:val="16"/>
                <w:b w:val="1"/>
                <w:bCs w:val="1"/>
                <w:color w:val="auto"/>
              </w:rPr>
              <w:t>FOR</w:t>
            </w:r>
          </w:p>
        </w:tc>
        <w:tc>
          <w:tcPr>
            <w:tcW w:w="2000" w:type="dxa"/>
            <w:vAlign w:val="bottom"/>
            <w:shd w:val="clear" w:color="auto" w:fill="EDEDEE"/>
          </w:tcPr>
          <w:p>
            <w:pPr>
              <w:jc w:val="right"/>
              <w:spacing w:after="0"/>
              <w:rPr>
                <w:sz w:val="20"/>
                <w:szCs w:val="20"/>
                <w:color w:val="auto"/>
              </w:rPr>
            </w:pPr>
            <w:r>
              <w:rPr>
                <w:rFonts w:ascii="Arial" w:cs="Arial" w:eastAsia="Arial" w:hAnsi="Arial"/>
                <w:sz w:val="16"/>
                <w:szCs w:val="16"/>
                <w:color w:val="auto"/>
              </w:rPr>
              <w:t>58</w:t>
            </w:r>
          </w:p>
        </w:tc>
        <w:tc>
          <w:tcPr>
            <w:tcW w:w="20" w:type="dxa"/>
            <w:vAlign w:val="bottom"/>
          </w:tcPr>
          <w:p>
            <w:pPr>
              <w:spacing w:after="0"/>
              <w:rPr>
                <w:sz w:val="18"/>
                <w:szCs w:val="18"/>
                <w:color w:val="auto"/>
              </w:rPr>
            </w:pPr>
          </w:p>
        </w:tc>
      </w:tr>
      <w:tr>
        <w:trPr>
          <w:trHeight w:val="150"/>
        </w:trPr>
        <w:tc>
          <w:tcPr>
            <w:tcW w:w="840" w:type="dxa"/>
            <w:vAlign w:val="bottom"/>
          </w:tcPr>
          <w:p>
            <w:pPr>
              <w:spacing w:after="0" w:line="151" w:lineRule="exact"/>
              <w:rPr>
                <w:sz w:val="20"/>
                <w:szCs w:val="20"/>
                <w:color w:val="auto"/>
              </w:rPr>
            </w:pPr>
            <w:r>
              <w:rPr>
                <w:rFonts w:ascii="Arial" w:cs="Arial" w:eastAsia="Arial" w:hAnsi="Arial"/>
                <w:sz w:val="16"/>
                <w:szCs w:val="16"/>
                <w:b w:val="1"/>
                <w:bCs w:val="1"/>
                <w:color w:val="auto"/>
              </w:rPr>
              <w:t>Proposal 4</w:t>
            </w:r>
          </w:p>
        </w:tc>
        <w:tc>
          <w:tcPr>
            <w:tcW w:w="5720" w:type="dxa"/>
            <w:vAlign w:val="bottom"/>
          </w:tcPr>
          <w:p>
            <w:pPr>
              <w:ind w:left="20"/>
              <w:spacing w:after="0" w:line="151" w:lineRule="exact"/>
              <w:rPr>
                <w:sz w:val="20"/>
                <w:szCs w:val="20"/>
                <w:color w:val="auto"/>
              </w:rPr>
            </w:pPr>
            <w:r>
              <w:rPr>
                <w:rFonts w:ascii="Arial" w:cs="Arial" w:eastAsia="Arial" w:hAnsi="Arial"/>
                <w:sz w:val="16"/>
                <w:szCs w:val="16"/>
                <w:b w:val="1"/>
                <w:bCs w:val="1"/>
                <w:color w:val="auto"/>
              </w:rPr>
              <w:t>– Approval of an amendment to the Enovis Corporation 2020 Omnibus</w:t>
            </w:r>
          </w:p>
        </w:tc>
        <w:tc>
          <w:tcPr>
            <w:tcW w:w="2460" w:type="dxa"/>
            <w:vAlign w:val="bottom"/>
          </w:tcPr>
          <w:p>
            <w:pPr>
              <w:ind w:left="280"/>
              <w:spacing w:after="0" w:line="151" w:lineRule="exact"/>
              <w:rPr>
                <w:sz w:val="20"/>
                <w:szCs w:val="20"/>
                <w:color w:val="auto"/>
              </w:rPr>
            </w:pPr>
            <w:r>
              <w:rPr>
                <w:rFonts w:ascii="Arial" w:cs="Arial" w:eastAsia="Arial" w:hAnsi="Arial"/>
                <w:sz w:val="16"/>
                <w:szCs w:val="16"/>
                <w:b w:val="1"/>
                <w:bCs w:val="1"/>
                <w:color w:val="auto"/>
              </w:rPr>
              <w:t>FOR</w:t>
            </w:r>
          </w:p>
        </w:tc>
        <w:tc>
          <w:tcPr>
            <w:tcW w:w="2000" w:type="dxa"/>
            <w:vAlign w:val="bottom"/>
          </w:tcPr>
          <w:p>
            <w:pPr>
              <w:jc w:val="right"/>
              <w:spacing w:after="0" w:line="151" w:lineRule="exact"/>
              <w:rPr>
                <w:sz w:val="20"/>
                <w:szCs w:val="20"/>
                <w:color w:val="auto"/>
              </w:rPr>
            </w:pPr>
            <w:r>
              <w:rPr>
                <w:rFonts w:ascii="Arial" w:cs="Arial" w:eastAsia="Arial" w:hAnsi="Arial"/>
                <w:sz w:val="16"/>
                <w:szCs w:val="16"/>
                <w:color w:val="auto"/>
              </w:rPr>
              <w:t>59</w:t>
            </w:r>
          </w:p>
        </w:tc>
        <w:tc>
          <w:tcPr>
            <w:tcW w:w="20" w:type="dxa"/>
            <w:vAlign w:val="bottom"/>
          </w:tcPr>
          <w:p>
            <w:pPr>
              <w:spacing w:after="0"/>
              <w:rPr>
                <w:sz w:val="13"/>
                <w:szCs w:val="13"/>
                <w:color w:val="auto"/>
              </w:rPr>
            </w:pPr>
          </w:p>
        </w:tc>
      </w:tr>
    </w:tbl>
    <w:p>
      <w:pPr>
        <w:ind w:left="4"/>
        <w:spacing w:after="0"/>
        <w:rPr>
          <w:sz w:val="20"/>
          <w:szCs w:val="20"/>
          <w:color w:val="auto"/>
        </w:rPr>
      </w:pPr>
      <w:r>
        <w:rPr>
          <w:rFonts w:ascii="Arial" w:cs="Arial" w:eastAsia="Arial" w:hAnsi="Arial"/>
          <w:sz w:val="16"/>
          <w:szCs w:val="16"/>
          <w:b w:val="1"/>
          <w:bCs w:val="1"/>
          <w:color w:val="auto"/>
        </w:rPr>
        <w:t>Incentive Plan</w:t>
      </w:r>
    </w:p>
    <w:p>
      <w:pPr>
        <w:spacing w:after="0" w:line="114" w:lineRule="exact"/>
        <w:rPr>
          <w:sz w:val="20"/>
          <w:szCs w:val="20"/>
          <w:color w:val="auto"/>
        </w:rPr>
      </w:pPr>
    </w:p>
    <w:p>
      <w:pPr>
        <w:ind w:left="4"/>
        <w:spacing w:after="0"/>
        <w:rPr>
          <w:sz w:val="20"/>
          <w:szCs w:val="20"/>
          <w:color w:val="auto"/>
        </w:rPr>
      </w:pPr>
      <w:r>
        <w:rPr>
          <w:rFonts w:ascii="Arial" w:cs="Arial" w:eastAsia="Arial" w:hAnsi="Arial"/>
          <w:sz w:val="25"/>
          <w:szCs w:val="25"/>
          <w:b w:val="1"/>
          <w:bCs w:val="1"/>
          <w:color w:val="auto"/>
        </w:rPr>
        <w:t>Board and Governance Highlights</w:t>
      </w:r>
    </w:p>
    <w:p>
      <w:pPr>
        <w:spacing w:after="0" w:line="93" w:lineRule="exact"/>
        <w:rPr>
          <w:sz w:val="20"/>
          <w:szCs w:val="20"/>
          <w:color w:val="auto"/>
        </w:rPr>
      </w:pPr>
    </w:p>
    <w:p>
      <w:pPr>
        <w:ind w:left="224" w:hanging="224"/>
        <w:spacing w:after="0"/>
        <w:tabs>
          <w:tab w:leader="none" w:pos="224" w:val="left"/>
        </w:tabs>
        <w:numPr>
          <w:ilvl w:val="0"/>
          <w:numId w:val="8"/>
        </w:numPr>
        <w:rPr>
          <w:rFonts w:ascii="MS PGothic" w:cs="MS PGothic" w:eastAsia="MS PGothic" w:hAnsi="MS PGothic"/>
          <w:sz w:val="29"/>
          <w:szCs w:val="29"/>
          <w:color w:val="C8102E"/>
          <w:vertAlign w:val="superscript"/>
        </w:rPr>
      </w:pPr>
      <w:r>
        <w:rPr>
          <w:rFonts w:ascii="Arial" w:cs="Arial" w:eastAsia="Arial" w:hAnsi="Arial"/>
          <w:sz w:val="16"/>
          <w:szCs w:val="16"/>
          <w:color w:val="auto"/>
        </w:rPr>
        <w:t>Refreshed and experienced Board, with five new directors appointed since April 2022</w:t>
      </w:r>
    </w:p>
    <w:p>
      <w:pPr>
        <w:spacing w:after="0" w:line="152" w:lineRule="exact"/>
        <w:rPr>
          <w:rFonts w:ascii="MS PGothic" w:cs="MS PGothic" w:eastAsia="MS PGothic" w:hAnsi="MS PGothic"/>
          <w:sz w:val="29"/>
          <w:szCs w:val="29"/>
          <w:color w:val="C8102E"/>
          <w:vertAlign w:val="superscript"/>
        </w:rPr>
      </w:pPr>
    </w:p>
    <w:p>
      <w:pPr>
        <w:ind w:left="224" w:hanging="224"/>
        <w:spacing w:after="0" w:line="183" w:lineRule="auto"/>
        <w:tabs>
          <w:tab w:leader="none" w:pos="224" w:val="left"/>
        </w:tabs>
        <w:numPr>
          <w:ilvl w:val="0"/>
          <w:numId w:val="8"/>
        </w:numPr>
        <w:rPr>
          <w:rFonts w:ascii="MS PGothic" w:cs="MS PGothic" w:eastAsia="MS PGothic" w:hAnsi="MS PGothic"/>
          <w:sz w:val="26"/>
          <w:szCs w:val="26"/>
          <w:color w:val="C8102E"/>
          <w:vertAlign w:val="superscript"/>
        </w:rPr>
      </w:pPr>
      <w:r>
        <w:rPr>
          <w:rFonts w:ascii="Arial" w:cs="Arial" w:eastAsia="Arial" w:hAnsi="Arial"/>
          <w:sz w:val="15"/>
          <w:szCs w:val="15"/>
          <w:color w:val="auto"/>
        </w:rPr>
        <w:t>Strong Independent Chair</w:t>
      </w:r>
    </w:p>
    <w:p>
      <w:pPr>
        <w:spacing w:after="0" w:line="139" w:lineRule="exact"/>
        <w:rPr>
          <w:rFonts w:ascii="MS PGothic" w:cs="MS PGothic" w:eastAsia="MS PGothic" w:hAnsi="MS PGothic"/>
          <w:sz w:val="26"/>
          <w:szCs w:val="26"/>
          <w:color w:val="C8102E"/>
          <w:vertAlign w:val="superscript"/>
        </w:rPr>
      </w:pPr>
    </w:p>
    <w:p>
      <w:pPr>
        <w:ind w:left="224" w:hanging="224"/>
        <w:spacing w:after="0" w:line="183" w:lineRule="auto"/>
        <w:tabs>
          <w:tab w:leader="none" w:pos="224" w:val="left"/>
        </w:tabs>
        <w:numPr>
          <w:ilvl w:val="0"/>
          <w:numId w:val="8"/>
        </w:numPr>
        <w:rPr>
          <w:rFonts w:ascii="MS PGothic" w:cs="MS PGothic" w:eastAsia="MS PGothic" w:hAnsi="MS PGothic"/>
          <w:sz w:val="26"/>
          <w:szCs w:val="26"/>
          <w:color w:val="C8102E"/>
          <w:vertAlign w:val="superscript"/>
        </w:rPr>
      </w:pPr>
      <w:r>
        <w:rPr>
          <w:rFonts w:ascii="Arial" w:cs="Arial" w:eastAsia="Arial" w:hAnsi="Arial"/>
          <w:sz w:val="15"/>
          <w:szCs w:val="15"/>
          <w:color w:val="auto"/>
        </w:rPr>
        <w:t>Anti-hedging, anti-pledging, and clawback policies</w:t>
      </w:r>
    </w:p>
    <w:p>
      <w:pPr>
        <w:spacing w:after="0" w:line="139" w:lineRule="exact"/>
        <w:rPr>
          <w:rFonts w:ascii="MS PGothic" w:cs="MS PGothic" w:eastAsia="MS PGothic" w:hAnsi="MS PGothic"/>
          <w:sz w:val="26"/>
          <w:szCs w:val="26"/>
          <w:color w:val="C8102E"/>
          <w:vertAlign w:val="superscript"/>
        </w:rPr>
      </w:pPr>
    </w:p>
    <w:p>
      <w:pPr>
        <w:ind w:left="224" w:hanging="224"/>
        <w:spacing w:after="0" w:line="183" w:lineRule="auto"/>
        <w:tabs>
          <w:tab w:leader="none" w:pos="224" w:val="left"/>
        </w:tabs>
        <w:numPr>
          <w:ilvl w:val="0"/>
          <w:numId w:val="8"/>
        </w:numPr>
        <w:rPr>
          <w:rFonts w:ascii="MS PGothic" w:cs="MS PGothic" w:eastAsia="MS PGothic" w:hAnsi="MS PGothic"/>
          <w:sz w:val="26"/>
          <w:szCs w:val="26"/>
          <w:color w:val="C8102E"/>
          <w:vertAlign w:val="superscript"/>
        </w:rPr>
      </w:pPr>
      <w:r>
        <w:rPr>
          <w:rFonts w:ascii="Arial" w:cs="Arial" w:eastAsia="Arial" w:hAnsi="Arial"/>
          <w:sz w:val="15"/>
          <w:szCs w:val="15"/>
          <w:color w:val="auto"/>
        </w:rPr>
        <w:t>Robust stock ownership requirements for officers and directors</w:t>
      </w:r>
    </w:p>
    <w:p>
      <w:pPr>
        <w:spacing w:after="0" w:line="152" w:lineRule="exact"/>
        <w:rPr>
          <w:rFonts w:ascii="MS PGothic" w:cs="MS PGothic" w:eastAsia="MS PGothic" w:hAnsi="MS PGothic"/>
          <w:sz w:val="26"/>
          <w:szCs w:val="26"/>
          <w:color w:val="C8102E"/>
          <w:vertAlign w:val="superscript"/>
        </w:rPr>
      </w:pPr>
    </w:p>
    <w:p>
      <w:pPr>
        <w:ind w:left="224" w:hanging="224"/>
        <w:spacing w:after="0" w:line="183" w:lineRule="auto"/>
        <w:tabs>
          <w:tab w:leader="none" w:pos="224" w:val="left"/>
        </w:tabs>
        <w:numPr>
          <w:ilvl w:val="0"/>
          <w:numId w:val="8"/>
        </w:numPr>
        <w:rPr>
          <w:rFonts w:ascii="MS PGothic" w:cs="MS PGothic" w:eastAsia="MS PGothic" w:hAnsi="MS PGothic"/>
          <w:sz w:val="26"/>
          <w:szCs w:val="26"/>
          <w:color w:val="C8102E"/>
          <w:vertAlign w:val="superscript"/>
        </w:rPr>
      </w:pPr>
      <w:r>
        <w:rPr>
          <w:rFonts w:ascii="Arial" w:cs="Arial" w:eastAsia="Arial" w:hAnsi="Arial"/>
          <w:sz w:val="15"/>
          <w:szCs w:val="15"/>
          <w:color w:val="auto"/>
        </w:rPr>
        <w:t>Majority voting standard in uncontested director elections</w:t>
      </w:r>
    </w:p>
    <w:p>
      <w:pPr>
        <w:spacing w:after="0" w:line="139" w:lineRule="exact"/>
        <w:rPr>
          <w:rFonts w:ascii="MS PGothic" w:cs="MS PGothic" w:eastAsia="MS PGothic" w:hAnsi="MS PGothic"/>
          <w:sz w:val="26"/>
          <w:szCs w:val="26"/>
          <w:color w:val="C8102E"/>
          <w:vertAlign w:val="superscript"/>
        </w:rPr>
      </w:pPr>
    </w:p>
    <w:p>
      <w:pPr>
        <w:ind w:left="224" w:hanging="224"/>
        <w:spacing w:after="0" w:line="183" w:lineRule="auto"/>
        <w:tabs>
          <w:tab w:leader="none" w:pos="224" w:val="left"/>
        </w:tabs>
        <w:numPr>
          <w:ilvl w:val="0"/>
          <w:numId w:val="8"/>
        </w:numPr>
        <w:rPr>
          <w:rFonts w:ascii="MS PGothic" w:cs="MS PGothic" w:eastAsia="MS PGothic" w:hAnsi="MS PGothic"/>
          <w:sz w:val="26"/>
          <w:szCs w:val="26"/>
          <w:color w:val="C8102E"/>
          <w:vertAlign w:val="superscript"/>
        </w:rPr>
      </w:pPr>
      <w:r>
        <w:rPr>
          <w:rFonts w:ascii="Arial" w:cs="Arial" w:eastAsia="Arial" w:hAnsi="Arial"/>
          <w:sz w:val="15"/>
          <w:szCs w:val="15"/>
          <w:color w:val="auto"/>
        </w:rPr>
        <w:t>Mandatory retirement age of 75 for directors (subject to waiver)</w:t>
      </w:r>
    </w:p>
    <w:p>
      <w:pPr>
        <w:spacing w:after="0" w:line="200" w:lineRule="exact"/>
        <w:rPr>
          <w:sz w:val="20"/>
          <w:szCs w:val="20"/>
          <w:color w:val="auto"/>
        </w:rPr>
      </w:pPr>
    </w:p>
    <w:p>
      <w:pPr>
        <w:spacing w:after="0" w:line="318" w:lineRule="exact"/>
        <w:rPr>
          <w:sz w:val="20"/>
          <w:szCs w:val="20"/>
          <w:color w:val="auto"/>
        </w:rPr>
      </w:pPr>
    </w:p>
    <w:p>
      <w:pPr>
        <w:ind w:left="4"/>
        <w:spacing w:after="0"/>
        <w:tabs>
          <w:tab w:leader="none" w:pos="303" w:val="left"/>
        </w:tabs>
        <w:rPr>
          <w:sz w:val="20"/>
          <w:szCs w:val="20"/>
          <w:color w:val="auto"/>
        </w:rPr>
      </w:pPr>
      <w:r>
        <w:rPr>
          <w:rFonts w:ascii="Arial" w:cs="Arial" w:eastAsia="Arial" w:hAnsi="Arial"/>
          <w:sz w:val="18"/>
          <w:szCs w:val="18"/>
          <w:color w:val="auto"/>
        </w:rPr>
        <w:t>2</w:t>
      </w:r>
      <w:r>
        <w:rPr>
          <w:sz w:val="20"/>
          <w:szCs w:val="20"/>
          <w:color w:val="auto"/>
        </w:rPr>
        <w:tab/>
      </w:r>
      <w:r>
        <w:rPr>
          <w:sz w:val="1"/>
          <w:szCs w:val="1"/>
          <w:color w:val="auto"/>
        </w:rPr>
        <w:drawing>
          <wp:inline distT="0" distB="0" distL="0" distR="0">
            <wp:extent cx="17145" cy="31686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145" cy="316865"/>
                    </a:xfrm>
                    <a:prstGeom prst="rect">
                      <a:avLst/>
                    </a:prstGeom>
                    <a:noFill/>
                    <a:ln>
                      <a:noFill/>
                    </a:ln>
                  </pic:spPr>
                </pic:pic>
              </a:graphicData>
            </a:graphic>
          </wp:inline>
        </w:drawing>
        <w:drawing>
          <wp:inline distT="0" distB="0" distL="0" distR="0">
            <wp:extent cx="685800" cy="16319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0" cy="163195"/>
                    </a:xfrm>
                    <a:prstGeom prst="rect">
                      <a:avLst/>
                    </a:prstGeom>
                    <a:noFill/>
                    <a:ln>
                      <a:noFill/>
                    </a:ln>
                  </pic:spPr>
                </pic:pic>
              </a:graphicData>
            </a:graphic>
          </wp:inline>
        </w:drawing>
      </w:r>
      <w:r>
        <w:rPr>
          <w:rFonts w:ascii="Arial" w:cs="Arial" w:eastAsia="Arial" w:hAnsi="Arial"/>
          <w:sz w:val="18"/>
          <w:szCs w:val="18"/>
          <w:color w:val="auto"/>
        </w:rPr>
        <w:t xml:space="preserve">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995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655" w:right="439" w:bottom="1440" w:gutter="0" w:footer="0" w:header="0"/>
        </w:sectPr>
      </w:pPr>
    </w:p>
    <w:bookmarkStart w:id="8" w:name="page9"/>
    <w:bookmarkEnd w:id="8"/>
    <w:p>
      <w:pPr>
        <w:spacing w:after="0"/>
        <w:rPr>
          <w:sz w:val="20"/>
          <w:szCs w:val="20"/>
          <w:color w:val="auto"/>
        </w:rPr>
      </w:pPr>
      <w:r>
        <w:rPr>
          <w:rFonts w:ascii="Arial" w:cs="Arial" w:eastAsia="Arial" w:hAnsi="Arial"/>
          <w:sz w:val="25"/>
          <w:szCs w:val="25"/>
          <w:b w:val="1"/>
          <w:bCs w:val="1"/>
          <w:color w:val="auto"/>
        </w:rPr>
        <w:t>Board Nominees (page 10)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00" w:type="dxa"/>
            <w:vAlign w:val="bottom"/>
            <w:gridSpan w:val="4"/>
          </w:tcPr>
          <w:p>
            <w:pPr>
              <w:spacing w:after="0"/>
              <w:rPr>
                <w:sz w:val="20"/>
                <w:szCs w:val="20"/>
                <w:color w:val="auto"/>
              </w:rPr>
            </w:pPr>
            <w:r>
              <w:rPr>
                <w:rFonts w:ascii="Arial" w:cs="Arial" w:eastAsia="Arial" w:hAnsi="Arial"/>
                <w:sz w:val="16"/>
                <w:szCs w:val="16"/>
                <w:color w:val="auto"/>
              </w:rPr>
              <w:t>The following table provides summary information about each director nominee:</w:t>
            </w:r>
          </w:p>
        </w:tc>
        <w:tc>
          <w:tcPr>
            <w:tcW w:w="1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1720" w:type="dxa"/>
            <w:vAlign w:val="bottom"/>
            <w:vMerge w:val="restart"/>
          </w:tcPr>
          <w:p>
            <w:pPr>
              <w:spacing w:after="0"/>
              <w:rPr>
                <w:sz w:val="20"/>
                <w:szCs w:val="20"/>
                <w:color w:val="auto"/>
              </w:rPr>
            </w:pPr>
            <w:r>
              <w:rPr>
                <w:rFonts w:ascii="Arial" w:cs="Arial" w:eastAsia="Arial" w:hAnsi="Arial"/>
                <w:sz w:val="16"/>
                <w:szCs w:val="16"/>
                <w:b w:val="1"/>
                <w:bCs w:val="1"/>
                <w:color w:val="C8102E"/>
              </w:rPr>
              <w:t> Name</w:t>
            </w:r>
          </w:p>
        </w:tc>
        <w:tc>
          <w:tcPr>
            <w:tcW w:w="700" w:type="dxa"/>
            <w:vAlign w:val="bottom"/>
            <w:vMerge w:val="restart"/>
          </w:tcPr>
          <w:p>
            <w:pPr>
              <w:jc w:val="center"/>
              <w:ind w:left="3"/>
              <w:spacing w:after="0"/>
              <w:rPr>
                <w:sz w:val="20"/>
                <w:szCs w:val="20"/>
                <w:color w:val="auto"/>
              </w:rPr>
            </w:pPr>
            <w:r>
              <w:rPr>
                <w:rFonts w:ascii="Arial" w:cs="Arial" w:eastAsia="Arial" w:hAnsi="Arial"/>
                <w:sz w:val="16"/>
                <w:szCs w:val="16"/>
                <w:b w:val="1"/>
                <w:bCs w:val="1"/>
                <w:color w:val="C8102E"/>
                <w:w w:val="99"/>
              </w:rPr>
              <w:t>Age</w:t>
            </w:r>
          </w:p>
        </w:tc>
        <w:tc>
          <w:tcPr>
            <w:tcW w:w="960" w:type="dxa"/>
            <w:vAlign w:val="bottom"/>
          </w:tcPr>
          <w:p>
            <w:pPr>
              <w:ind w:left="140"/>
              <w:spacing w:after="0"/>
              <w:rPr>
                <w:sz w:val="20"/>
                <w:szCs w:val="20"/>
                <w:color w:val="auto"/>
              </w:rPr>
            </w:pPr>
            <w:r>
              <w:rPr>
                <w:rFonts w:ascii="Arial" w:cs="Arial" w:eastAsia="Arial" w:hAnsi="Arial"/>
                <w:sz w:val="16"/>
                <w:szCs w:val="16"/>
                <w:b w:val="1"/>
                <w:bCs w:val="1"/>
                <w:color w:val="C8102E"/>
              </w:rPr>
              <w:t>Director</w:t>
            </w:r>
          </w:p>
        </w:tc>
        <w:tc>
          <w:tcPr>
            <w:tcW w:w="2520" w:type="dxa"/>
            <w:vAlign w:val="bottom"/>
            <w:vMerge w:val="restart"/>
          </w:tcPr>
          <w:p>
            <w:pPr>
              <w:ind w:left="180"/>
              <w:spacing w:after="0"/>
              <w:rPr>
                <w:sz w:val="20"/>
                <w:szCs w:val="20"/>
                <w:color w:val="auto"/>
              </w:rPr>
            </w:pPr>
            <w:r>
              <w:rPr>
                <w:rFonts w:ascii="Arial" w:cs="Arial" w:eastAsia="Arial" w:hAnsi="Arial"/>
                <w:sz w:val="16"/>
                <w:szCs w:val="16"/>
                <w:b w:val="1"/>
                <w:bCs w:val="1"/>
                <w:color w:val="C8102E"/>
              </w:rPr>
              <w:t>Occupation</w:t>
            </w:r>
          </w:p>
        </w:tc>
        <w:tc>
          <w:tcPr>
            <w:tcW w:w="1240" w:type="dxa"/>
            <w:vAlign w:val="bottom"/>
            <w:vMerge w:val="restart"/>
          </w:tcPr>
          <w:p>
            <w:pPr>
              <w:jc w:val="center"/>
              <w:spacing w:after="0"/>
              <w:rPr>
                <w:sz w:val="20"/>
                <w:szCs w:val="20"/>
                <w:color w:val="auto"/>
              </w:rPr>
            </w:pPr>
            <w:r>
              <w:rPr>
                <w:rFonts w:ascii="Arial" w:cs="Arial" w:eastAsia="Arial" w:hAnsi="Arial"/>
                <w:sz w:val="16"/>
                <w:szCs w:val="16"/>
                <w:b w:val="1"/>
                <w:bCs w:val="1"/>
                <w:color w:val="C8102E"/>
              </w:rPr>
              <w:t>Independent</w:t>
            </w:r>
          </w:p>
        </w:tc>
        <w:tc>
          <w:tcPr>
            <w:tcW w:w="1700" w:type="dxa"/>
            <w:vAlign w:val="bottom"/>
          </w:tcPr>
          <w:p>
            <w:pPr>
              <w:ind w:left="140"/>
              <w:spacing w:after="0"/>
              <w:rPr>
                <w:sz w:val="20"/>
                <w:szCs w:val="20"/>
                <w:color w:val="auto"/>
              </w:rPr>
            </w:pPr>
            <w:r>
              <w:rPr>
                <w:rFonts w:ascii="Arial" w:cs="Arial" w:eastAsia="Arial" w:hAnsi="Arial"/>
                <w:sz w:val="16"/>
                <w:szCs w:val="16"/>
                <w:b w:val="1"/>
                <w:bCs w:val="1"/>
                <w:color w:val="C8102E"/>
              </w:rPr>
              <w:t>Committee</w:t>
            </w:r>
          </w:p>
        </w:tc>
        <w:tc>
          <w:tcPr>
            <w:tcW w:w="2180" w:type="dxa"/>
            <w:vAlign w:val="bottom"/>
            <w:vMerge w:val="restart"/>
          </w:tcPr>
          <w:p>
            <w:pPr>
              <w:ind w:left="200"/>
              <w:spacing w:after="0"/>
              <w:rPr>
                <w:sz w:val="20"/>
                <w:szCs w:val="20"/>
                <w:color w:val="auto"/>
              </w:rPr>
            </w:pPr>
            <w:r>
              <w:rPr>
                <w:rFonts w:ascii="Arial" w:cs="Arial" w:eastAsia="Arial" w:hAnsi="Arial"/>
                <w:sz w:val="16"/>
                <w:szCs w:val="16"/>
                <w:b w:val="1"/>
                <w:bCs w:val="1"/>
                <w:color w:val="C8102E"/>
              </w:rPr>
              <w:t>Other Public Boards</w:t>
            </w:r>
          </w:p>
        </w:tc>
        <w:tc>
          <w:tcPr>
            <w:tcW w:w="0" w:type="dxa"/>
            <w:vAlign w:val="bottom"/>
          </w:tcPr>
          <w:p>
            <w:pPr>
              <w:spacing w:after="0"/>
              <w:rPr>
                <w:sz w:val="1"/>
                <w:szCs w:val="1"/>
                <w:color w:val="auto"/>
              </w:rPr>
            </w:pPr>
          </w:p>
        </w:tc>
      </w:tr>
      <w:tr>
        <w:trPr>
          <w:trHeight w:val="189"/>
        </w:trPr>
        <w:tc>
          <w:tcPr>
            <w:tcW w:w="172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C8102E"/>
              </w:rPr>
              <w:t>Since</w:t>
            </w:r>
          </w:p>
        </w:tc>
        <w:tc>
          <w:tcPr>
            <w:tcW w:w="252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70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C8102E"/>
              </w:rPr>
              <w:t>Memberships</w:t>
            </w:r>
          </w:p>
        </w:tc>
        <w:tc>
          <w:tcPr>
            <w:tcW w:w="2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720" w:type="dxa"/>
            <w:vAlign w:val="bottom"/>
            <w:shd w:val="clear" w:color="auto" w:fill="EDEDEE"/>
          </w:tcPr>
          <w:p>
            <w:pPr>
              <w:spacing w:after="0" w:line="155" w:lineRule="exact"/>
              <w:rPr>
                <w:sz w:val="20"/>
                <w:szCs w:val="20"/>
                <w:color w:val="auto"/>
              </w:rPr>
            </w:pPr>
            <w:r>
              <w:rPr>
                <w:rFonts w:ascii="Arial" w:cs="Arial" w:eastAsia="Arial" w:hAnsi="Arial"/>
                <w:sz w:val="16"/>
                <w:szCs w:val="16"/>
                <w:b w:val="1"/>
                <w:bCs w:val="1"/>
                <w:color w:val="auto"/>
              </w:rPr>
              <w:t> Sharon Wienbar</w:t>
            </w:r>
          </w:p>
        </w:tc>
        <w:tc>
          <w:tcPr>
            <w:tcW w:w="700" w:type="dxa"/>
            <w:vAlign w:val="bottom"/>
            <w:shd w:val="clear" w:color="auto" w:fill="EDEDEE"/>
          </w:tcPr>
          <w:p>
            <w:pPr>
              <w:jc w:val="center"/>
              <w:ind w:left="3"/>
              <w:spacing w:after="0" w:line="155" w:lineRule="exact"/>
              <w:rPr>
                <w:sz w:val="20"/>
                <w:szCs w:val="20"/>
                <w:color w:val="auto"/>
              </w:rPr>
            </w:pPr>
            <w:r>
              <w:rPr>
                <w:rFonts w:ascii="Arial" w:cs="Arial" w:eastAsia="Arial" w:hAnsi="Arial"/>
                <w:sz w:val="16"/>
                <w:szCs w:val="16"/>
                <w:color w:val="auto"/>
              </w:rPr>
              <w:t>64</w:t>
            </w:r>
          </w:p>
        </w:tc>
        <w:tc>
          <w:tcPr>
            <w:tcW w:w="960" w:type="dxa"/>
            <w:vAlign w:val="bottom"/>
            <w:shd w:val="clear" w:color="auto" w:fill="EDEDEE"/>
          </w:tcPr>
          <w:p>
            <w:pPr>
              <w:ind w:left="140"/>
              <w:spacing w:after="0" w:line="155" w:lineRule="exact"/>
              <w:rPr>
                <w:sz w:val="20"/>
                <w:szCs w:val="20"/>
                <w:color w:val="auto"/>
              </w:rPr>
            </w:pPr>
            <w:r>
              <w:rPr>
                <w:rFonts w:ascii="Arial" w:cs="Arial" w:eastAsia="Arial" w:hAnsi="Arial"/>
                <w:sz w:val="16"/>
                <w:szCs w:val="16"/>
                <w:color w:val="auto"/>
              </w:rPr>
              <w:t>2016</w:t>
            </w:r>
          </w:p>
        </w:tc>
        <w:tc>
          <w:tcPr>
            <w:tcW w:w="2520" w:type="dxa"/>
            <w:vAlign w:val="bottom"/>
            <w:shd w:val="clear" w:color="auto" w:fill="EDEDEE"/>
          </w:tcPr>
          <w:p>
            <w:pPr>
              <w:ind w:left="180"/>
              <w:spacing w:after="0" w:line="155" w:lineRule="exact"/>
              <w:rPr>
                <w:sz w:val="20"/>
                <w:szCs w:val="20"/>
                <w:color w:val="auto"/>
              </w:rPr>
            </w:pPr>
            <w:r>
              <w:rPr>
                <w:rFonts w:ascii="Arial" w:cs="Arial" w:eastAsia="Arial" w:hAnsi="Arial"/>
                <w:sz w:val="16"/>
                <w:szCs w:val="16"/>
                <w:color w:val="auto"/>
              </w:rPr>
              <w:t>Former Partner, Scale Venture</w:t>
            </w:r>
          </w:p>
        </w:tc>
        <w:tc>
          <w:tcPr>
            <w:tcW w:w="1240" w:type="dxa"/>
            <w:vAlign w:val="bottom"/>
            <w:shd w:val="clear" w:color="auto" w:fill="EDEDEE"/>
          </w:tcPr>
          <w:p>
            <w:pPr>
              <w:jc w:val="center"/>
              <w:spacing w:after="0" w:line="156" w:lineRule="exact"/>
              <w:rPr>
                <w:sz w:val="20"/>
                <w:szCs w:val="20"/>
                <w:color w:val="auto"/>
              </w:rPr>
            </w:pPr>
            <w:r>
              <w:rPr>
                <w:rFonts w:ascii="Wingdings" w:cs="Wingdings" w:eastAsia="Wingdings" w:hAnsi="Wingdings"/>
                <w:sz w:val="16"/>
                <w:szCs w:val="16"/>
                <w:b w:val="1"/>
                <w:bCs w:val="1"/>
                <w:color w:val="auto"/>
                <w:shd w:val="clear" w:color="auto" w:fill="C8102E"/>
              </w:rPr>
              <w:t>ü</w:t>
            </w:r>
          </w:p>
        </w:tc>
        <w:tc>
          <w:tcPr>
            <w:tcW w:w="1700" w:type="dxa"/>
            <w:vAlign w:val="bottom"/>
            <w:shd w:val="clear" w:color="auto" w:fill="EDEDEE"/>
          </w:tcPr>
          <w:p>
            <w:pPr>
              <w:ind w:left="140"/>
              <w:spacing w:after="0" w:line="155" w:lineRule="exact"/>
              <w:rPr>
                <w:sz w:val="20"/>
                <w:szCs w:val="20"/>
                <w:color w:val="auto"/>
              </w:rPr>
            </w:pPr>
            <w:r>
              <w:rPr>
                <w:rFonts w:ascii="Arial" w:cs="Arial" w:eastAsia="Arial" w:hAnsi="Arial"/>
                <w:sz w:val="16"/>
                <w:szCs w:val="16"/>
                <w:color w:val="auto"/>
              </w:rPr>
              <w:t>CHCM</w:t>
            </w:r>
          </w:p>
        </w:tc>
        <w:tc>
          <w:tcPr>
            <w:tcW w:w="2180" w:type="dxa"/>
            <w:vAlign w:val="bottom"/>
            <w:shd w:val="clear" w:color="auto" w:fill="EDEDEE"/>
          </w:tcPr>
          <w:p>
            <w:pPr>
              <w:ind w:left="200"/>
              <w:spacing w:after="0" w:line="155" w:lineRule="exact"/>
              <w:rPr>
                <w:sz w:val="20"/>
                <w:szCs w:val="20"/>
                <w:color w:val="auto"/>
              </w:rPr>
            </w:pPr>
            <w:r>
              <w:rPr>
                <w:rFonts w:ascii="MS PGothic" w:cs="MS PGothic" w:eastAsia="MS PGothic" w:hAnsi="MS PGothic"/>
                <w:sz w:val="14"/>
                <w:szCs w:val="14"/>
                <w:color w:val="C8102E"/>
              </w:rPr>
              <w:t>∎</w:t>
            </w:r>
            <w:r>
              <w:rPr>
                <w:rFonts w:ascii="Arial" w:cs="Arial" w:eastAsia="Arial" w:hAnsi="Arial"/>
                <w:sz w:val="16"/>
                <w:szCs w:val="16"/>
                <w:color w:val="auto"/>
              </w:rPr>
              <w:t>  Resideo Technologies,</w:t>
            </w:r>
          </w:p>
        </w:tc>
        <w:tc>
          <w:tcPr>
            <w:tcW w:w="0" w:type="dxa"/>
            <w:vAlign w:val="bottom"/>
          </w:tcPr>
          <w:p>
            <w:pPr>
              <w:spacing w:after="0"/>
              <w:rPr>
                <w:sz w:val="1"/>
                <w:szCs w:val="1"/>
                <w:color w:val="auto"/>
              </w:rPr>
            </w:pPr>
          </w:p>
        </w:tc>
      </w:tr>
      <w:tr>
        <w:trPr>
          <w:trHeight w:val="223"/>
        </w:trPr>
        <w:tc>
          <w:tcPr>
            <w:tcW w:w="1720" w:type="dxa"/>
            <w:vAlign w:val="bottom"/>
            <w:shd w:val="clear" w:color="auto" w:fill="EDEDEE"/>
          </w:tcPr>
          <w:p>
            <w:pPr>
              <w:spacing w:after="0"/>
              <w:rPr>
                <w:sz w:val="20"/>
                <w:szCs w:val="20"/>
                <w:color w:val="auto"/>
              </w:rPr>
            </w:pPr>
            <w:r>
              <w:rPr>
                <w:rFonts w:ascii="Arial" w:cs="Arial" w:eastAsia="Arial" w:hAnsi="Arial"/>
                <w:sz w:val="16"/>
                <w:szCs w:val="16"/>
                <w:b w:val="1"/>
                <w:bCs w:val="1"/>
                <w:color w:val="auto"/>
              </w:rPr>
              <w:t>(Chair)</w:t>
            </w:r>
          </w:p>
        </w:tc>
        <w:tc>
          <w:tcPr>
            <w:tcW w:w="700" w:type="dxa"/>
            <w:vAlign w:val="bottom"/>
            <w:shd w:val="clear" w:color="auto" w:fill="EDEDEE"/>
          </w:tcPr>
          <w:p>
            <w:pPr>
              <w:spacing w:after="0"/>
              <w:rPr>
                <w:sz w:val="19"/>
                <w:szCs w:val="19"/>
                <w:color w:val="auto"/>
              </w:rPr>
            </w:pPr>
          </w:p>
        </w:tc>
        <w:tc>
          <w:tcPr>
            <w:tcW w:w="960" w:type="dxa"/>
            <w:vAlign w:val="bottom"/>
            <w:shd w:val="clear" w:color="auto" w:fill="EDEDEE"/>
          </w:tcPr>
          <w:p>
            <w:pPr>
              <w:spacing w:after="0"/>
              <w:rPr>
                <w:sz w:val="19"/>
                <w:szCs w:val="19"/>
                <w:color w:val="auto"/>
              </w:rPr>
            </w:pPr>
          </w:p>
        </w:tc>
        <w:tc>
          <w:tcPr>
            <w:tcW w:w="2520" w:type="dxa"/>
            <w:vAlign w:val="bottom"/>
            <w:shd w:val="clear" w:color="auto" w:fill="EDEDEE"/>
          </w:tcPr>
          <w:p>
            <w:pPr>
              <w:ind w:left="180"/>
              <w:spacing w:after="0"/>
              <w:rPr>
                <w:sz w:val="20"/>
                <w:szCs w:val="20"/>
                <w:color w:val="auto"/>
              </w:rPr>
            </w:pPr>
            <w:r>
              <w:rPr>
                <w:rFonts w:ascii="Arial" w:cs="Arial" w:eastAsia="Arial" w:hAnsi="Arial"/>
                <w:sz w:val="16"/>
                <w:szCs w:val="16"/>
                <w:color w:val="auto"/>
              </w:rPr>
              <w:t>Partners</w:t>
            </w:r>
          </w:p>
        </w:tc>
        <w:tc>
          <w:tcPr>
            <w:tcW w:w="1240" w:type="dxa"/>
            <w:vAlign w:val="bottom"/>
            <w:shd w:val="clear" w:color="auto" w:fill="EDEDEE"/>
          </w:tcPr>
          <w:p>
            <w:pPr>
              <w:spacing w:after="0"/>
              <w:rPr>
                <w:sz w:val="19"/>
                <w:szCs w:val="19"/>
                <w:color w:val="auto"/>
              </w:rPr>
            </w:pPr>
          </w:p>
        </w:tc>
        <w:tc>
          <w:tcPr>
            <w:tcW w:w="1700" w:type="dxa"/>
            <w:vAlign w:val="bottom"/>
            <w:shd w:val="clear" w:color="auto" w:fill="EDEDEE"/>
          </w:tcPr>
          <w:p>
            <w:pPr>
              <w:spacing w:after="0"/>
              <w:rPr>
                <w:sz w:val="19"/>
                <w:szCs w:val="19"/>
                <w:color w:val="auto"/>
              </w:rPr>
            </w:pPr>
          </w:p>
        </w:tc>
        <w:tc>
          <w:tcPr>
            <w:tcW w:w="2180" w:type="dxa"/>
            <w:vAlign w:val="bottom"/>
            <w:vMerge w:val="restart"/>
            <w:shd w:val="clear" w:color="auto" w:fill="EDEDEE"/>
          </w:tcPr>
          <w:p>
            <w:pPr>
              <w:ind w:left="420"/>
              <w:spacing w:after="0"/>
              <w:rPr>
                <w:sz w:val="20"/>
                <w:szCs w:val="20"/>
                <w:color w:val="auto"/>
              </w:rPr>
            </w:pPr>
            <w:r>
              <w:rPr>
                <w:rFonts w:ascii="Arial" w:cs="Arial" w:eastAsia="Arial" w:hAnsi="Arial"/>
                <w:sz w:val="16"/>
                <w:szCs w:val="16"/>
                <w:color w:val="auto"/>
              </w:rPr>
              <w:t>Inc.</w:t>
            </w:r>
          </w:p>
        </w:tc>
        <w:tc>
          <w:tcPr>
            <w:tcW w:w="0" w:type="dxa"/>
            <w:vAlign w:val="bottom"/>
          </w:tcPr>
          <w:p>
            <w:pPr>
              <w:spacing w:after="0"/>
              <w:rPr>
                <w:sz w:val="1"/>
                <w:szCs w:val="1"/>
                <w:color w:val="auto"/>
              </w:rPr>
            </w:pPr>
          </w:p>
        </w:tc>
      </w:tr>
      <w:tr>
        <w:trPr>
          <w:trHeight w:val="47"/>
        </w:trPr>
        <w:tc>
          <w:tcPr>
            <w:tcW w:w="1720" w:type="dxa"/>
            <w:vAlign w:val="bottom"/>
            <w:shd w:val="clear" w:color="auto" w:fill="EDEDEE"/>
          </w:tcPr>
          <w:p>
            <w:pPr>
              <w:spacing w:after="0"/>
              <w:rPr>
                <w:sz w:val="4"/>
                <w:szCs w:val="4"/>
                <w:color w:val="auto"/>
              </w:rPr>
            </w:pPr>
          </w:p>
        </w:tc>
        <w:tc>
          <w:tcPr>
            <w:tcW w:w="700" w:type="dxa"/>
            <w:vAlign w:val="bottom"/>
            <w:shd w:val="clear" w:color="auto" w:fill="EDEDEE"/>
          </w:tcPr>
          <w:p>
            <w:pPr>
              <w:spacing w:after="0"/>
              <w:rPr>
                <w:sz w:val="4"/>
                <w:szCs w:val="4"/>
                <w:color w:val="auto"/>
              </w:rPr>
            </w:pPr>
          </w:p>
        </w:tc>
        <w:tc>
          <w:tcPr>
            <w:tcW w:w="960" w:type="dxa"/>
            <w:vAlign w:val="bottom"/>
            <w:shd w:val="clear" w:color="auto" w:fill="EDEDEE"/>
          </w:tcPr>
          <w:p>
            <w:pPr>
              <w:spacing w:after="0"/>
              <w:rPr>
                <w:sz w:val="4"/>
                <w:szCs w:val="4"/>
                <w:color w:val="auto"/>
              </w:rPr>
            </w:pPr>
          </w:p>
        </w:tc>
        <w:tc>
          <w:tcPr>
            <w:tcW w:w="2520" w:type="dxa"/>
            <w:vAlign w:val="bottom"/>
            <w:shd w:val="clear" w:color="auto" w:fill="EDEDEE"/>
          </w:tcPr>
          <w:p>
            <w:pPr>
              <w:spacing w:after="0"/>
              <w:rPr>
                <w:sz w:val="4"/>
                <w:szCs w:val="4"/>
                <w:color w:val="auto"/>
              </w:rPr>
            </w:pPr>
          </w:p>
        </w:tc>
        <w:tc>
          <w:tcPr>
            <w:tcW w:w="1240" w:type="dxa"/>
            <w:vAlign w:val="bottom"/>
            <w:shd w:val="clear" w:color="auto" w:fill="EDEDEE"/>
          </w:tcPr>
          <w:p>
            <w:pPr>
              <w:spacing w:after="0"/>
              <w:rPr>
                <w:sz w:val="4"/>
                <w:szCs w:val="4"/>
                <w:color w:val="auto"/>
              </w:rPr>
            </w:pPr>
          </w:p>
        </w:tc>
        <w:tc>
          <w:tcPr>
            <w:tcW w:w="1700" w:type="dxa"/>
            <w:vAlign w:val="bottom"/>
            <w:shd w:val="clear" w:color="auto" w:fill="EDEDEE"/>
          </w:tcPr>
          <w:p>
            <w:pPr>
              <w:spacing w:after="0"/>
              <w:rPr>
                <w:sz w:val="4"/>
                <w:szCs w:val="4"/>
                <w:color w:val="auto"/>
              </w:rPr>
            </w:pPr>
          </w:p>
        </w:tc>
        <w:tc>
          <w:tcPr>
            <w:tcW w:w="2180" w:type="dxa"/>
            <w:vAlign w:val="bottom"/>
            <w:vMerge w:val="continue"/>
            <w:shd w:val="clear" w:color="auto" w:fill="EDEDEE"/>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720" w:type="dxa"/>
            <w:vAlign w:val="bottom"/>
            <w:shd w:val="clear" w:color="auto" w:fill="EDEDEE"/>
          </w:tcPr>
          <w:p>
            <w:pPr>
              <w:spacing w:after="0"/>
              <w:rPr>
                <w:sz w:val="21"/>
                <w:szCs w:val="21"/>
                <w:color w:val="auto"/>
              </w:rPr>
            </w:pPr>
          </w:p>
        </w:tc>
        <w:tc>
          <w:tcPr>
            <w:tcW w:w="700" w:type="dxa"/>
            <w:vAlign w:val="bottom"/>
            <w:shd w:val="clear" w:color="auto" w:fill="EDEDEE"/>
          </w:tcPr>
          <w:p>
            <w:pPr>
              <w:spacing w:after="0"/>
              <w:rPr>
                <w:sz w:val="21"/>
                <w:szCs w:val="21"/>
                <w:color w:val="auto"/>
              </w:rPr>
            </w:pPr>
          </w:p>
        </w:tc>
        <w:tc>
          <w:tcPr>
            <w:tcW w:w="960" w:type="dxa"/>
            <w:vAlign w:val="bottom"/>
            <w:shd w:val="clear" w:color="auto" w:fill="EDEDEE"/>
          </w:tcPr>
          <w:p>
            <w:pPr>
              <w:spacing w:after="0"/>
              <w:rPr>
                <w:sz w:val="21"/>
                <w:szCs w:val="21"/>
                <w:color w:val="auto"/>
              </w:rPr>
            </w:pPr>
          </w:p>
        </w:tc>
        <w:tc>
          <w:tcPr>
            <w:tcW w:w="2520" w:type="dxa"/>
            <w:vAlign w:val="bottom"/>
            <w:shd w:val="clear" w:color="auto" w:fill="EDEDEE"/>
          </w:tcPr>
          <w:p>
            <w:pPr>
              <w:spacing w:after="0"/>
              <w:rPr>
                <w:sz w:val="21"/>
                <w:szCs w:val="21"/>
                <w:color w:val="auto"/>
              </w:rPr>
            </w:pPr>
          </w:p>
        </w:tc>
        <w:tc>
          <w:tcPr>
            <w:tcW w:w="1240" w:type="dxa"/>
            <w:vAlign w:val="bottom"/>
            <w:shd w:val="clear" w:color="auto" w:fill="EDEDEE"/>
          </w:tcPr>
          <w:p>
            <w:pPr>
              <w:spacing w:after="0"/>
              <w:rPr>
                <w:sz w:val="21"/>
                <w:szCs w:val="21"/>
                <w:color w:val="auto"/>
              </w:rPr>
            </w:pPr>
          </w:p>
        </w:tc>
        <w:tc>
          <w:tcPr>
            <w:tcW w:w="1700" w:type="dxa"/>
            <w:vAlign w:val="bottom"/>
            <w:shd w:val="clear" w:color="auto" w:fill="EDEDEE"/>
          </w:tcPr>
          <w:p>
            <w:pPr>
              <w:spacing w:after="0"/>
              <w:rPr>
                <w:sz w:val="21"/>
                <w:szCs w:val="21"/>
                <w:color w:val="auto"/>
              </w:rPr>
            </w:pPr>
          </w:p>
        </w:tc>
        <w:tc>
          <w:tcPr>
            <w:tcW w:w="2180" w:type="dxa"/>
            <w:vAlign w:val="bottom"/>
            <w:shd w:val="clear" w:color="auto" w:fill="EDEDEE"/>
          </w:tcPr>
          <w:p>
            <w:pPr>
              <w:ind w:left="200"/>
              <w:spacing w:after="0" w:line="184" w:lineRule="exact"/>
              <w:rPr>
                <w:sz w:val="20"/>
                <w:szCs w:val="20"/>
                <w:color w:val="auto"/>
              </w:rPr>
            </w:pPr>
            <w:r>
              <w:rPr>
                <w:rFonts w:ascii="MS PGothic" w:cs="MS PGothic" w:eastAsia="MS PGothic" w:hAnsi="MS PGothic"/>
                <w:sz w:val="14"/>
                <w:szCs w:val="14"/>
                <w:color w:val="C8102E"/>
              </w:rPr>
              <w:t>∎</w:t>
            </w:r>
            <w:r>
              <w:rPr>
                <w:rFonts w:ascii="Arial" w:cs="Arial" w:eastAsia="Arial" w:hAnsi="Arial"/>
                <w:sz w:val="16"/>
                <w:szCs w:val="16"/>
                <w:color w:val="auto"/>
              </w:rPr>
              <w:t>  Ingram Micro Holding</w:t>
            </w:r>
          </w:p>
        </w:tc>
        <w:tc>
          <w:tcPr>
            <w:tcW w:w="0" w:type="dxa"/>
            <w:vAlign w:val="bottom"/>
          </w:tcPr>
          <w:p>
            <w:pPr>
              <w:spacing w:after="0"/>
              <w:rPr>
                <w:sz w:val="1"/>
                <w:szCs w:val="1"/>
                <w:color w:val="auto"/>
              </w:rPr>
            </w:pPr>
          </w:p>
        </w:tc>
      </w:tr>
      <w:tr>
        <w:trPr>
          <w:trHeight w:val="252"/>
        </w:trPr>
        <w:tc>
          <w:tcPr>
            <w:tcW w:w="1720" w:type="dxa"/>
            <w:vAlign w:val="bottom"/>
            <w:tcBorders>
              <w:bottom w:val="single" w:sz="8" w:color="EDEDEE"/>
            </w:tcBorders>
            <w:shd w:val="clear" w:color="auto" w:fill="EDEDEE"/>
          </w:tcPr>
          <w:p>
            <w:pPr>
              <w:spacing w:after="0"/>
              <w:rPr>
                <w:sz w:val="21"/>
                <w:szCs w:val="21"/>
                <w:color w:val="auto"/>
              </w:rPr>
            </w:pPr>
          </w:p>
        </w:tc>
        <w:tc>
          <w:tcPr>
            <w:tcW w:w="700" w:type="dxa"/>
            <w:vAlign w:val="bottom"/>
            <w:tcBorders>
              <w:bottom w:val="single" w:sz="8" w:color="EDEDEE"/>
            </w:tcBorders>
            <w:shd w:val="clear" w:color="auto" w:fill="EDEDEE"/>
          </w:tcPr>
          <w:p>
            <w:pPr>
              <w:spacing w:after="0"/>
              <w:rPr>
                <w:sz w:val="21"/>
                <w:szCs w:val="21"/>
                <w:color w:val="auto"/>
              </w:rPr>
            </w:pPr>
          </w:p>
        </w:tc>
        <w:tc>
          <w:tcPr>
            <w:tcW w:w="960" w:type="dxa"/>
            <w:vAlign w:val="bottom"/>
            <w:tcBorders>
              <w:bottom w:val="single" w:sz="8" w:color="EDEDEE"/>
            </w:tcBorders>
            <w:shd w:val="clear" w:color="auto" w:fill="EDEDEE"/>
          </w:tcPr>
          <w:p>
            <w:pPr>
              <w:spacing w:after="0"/>
              <w:rPr>
                <w:sz w:val="21"/>
                <w:szCs w:val="21"/>
                <w:color w:val="auto"/>
              </w:rPr>
            </w:pPr>
          </w:p>
        </w:tc>
        <w:tc>
          <w:tcPr>
            <w:tcW w:w="2520" w:type="dxa"/>
            <w:vAlign w:val="bottom"/>
            <w:tcBorders>
              <w:bottom w:val="single" w:sz="8" w:color="EDEDEE"/>
            </w:tcBorders>
            <w:shd w:val="clear" w:color="auto" w:fill="EDEDEE"/>
          </w:tcPr>
          <w:p>
            <w:pPr>
              <w:spacing w:after="0"/>
              <w:rPr>
                <w:sz w:val="21"/>
                <w:szCs w:val="21"/>
                <w:color w:val="auto"/>
              </w:rPr>
            </w:pPr>
          </w:p>
        </w:tc>
        <w:tc>
          <w:tcPr>
            <w:tcW w:w="1240" w:type="dxa"/>
            <w:vAlign w:val="bottom"/>
            <w:tcBorders>
              <w:bottom w:val="single" w:sz="8" w:color="EDEDEE"/>
            </w:tcBorders>
            <w:shd w:val="clear" w:color="auto" w:fill="EDEDEE"/>
          </w:tcPr>
          <w:p>
            <w:pPr>
              <w:spacing w:after="0"/>
              <w:rPr>
                <w:sz w:val="21"/>
                <w:szCs w:val="21"/>
                <w:color w:val="auto"/>
              </w:rPr>
            </w:pPr>
          </w:p>
        </w:tc>
        <w:tc>
          <w:tcPr>
            <w:tcW w:w="1700" w:type="dxa"/>
            <w:vAlign w:val="bottom"/>
            <w:tcBorders>
              <w:bottom w:val="single" w:sz="8" w:color="EDEDEE"/>
            </w:tcBorders>
            <w:shd w:val="clear" w:color="auto" w:fill="EDEDEE"/>
          </w:tcPr>
          <w:p>
            <w:pPr>
              <w:spacing w:after="0"/>
              <w:rPr>
                <w:sz w:val="21"/>
                <w:szCs w:val="21"/>
                <w:color w:val="auto"/>
              </w:rPr>
            </w:pPr>
          </w:p>
        </w:tc>
        <w:tc>
          <w:tcPr>
            <w:tcW w:w="2180" w:type="dxa"/>
            <w:vAlign w:val="bottom"/>
            <w:tcBorders>
              <w:bottom w:val="single" w:sz="8" w:color="EDEDEE"/>
            </w:tcBorders>
            <w:shd w:val="clear" w:color="auto" w:fill="EDEDEE"/>
          </w:tcPr>
          <w:p>
            <w:pPr>
              <w:ind w:left="420"/>
              <w:spacing w:after="0"/>
              <w:rPr>
                <w:sz w:val="20"/>
                <w:szCs w:val="20"/>
                <w:color w:val="auto"/>
              </w:rPr>
            </w:pPr>
            <w:r>
              <w:rPr>
                <w:rFonts w:ascii="Arial" w:cs="Arial" w:eastAsia="Arial" w:hAnsi="Arial"/>
                <w:sz w:val="16"/>
                <w:szCs w:val="16"/>
                <w:color w:val="auto"/>
              </w:rPr>
              <w:t>Corporation</w:t>
            </w:r>
          </w:p>
        </w:tc>
        <w:tc>
          <w:tcPr>
            <w:tcW w:w="0" w:type="dxa"/>
            <w:vAlign w:val="bottom"/>
          </w:tcPr>
          <w:p>
            <w:pPr>
              <w:spacing w:after="0"/>
              <w:rPr>
                <w:sz w:val="1"/>
                <w:szCs w:val="1"/>
                <w:color w:val="auto"/>
              </w:rPr>
            </w:pPr>
          </w:p>
        </w:tc>
      </w:tr>
      <w:tr>
        <w:trPr>
          <w:trHeight w:val="135"/>
        </w:trPr>
        <w:tc>
          <w:tcPr>
            <w:tcW w:w="1720" w:type="dxa"/>
            <w:vAlign w:val="bottom"/>
          </w:tcPr>
          <w:p>
            <w:pPr>
              <w:spacing w:after="0" w:line="135" w:lineRule="exact"/>
              <w:rPr>
                <w:sz w:val="20"/>
                <w:szCs w:val="20"/>
                <w:color w:val="auto"/>
              </w:rPr>
            </w:pPr>
            <w:r>
              <w:rPr>
                <w:rFonts w:ascii="Arial" w:cs="Arial" w:eastAsia="Arial" w:hAnsi="Arial"/>
                <w:sz w:val="15"/>
                <w:szCs w:val="15"/>
                <w:b w:val="1"/>
                <w:bCs w:val="1"/>
                <w:color w:val="auto"/>
              </w:rPr>
              <w:t>Damien McDonald</w:t>
            </w:r>
          </w:p>
        </w:tc>
        <w:tc>
          <w:tcPr>
            <w:tcW w:w="700" w:type="dxa"/>
            <w:vAlign w:val="bottom"/>
          </w:tcPr>
          <w:p>
            <w:pPr>
              <w:jc w:val="center"/>
              <w:ind w:left="3"/>
              <w:spacing w:after="0" w:line="135" w:lineRule="exact"/>
              <w:rPr>
                <w:sz w:val="20"/>
                <w:szCs w:val="20"/>
                <w:color w:val="auto"/>
              </w:rPr>
            </w:pPr>
            <w:r>
              <w:rPr>
                <w:rFonts w:ascii="Arial" w:cs="Arial" w:eastAsia="Arial" w:hAnsi="Arial"/>
                <w:sz w:val="15"/>
                <w:szCs w:val="15"/>
                <w:color w:val="auto"/>
              </w:rPr>
              <w:t>61</w:t>
            </w:r>
          </w:p>
        </w:tc>
        <w:tc>
          <w:tcPr>
            <w:tcW w:w="960" w:type="dxa"/>
            <w:vAlign w:val="bottom"/>
          </w:tcPr>
          <w:p>
            <w:pPr>
              <w:ind w:left="140"/>
              <w:spacing w:after="0" w:line="135" w:lineRule="exact"/>
              <w:rPr>
                <w:sz w:val="20"/>
                <w:szCs w:val="20"/>
                <w:color w:val="auto"/>
              </w:rPr>
            </w:pPr>
            <w:r>
              <w:rPr>
                <w:rFonts w:ascii="Arial" w:cs="Arial" w:eastAsia="Arial" w:hAnsi="Arial"/>
                <w:sz w:val="15"/>
                <w:szCs w:val="15"/>
                <w:color w:val="auto"/>
              </w:rPr>
              <w:t>2025</w:t>
            </w:r>
          </w:p>
        </w:tc>
        <w:tc>
          <w:tcPr>
            <w:tcW w:w="2520" w:type="dxa"/>
            <w:vAlign w:val="bottom"/>
          </w:tcPr>
          <w:p>
            <w:pPr>
              <w:ind w:left="180"/>
              <w:spacing w:after="0" w:line="135" w:lineRule="exact"/>
              <w:rPr>
                <w:sz w:val="20"/>
                <w:szCs w:val="20"/>
                <w:color w:val="auto"/>
              </w:rPr>
            </w:pPr>
            <w:r>
              <w:rPr>
                <w:rFonts w:ascii="Arial" w:cs="Arial" w:eastAsia="Arial" w:hAnsi="Arial"/>
                <w:sz w:val="15"/>
                <w:szCs w:val="15"/>
                <w:color w:val="auto"/>
              </w:rPr>
              <w:t>Chief Executive Officer,</w:t>
            </w:r>
          </w:p>
        </w:tc>
        <w:tc>
          <w:tcPr>
            <w:tcW w:w="1240" w:type="dxa"/>
            <w:vAlign w:val="bottom"/>
          </w:tcPr>
          <w:p>
            <w:pPr>
              <w:spacing w:after="0"/>
              <w:rPr>
                <w:sz w:val="11"/>
                <w:szCs w:val="11"/>
                <w:color w:val="auto"/>
              </w:rPr>
            </w:pPr>
          </w:p>
        </w:tc>
        <w:tc>
          <w:tcPr>
            <w:tcW w:w="1700" w:type="dxa"/>
            <w:vAlign w:val="bottom"/>
          </w:tcPr>
          <w:p>
            <w:pPr>
              <w:ind w:left="140"/>
              <w:spacing w:after="0" w:line="135" w:lineRule="exact"/>
              <w:rPr>
                <w:sz w:val="20"/>
                <w:szCs w:val="20"/>
                <w:color w:val="auto"/>
              </w:rPr>
            </w:pPr>
            <w:r>
              <w:rPr>
                <w:rFonts w:ascii="Arial" w:cs="Arial" w:eastAsia="Arial" w:hAnsi="Arial"/>
                <w:sz w:val="15"/>
                <w:szCs w:val="15"/>
                <w:color w:val="auto"/>
              </w:rPr>
              <w:t>N/A</w:t>
            </w:r>
          </w:p>
        </w:tc>
        <w:tc>
          <w:tcPr>
            <w:tcW w:w="2180" w:type="dxa"/>
            <w:vAlign w:val="bottom"/>
          </w:tcPr>
          <w:p>
            <w:pPr>
              <w:ind w:left="200"/>
              <w:spacing w:after="0" w:line="135" w:lineRule="exact"/>
              <w:rPr>
                <w:sz w:val="20"/>
                <w:szCs w:val="20"/>
                <w:color w:val="auto"/>
              </w:rPr>
            </w:pPr>
            <w:r>
              <w:rPr>
                <w:rFonts w:ascii="Arial" w:cs="Arial" w:eastAsia="Arial" w:hAnsi="Arial"/>
                <w:sz w:val="15"/>
                <w:szCs w:val="15"/>
                <w:color w:val="auto"/>
              </w:rPr>
              <w:t>None</w:t>
            </w: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520" w:type="dxa"/>
            <w:vAlign w:val="bottom"/>
          </w:tcPr>
          <w:p>
            <w:pPr>
              <w:ind w:left="180"/>
              <w:spacing w:after="0"/>
              <w:rPr>
                <w:sz w:val="20"/>
                <w:szCs w:val="20"/>
                <w:color w:val="auto"/>
              </w:rPr>
            </w:pPr>
            <w:r>
              <w:rPr>
                <w:rFonts w:ascii="Arial" w:cs="Arial" w:eastAsia="Arial" w:hAnsi="Arial"/>
                <w:sz w:val="16"/>
                <w:szCs w:val="16"/>
                <w:color w:val="auto"/>
              </w:rPr>
              <w:t>Enovis Corporation</w:t>
            </w:r>
          </w:p>
        </w:tc>
        <w:tc>
          <w:tcPr>
            <w:tcW w:w="1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720" w:type="dxa"/>
            <w:vAlign w:val="bottom"/>
            <w:shd w:val="clear" w:color="auto" w:fill="EDEDEE"/>
          </w:tcPr>
          <w:p>
            <w:pPr>
              <w:spacing w:after="0" w:line="162" w:lineRule="exact"/>
              <w:rPr>
                <w:sz w:val="20"/>
                <w:szCs w:val="20"/>
                <w:color w:val="auto"/>
              </w:rPr>
            </w:pPr>
            <w:r>
              <w:rPr>
                <w:rFonts w:ascii="Arial" w:cs="Arial" w:eastAsia="Arial" w:hAnsi="Arial"/>
                <w:sz w:val="16"/>
                <w:szCs w:val="16"/>
                <w:b w:val="1"/>
                <w:bCs w:val="1"/>
                <w:color w:val="auto"/>
              </w:rPr>
              <w:t> Barbara W. Bodem</w:t>
            </w:r>
          </w:p>
        </w:tc>
        <w:tc>
          <w:tcPr>
            <w:tcW w:w="700" w:type="dxa"/>
            <w:vAlign w:val="bottom"/>
            <w:shd w:val="clear" w:color="auto" w:fill="EDEDEE"/>
          </w:tcPr>
          <w:p>
            <w:pPr>
              <w:jc w:val="center"/>
              <w:ind w:left="3"/>
              <w:spacing w:after="0" w:line="162" w:lineRule="exact"/>
              <w:rPr>
                <w:sz w:val="20"/>
                <w:szCs w:val="20"/>
                <w:color w:val="auto"/>
              </w:rPr>
            </w:pPr>
            <w:r>
              <w:rPr>
                <w:rFonts w:ascii="Arial" w:cs="Arial" w:eastAsia="Arial" w:hAnsi="Arial"/>
                <w:sz w:val="16"/>
                <w:szCs w:val="16"/>
                <w:color w:val="auto"/>
              </w:rPr>
              <w:t>58</w:t>
            </w:r>
          </w:p>
        </w:tc>
        <w:tc>
          <w:tcPr>
            <w:tcW w:w="960" w:type="dxa"/>
            <w:vAlign w:val="bottom"/>
            <w:shd w:val="clear" w:color="auto" w:fill="EDEDEE"/>
          </w:tcPr>
          <w:p>
            <w:pPr>
              <w:ind w:left="140"/>
              <w:spacing w:after="0" w:line="162" w:lineRule="exact"/>
              <w:rPr>
                <w:sz w:val="20"/>
                <w:szCs w:val="20"/>
                <w:color w:val="auto"/>
              </w:rPr>
            </w:pPr>
            <w:r>
              <w:rPr>
                <w:rFonts w:ascii="Arial" w:cs="Arial" w:eastAsia="Arial" w:hAnsi="Arial"/>
                <w:sz w:val="16"/>
                <w:szCs w:val="16"/>
                <w:color w:val="auto"/>
              </w:rPr>
              <w:t>2022</w:t>
            </w:r>
          </w:p>
        </w:tc>
        <w:tc>
          <w:tcPr>
            <w:tcW w:w="2520" w:type="dxa"/>
            <w:vAlign w:val="bottom"/>
            <w:shd w:val="clear" w:color="auto" w:fill="EDEDEE"/>
          </w:tcPr>
          <w:p>
            <w:pPr>
              <w:ind w:left="180"/>
              <w:spacing w:after="0" w:line="162" w:lineRule="exact"/>
              <w:rPr>
                <w:sz w:val="20"/>
                <w:szCs w:val="20"/>
                <w:color w:val="auto"/>
              </w:rPr>
            </w:pPr>
            <w:r>
              <w:rPr>
                <w:rFonts w:ascii="Arial" w:cs="Arial" w:eastAsia="Arial" w:hAnsi="Arial"/>
                <w:sz w:val="16"/>
                <w:szCs w:val="16"/>
                <w:color w:val="auto"/>
              </w:rPr>
              <w:t>Former Chief Financial Officer,</w:t>
            </w:r>
          </w:p>
        </w:tc>
        <w:tc>
          <w:tcPr>
            <w:tcW w:w="1240" w:type="dxa"/>
            <w:vAlign w:val="bottom"/>
            <w:shd w:val="clear" w:color="auto" w:fill="EDEDEE"/>
          </w:tcPr>
          <w:p>
            <w:pPr>
              <w:jc w:val="center"/>
              <w:spacing w:after="0" w:line="162" w:lineRule="exact"/>
              <w:rPr>
                <w:sz w:val="20"/>
                <w:szCs w:val="20"/>
                <w:color w:val="auto"/>
              </w:rPr>
            </w:pPr>
            <w:r>
              <w:rPr>
                <w:rFonts w:ascii="Wingdings" w:cs="Wingdings" w:eastAsia="Wingdings" w:hAnsi="Wingdings"/>
                <w:sz w:val="16"/>
                <w:szCs w:val="16"/>
                <w:b w:val="1"/>
                <w:bCs w:val="1"/>
                <w:color w:val="auto"/>
                <w:shd w:val="clear" w:color="auto" w:fill="C8102E"/>
              </w:rPr>
              <w:t>ü</w:t>
            </w:r>
          </w:p>
        </w:tc>
        <w:tc>
          <w:tcPr>
            <w:tcW w:w="1700" w:type="dxa"/>
            <w:vAlign w:val="bottom"/>
            <w:shd w:val="clear" w:color="auto" w:fill="EDEDEE"/>
          </w:tcPr>
          <w:p>
            <w:pPr>
              <w:ind w:left="140"/>
              <w:spacing w:after="0" w:line="162" w:lineRule="exact"/>
              <w:rPr>
                <w:sz w:val="20"/>
                <w:szCs w:val="20"/>
                <w:color w:val="auto"/>
              </w:rPr>
            </w:pPr>
            <w:r>
              <w:rPr>
                <w:rFonts w:ascii="Arial" w:cs="Arial" w:eastAsia="Arial" w:hAnsi="Arial"/>
                <w:sz w:val="16"/>
                <w:szCs w:val="16"/>
                <w:color w:val="auto"/>
              </w:rPr>
              <w:t>Audit</w:t>
            </w:r>
          </w:p>
        </w:tc>
        <w:tc>
          <w:tcPr>
            <w:tcW w:w="2180" w:type="dxa"/>
            <w:vAlign w:val="bottom"/>
            <w:shd w:val="clear" w:color="auto" w:fill="EDEDEE"/>
          </w:tcPr>
          <w:p>
            <w:pPr>
              <w:ind w:left="200"/>
              <w:spacing w:after="0" w:line="162" w:lineRule="exact"/>
              <w:rPr>
                <w:sz w:val="20"/>
                <w:szCs w:val="20"/>
                <w:color w:val="auto"/>
              </w:rPr>
            </w:pPr>
            <w:r>
              <w:rPr>
                <w:rFonts w:ascii="MS PGothic" w:cs="MS PGothic" w:eastAsia="MS PGothic" w:hAnsi="MS PGothic"/>
                <w:sz w:val="14"/>
                <w:szCs w:val="14"/>
                <w:color w:val="C8102E"/>
              </w:rPr>
              <w:t>∎</w:t>
            </w:r>
            <w:r>
              <w:rPr>
                <w:rFonts w:ascii="Arial" w:cs="Arial" w:eastAsia="Arial" w:hAnsi="Arial"/>
                <w:sz w:val="16"/>
                <w:szCs w:val="16"/>
                <w:color w:val="auto"/>
              </w:rPr>
              <w:t>  BioMarin</w:t>
            </w:r>
          </w:p>
        </w:tc>
        <w:tc>
          <w:tcPr>
            <w:tcW w:w="0" w:type="dxa"/>
            <w:vAlign w:val="bottom"/>
          </w:tcPr>
          <w:p>
            <w:pPr>
              <w:spacing w:after="0"/>
              <w:rPr>
                <w:sz w:val="1"/>
                <w:szCs w:val="1"/>
                <w:color w:val="auto"/>
              </w:rPr>
            </w:pPr>
          </w:p>
        </w:tc>
      </w:tr>
      <w:tr>
        <w:trPr>
          <w:trHeight w:val="215"/>
        </w:trPr>
        <w:tc>
          <w:tcPr>
            <w:tcW w:w="1720" w:type="dxa"/>
            <w:vAlign w:val="bottom"/>
            <w:shd w:val="clear" w:color="auto" w:fill="EDEDEE"/>
          </w:tcPr>
          <w:p>
            <w:pPr>
              <w:spacing w:after="0"/>
              <w:rPr>
                <w:sz w:val="18"/>
                <w:szCs w:val="18"/>
                <w:color w:val="auto"/>
              </w:rPr>
            </w:pPr>
          </w:p>
        </w:tc>
        <w:tc>
          <w:tcPr>
            <w:tcW w:w="700" w:type="dxa"/>
            <w:vAlign w:val="bottom"/>
            <w:shd w:val="clear" w:color="auto" w:fill="EDEDEE"/>
          </w:tcPr>
          <w:p>
            <w:pPr>
              <w:spacing w:after="0"/>
              <w:rPr>
                <w:sz w:val="18"/>
                <w:szCs w:val="18"/>
                <w:color w:val="auto"/>
              </w:rPr>
            </w:pPr>
          </w:p>
        </w:tc>
        <w:tc>
          <w:tcPr>
            <w:tcW w:w="960" w:type="dxa"/>
            <w:vAlign w:val="bottom"/>
            <w:shd w:val="clear" w:color="auto" w:fill="EDEDEE"/>
          </w:tcPr>
          <w:p>
            <w:pPr>
              <w:spacing w:after="0"/>
              <w:rPr>
                <w:sz w:val="18"/>
                <w:szCs w:val="18"/>
                <w:color w:val="auto"/>
              </w:rPr>
            </w:pPr>
          </w:p>
        </w:tc>
        <w:tc>
          <w:tcPr>
            <w:tcW w:w="2520" w:type="dxa"/>
            <w:vAlign w:val="bottom"/>
            <w:shd w:val="clear" w:color="auto" w:fill="EDEDEE"/>
          </w:tcPr>
          <w:p>
            <w:pPr>
              <w:ind w:left="180"/>
              <w:spacing w:after="0"/>
              <w:rPr>
                <w:sz w:val="20"/>
                <w:szCs w:val="20"/>
                <w:color w:val="auto"/>
              </w:rPr>
            </w:pPr>
            <w:r>
              <w:rPr>
                <w:rFonts w:ascii="Arial" w:cs="Arial" w:eastAsia="Arial" w:hAnsi="Arial"/>
                <w:sz w:val="16"/>
                <w:szCs w:val="16"/>
                <w:color w:val="auto"/>
              </w:rPr>
              <w:t>Hill-Rom Holdings, Inc.</w:t>
            </w:r>
          </w:p>
        </w:tc>
        <w:tc>
          <w:tcPr>
            <w:tcW w:w="1240" w:type="dxa"/>
            <w:vAlign w:val="bottom"/>
            <w:shd w:val="clear" w:color="auto" w:fill="EDEDEE"/>
          </w:tcPr>
          <w:p>
            <w:pPr>
              <w:spacing w:after="0"/>
              <w:rPr>
                <w:sz w:val="18"/>
                <w:szCs w:val="18"/>
                <w:color w:val="auto"/>
              </w:rPr>
            </w:pPr>
          </w:p>
        </w:tc>
        <w:tc>
          <w:tcPr>
            <w:tcW w:w="1700" w:type="dxa"/>
            <w:vAlign w:val="bottom"/>
            <w:shd w:val="clear" w:color="auto" w:fill="EDEDEE"/>
          </w:tcPr>
          <w:p>
            <w:pPr>
              <w:spacing w:after="0"/>
              <w:rPr>
                <w:sz w:val="18"/>
                <w:szCs w:val="18"/>
                <w:color w:val="auto"/>
              </w:rPr>
            </w:pPr>
          </w:p>
        </w:tc>
        <w:tc>
          <w:tcPr>
            <w:tcW w:w="2180" w:type="dxa"/>
            <w:vAlign w:val="bottom"/>
            <w:vMerge w:val="restart"/>
            <w:shd w:val="clear" w:color="auto" w:fill="EDEDEE"/>
          </w:tcPr>
          <w:p>
            <w:pPr>
              <w:ind w:left="420"/>
              <w:spacing w:after="0"/>
              <w:rPr>
                <w:sz w:val="20"/>
                <w:szCs w:val="20"/>
                <w:color w:val="auto"/>
              </w:rPr>
            </w:pPr>
            <w:r>
              <w:rPr>
                <w:rFonts w:ascii="Arial" w:cs="Arial" w:eastAsia="Arial" w:hAnsi="Arial"/>
                <w:sz w:val="16"/>
                <w:szCs w:val="16"/>
                <w:color w:val="auto"/>
              </w:rPr>
              <w:t>Pharmaceutical Inc.</w:t>
            </w:r>
          </w:p>
        </w:tc>
        <w:tc>
          <w:tcPr>
            <w:tcW w:w="0" w:type="dxa"/>
            <w:vAlign w:val="bottom"/>
          </w:tcPr>
          <w:p>
            <w:pPr>
              <w:spacing w:after="0"/>
              <w:rPr>
                <w:sz w:val="1"/>
                <w:szCs w:val="1"/>
                <w:color w:val="auto"/>
              </w:rPr>
            </w:pPr>
          </w:p>
        </w:tc>
      </w:tr>
      <w:tr>
        <w:trPr>
          <w:trHeight w:val="55"/>
        </w:trPr>
        <w:tc>
          <w:tcPr>
            <w:tcW w:w="1720" w:type="dxa"/>
            <w:vAlign w:val="bottom"/>
            <w:shd w:val="clear" w:color="auto" w:fill="EDEDEE"/>
          </w:tcPr>
          <w:p>
            <w:pPr>
              <w:spacing w:after="0"/>
              <w:rPr>
                <w:sz w:val="4"/>
                <w:szCs w:val="4"/>
                <w:color w:val="auto"/>
              </w:rPr>
            </w:pPr>
          </w:p>
        </w:tc>
        <w:tc>
          <w:tcPr>
            <w:tcW w:w="700" w:type="dxa"/>
            <w:vAlign w:val="bottom"/>
            <w:shd w:val="clear" w:color="auto" w:fill="EDEDEE"/>
          </w:tcPr>
          <w:p>
            <w:pPr>
              <w:spacing w:after="0"/>
              <w:rPr>
                <w:sz w:val="4"/>
                <w:szCs w:val="4"/>
                <w:color w:val="auto"/>
              </w:rPr>
            </w:pPr>
          </w:p>
        </w:tc>
        <w:tc>
          <w:tcPr>
            <w:tcW w:w="960" w:type="dxa"/>
            <w:vAlign w:val="bottom"/>
            <w:shd w:val="clear" w:color="auto" w:fill="EDEDEE"/>
          </w:tcPr>
          <w:p>
            <w:pPr>
              <w:spacing w:after="0"/>
              <w:rPr>
                <w:sz w:val="4"/>
                <w:szCs w:val="4"/>
                <w:color w:val="auto"/>
              </w:rPr>
            </w:pPr>
          </w:p>
        </w:tc>
        <w:tc>
          <w:tcPr>
            <w:tcW w:w="2520" w:type="dxa"/>
            <w:vAlign w:val="bottom"/>
            <w:shd w:val="clear" w:color="auto" w:fill="EDEDEE"/>
          </w:tcPr>
          <w:p>
            <w:pPr>
              <w:spacing w:after="0"/>
              <w:rPr>
                <w:sz w:val="4"/>
                <w:szCs w:val="4"/>
                <w:color w:val="auto"/>
              </w:rPr>
            </w:pPr>
          </w:p>
        </w:tc>
        <w:tc>
          <w:tcPr>
            <w:tcW w:w="1240" w:type="dxa"/>
            <w:vAlign w:val="bottom"/>
            <w:shd w:val="clear" w:color="auto" w:fill="EDEDEE"/>
          </w:tcPr>
          <w:p>
            <w:pPr>
              <w:spacing w:after="0"/>
              <w:rPr>
                <w:sz w:val="4"/>
                <w:szCs w:val="4"/>
                <w:color w:val="auto"/>
              </w:rPr>
            </w:pPr>
          </w:p>
        </w:tc>
        <w:tc>
          <w:tcPr>
            <w:tcW w:w="1700" w:type="dxa"/>
            <w:vAlign w:val="bottom"/>
            <w:shd w:val="clear" w:color="auto" w:fill="EDEDEE"/>
          </w:tcPr>
          <w:p>
            <w:pPr>
              <w:spacing w:after="0"/>
              <w:rPr>
                <w:sz w:val="4"/>
                <w:szCs w:val="4"/>
                <w:color w:val="auto"/>
              </w:rPr>
            </w:pPr>
          </w:p>
        </w:tc>
        <w:tc>
          <w:tcPr>
            <w:tcW w:w="2180" w:type="dxa"/>
            <w:vAlign w:val="bottom"/>
            <w:vMerge w:val="continue"/>
            <w:shd w:val="clear" w:color="auto" w:fill="EDEDEE"/>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720" w:type="dxa"/>
            <w:vAlign w:val="bottom"/>
            <w:tcBorders>
              <w:bottom w:val="single" w:sz="8" w:color="EDEDEE"/>
            </w:tcBorders>
            <w:shd w:val="clear" w:color="auto" w:fill="EDEDEE"/>
          </w:tcPr>
          <w:p>
            <w:pPr>
              <w:spacing w:after="0"/>
              <w:rPr>
                <w:sz w:val="24"/>
                <w:szCs w:val="24"/>
                <w:color w:val="auto"/>
              </w:rPr>
            </w:pPr>
          </w:p>
        </w:tc>
        <w:tc>
          <w:tcPr>
            <w:tcW w:w="700" w:type="dxa"/>
            <w:vAlign w:val="bottom"/>
            <w:tcBorders>
              <w:bottom w:val="single" w:sz="8" w:color="EDEDEE"/>
            </w:tcBorders>
            <w:shd w:val="clear" w:color="auto" w:fill="EDEDEE"/>
          </w:tcPr>
          <w:p>
            <w:pPr>
              <w:spacing w:after="0"/>
              <w:rPr>
                <w:sz w:val="24"/>
                <w:szCs w:val="24"/>
                <w:color w:val="auto"/>
              </w:rPr>
            </w:pPr>
          </w:p>
        </w:tc>
        <w:tc>
          <w:tcPr>
            <w:tcW w:w="960" w:type="dxa"/>
            <w:vAlign w:val="bottom"/>
            <w:tcBorders>
              <w:bottom w:val="single" w:sz="8" w:color="EDEDEE"/>
            </w:tcBorders>
            <w:shd w:val="clear" w:color="auto" w:fill="EDEDEE"/>
          </w:tcPr>
          <w:p>
            <w:pPr>
              <w:spacing w:after="0"/>
              <w:rPr>
                <w:sz w:val="24"/>
                <w:szCs w:val="24"/>
                <w:color w:val="auto"/>
              </w:rPr>
            </w:pPr>
          </w:p>
        </w:tc>
        <w:tc>
          <w:tcPr>
            <w:tcW w:w="2520" w:type="dxa"/>
            <w:vAlign w:val="bottom"/>
            <w:tcBorders>
              <w:bottom w:val="single" w:sz="8" w:color="EDEDEE"/>
            </w:tcBorders>
            <w:shd w:val="clear" w:color="auto" w:fill="EDEDEE"/>
          </w:tcPr>
          <w:p>
            <w:pPr>
              <w:spacing w:after="0"/>
              <w:rPr>
                <w:sz w:val="24"/>
                <w:szCs w:val="24"/>
                <w:color w:val="auto"/>
              </w:rPr>
            </w:pPr>
          </w:p>
        </w:tc>
        <w:tc>
          <w:tcPr>
            <w:tcW w:w="1240" w:type="dxa"/>
            <w:vAlign w:val="bottom"/>
            <w:tcBorders>
              <w:bottom w:val="single" w:sz="8" w:color="EDEDEE"/>
            </w:tcBorders>
            <w:shd w:val="clear" w:color="auto" w:fill="EDEDEE"/>
          </w:tcPr>
          <w:p>
            <w:pPr>
              <w:spacing w:after="0"/>
              <w:rPr>
                <w:sz w:val="24"/>
                <w:szCs w:val="24"/>
                <w:color w:val="auto"/>
              </w:rPr>
            </w:pPr>
          </w:p>
        </w:tc>
        <w:tc>
          <w:tcPr>
            <w:tcW w:w="1700" w:type="dxa"/>
            <w:vAlign w:val="bottom"/>
            <w:tcBorders>
              <w:bottom w:val="single" w:sz="8" w:color="EDEDEE"/>
            </w:tcBorders>
            <w:shd w:val="clear" w:color="auto" w:fill="EDEDEE"/>
          </w:tcPr>
          <w:p>
            <w:pPr>
              <w:spacing w:after="0"/>
              <w:rPr>
                <w:sz w:val="24"/>
                <w:szCs w:val="24"/>
                <w:color w:val="auto"/>
              </w:rPr>
            </w:pPr>
          </w:p>
        </w:tc>
        <w:tc>
          <w:tcPr>
            <w:tcW w:w="2180" w:type="dxa"/>
            <w:vAlign w:val="bottom"/>
            <w:tcBorders>
              <w:bottom w:val="single" w:sz="8" w:color="EDEDEE"/>
            </w:tcBorders>
            <w:shd w:val="clear" w:color="auto" w:fill="EDEDEE"/>
          </w:tcPr>
          <w:p>
            <w:pPr>
              <w:ind w:left="200"/>
              <w:spacing w:after="0" w:line="184" w:lineRule="exact"/>
              <w:rPr>
                <w:sz w:val="20"/>
                <w:szCs w:val="20"/>
                <w:color w:val="auto"/>
              </w:rPr>
            </w:pPr>
            <w:r>
              <w:rPr>
                <w:rFonts w:ascii="MS PGothic" w:cs="MS PGothic" w:eastAsia="MS PGothic" w:hAnsi="MS PGothic"/>
                <w:sz w:val="14"/>
                <w:szCs w:val="14"/>
                <w:color w:val="C8102E"/>
              </w:rPr>
              <w:t>∎</w:t>
            </w:r>
            <w:r>
              <w:rPr>
                <w:rFonts w:ascii="Arial" w:cs="Arial" w:eastAsia="Arial" w:hAnsi="Arial"/>
                <w:sz w:val="16"/>
                <w:szCs w:val="16"/>
                <w:color w:val="auto"/>
              </w:rPr>
              <w:t>  Option Care Health, Inc.</w:t>
            </w:r>
          </w:p>
        </w:tc>
        <w:tc>
          <w:tcPr>
            <w:tcW w:w="0" w:type="dxa"/>
            <w:vAlign w:val="bottom"/>
          </w:tcPr>
          <w:p>
            <w:pPr>
              <w:spacing w:after="0"/>
              <w:rPr>
                <w:sz w:val="1"/>
                <w:szCs w:val="1"/>
                <w:color w:val="auto"/>
              </w:rPr>
            </w:pPr>
          </w:p>
        </w:tc>
      </w:tr>
      <w:tr>
        <w:trPr>
          <w:trHeight w:val="135"/>
        </w:trPr>
        <w:tc>
          <w:tcPr>
            <w:tcW w:w="1720" w:type="dxa"/>
            <w:vAlign w:val="bottom"/>
          </w:tcPr>
          <w:p>
            <w:pPr>
              <w:spacing w:after="0" w:line="135" w:lineRule="exact"/>
              <w:rPr>
                <w:sz w:val="20"/>
                <w:szCs w:val="20"/>
                <w:color w:val="auto"/>
              </w:rPr>
            </w:pPr>
            <w:r>
              <w:rPr>
                <w:rFonts w:ascii="Arial" w:cs="Arial" w:eastAsia="Arial" w:hAnsi="Arial"/>
                <w:sz w:val="15"/>
                <w:szCs w:val="15"/>
                <w:b w:val="1"/>
                <w:bCs w:val="1"/>
                <w:color w:val="auto"/>
              </w:rPr>
              <w:t> Liam J. Kelly</w:t>
            </w:r>
          </w:p>
        </w:tc>
        <w:tc>
          <w:tcPr>
            <w:tcW w:w="700" w:type="dxa"/>
            <w:vAlign w:val="bottom"/>
          </w:tcPr>
          <w:p>
            <w:pPr>
              <w:jc w:val="center"/>
              <w:ind w:left="3"/>
              <w:spacing w:after="0" w:line="135" w:lineRule="exact"/>
              <w:rPr>
                <w:sz w:val="20"/>
                <w:szCs w:val="20"/>
                <w:color w:val="auto"/>
              </w:rPr>
            </w:pPr>
            <w:r>
              <w:rPr>
                <w:rFonts w:ascii="Arial" w:cs="Arial" w:eastAsia="Arial" w:hAnsi="Arial"/>
                <w:sz w:val="15"/>
                <w:szCs w:val="15"/>
                <w:color w:val="auto"/>
              </w:rPr>
              <w:t>59</w:t>
            </w:r>
          </w:p>
        </w:tc>
        <w:tc>
          <w:tcPr>
            <w:tcW w:w="960" w:type="dxa"/>
            <w:vAlign w:val="bottom"/>
          </w:tcPr>
          <w:p>
            <w:pPr>
              <w:ind w:left="140"/>
              <w:spacing w:after="0" w:line="135" w:lineRule="exact"/>
              <w:rPr>
                <w:sz w:val="20"/>
                <w:szCs w:val="20"/>
                <w:color w:val="auto"/>
              </w:rPr>
            </w:pPr>
            <w:r>
              <w:rPr>
                <w:rFonts w:ascii="Arial" w:cs="Arial" w:eastAsia="Arial" w:hAnsi="Arial"/>
                <w:sz w:val="15"/>
                <w:szCs w:val="15"/>
                <w:color w:val="auto"/>
              </w:rPr>
              <w:t>2020</w:t>
            </w:r>
          </w:p>
        </w:tc>
        <w:tc>
          <w:tcPr>
            <w:tcW w:w="2520" w:type="dxa"/>
            <w:vAlign w:val="bottom"/>
          </w:tcPr>
          <w:p>
            <w:pPr>
              <w:ind w:left="180"/>
              <w:spacing w:after="0" w:line="135" w:lineRule="exact"/>
              <w:rPr>
                <w:sz w:val="20"/>
                <w:szCs w:val="20"/>
                <w:color w:val="auto"/>
              </w:rPr>
            </w:pPr>
            <w:r>
              <w:rPr>
                <w:rFonts w:ascii="Arial" w:cs="Arial" w:eastAsia="Arial" w:hAnsi="Arial"/>
                <w:sz w:val="15"/>
                <w:szCs w:val="15"/>
                <w:color w:val="auto"/>
              </w:rPr>
              <w:t>Former President and Chief</w:t>
            </w:r>
          </w:p>
        </w:tc>
        <w:tc>
          <w:tcPr>
            <w:tcW w:w="1240" w:type="dxa"/>
            <w:vAlign w:val="bottom"/>
          </w:tcPr>
          <w:p>
            <w:pPr>
              <w:jc w:val="center"/>
              <w:spacing w:after="0" w:line="135" w:lineRule="exact"/>
              <w:rPr>
                <w:sz w:val="20"/>
                <w:szCs w:val="20"/>
                <w:color w:val="auto"/>
              </w:rPr>
            </w:pPr>
            <w:r>
              <w:rPr>
                <w:rFonts w:ascii="Wingdings" w:cs="Wingdings" w:eastAsia="Wingdings" w:hAnsi="Wingdings"/>
                <w:sz w:val="16"/>
                <w:szCs w:val="16"/>
                <w:b w:val="1"/>
                <w:bCs w:val="1"/>
                <w:color w:val="auto"/>
                <w:shd w:val="clear" w:color="auto" w:fill="C8102E"/>
              </w:rPr>
              <w:t>ü</w:t>
            </w:r>
          </w:p>
        </w:tc>
        <w:tc>
          <w:tcPr>
            <w:tcW w:w="1700" w:type="dxa"/>
            <w:vAlign w:val="bottom"/>
          </w:tcPr>
          <w:p>
            <w:pPr>
              <w:ind w:left="140"/>
              <w:spacing w:after="0" w:line="135" w:lineRule="exact"/>
              <w:rPr>
                <w:sz w:val="20"/>
                <w:szCs w:val="20"/>
                <w:color w:val="auto"/>
              </w:rPr>
            </w:pPr>
            <w:r>
              <w:rPr>
                <w:rFonts w:ascii="Arial" w:cs="Arial" w:eastAsia="Arial" w:hAnsi="Arial"/>
                <w:sz w:val="15"/>
                <w:szCs w:val="15"/>
                <w:color w:val="auto"/>
              </w:rPr>
              <w:t>Nominating</w:t>
            </w:r>
          </w:p>
        </w:tc>
        <w:tc>
          <w:tcPr>
            <w:tcW w:w="2180" w:type="dxa"/>
            <w:vAlign w:val="bottom"/>
          </w:tcPr>
          <w:p>
            <w:pPr>
              <w:ind w:left="200"/>
              <w:spacing w:after="0" w:line="135" w:lineRule="exact"/>
              <w:rPr>
                <w:sz w:val="20"/>
                <w:szCs w:val="20"/>
                <w:color w:val="auto"/>
              </w:rPr>
            </w:pPr>
            <w:r>
              <w:rPr>
                <w:rFonts w:ascii="MS PGothic" w:cs="MS PGothic" w:eastAsia="MS PGothic" w:hAnsi="MS PGothic"/>
                <w:sz w:val="13"/>
                <w:szCs w:val="13"/>
                <w:color w:val="C8102E"/>
              </w:rPr>
              <w:t>∎</w:t>
            </w:r>
            <w:r>
              <w:rPr>
                <w:rFonts w:ascii="Arial" w:cs="Arial" w:eastAsia="Arial" w:hAnsi="Arial"/>
                <w:sz w:val="15"/>
                <w:szCs w:val="15"/>
                <w:color w:val="auto"/>
              </w:rPr>
              <w:t>  None</w:t>
            </w: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520" w:type="dxa"/>
            <w:vAlign w:val="bottom"/>
          </w:tcPr>
          <w:p>
            <w:pPr>
              <w:ind w:left="180"/>
              <w:spacing w:after="0" w:line="162" w:lineRule="exact"/>
              <w:rPr>
                <w:sz w:val="20"/>
                <w:szCs w:val="20"/>
                <w:color w:val="auto"/>
              </w:rPr>
            </w:pPr>
            <w:r>
              <w:rPr>
                <w:rFonts w:ascii="Arial" w:cs="Arial" w:eastAsia="Arial" w:hAnsi="Arial"/>
                <w:sz w:val="16"/>
                <w:szCs w:val="16"/>
                <w:color w:val="auto"/>
              </w:rPr>
              <w:t>Executive Officer, Teleflex</w:t>
            </w:r>
          </w:p>
        </w:tc>
        <w:tc>
          <w:tcPr>
            <w:tcW w:w="1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520" w:type="dxa"/>
            <w:vAlign w:val="bottom"/>
          </w:tcPr>
          <w:p>
            <w:pPr>
              <w:ind w:left="180"/>
              <w:spacing w:after="0"/>
              <w:rPr>
                <w:sz w:val="20"/>
                <w:szCs w:val="20"/>
                <w:color w:val="auto"/>
              </w:rPr>
            </w:pPr>
            <w:r>
              <w:rPr>
                <w:rFonts w:ascii="Arial" w:cs="Arial" w:eastAsia="Arial" w:hAnsi="Arial"/>
                <w:sz w:val="16"/>
                <w:szCs w:val="16"/>
                <w:color w:val="auto"/>
              </w:rPr>
              <w:t>Incorporated</w:t>
            </w:r>
          </w:p>
        </w:tc>
        <w:tc>
          <w:tcPr>
            <w:tcW w:w="1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720" w:type="dxa"/>
            <w:vAlign w:val="bottom"/>
            <w:shd w:val="clear" w:color="auto" w:fill="EDEDEE"/>
          </w:tcPr>
          <w:p>
            <w:pPr>
              <w:spacing w:after="0" w:line="135" w:lineRule="exact"/>
              <w:rPr>
                <w:sz w:val="20"/>
                <w:szCs w:val="20"/>
                <w:color w:val="auto"/>
              </w:rPr>
            </w:pPr>
            <w:r>
              <w:rPr>
                <w:rFonts w:ascii="Arial" w:cs="Arial" w:eastAsia="Arial" w:hAnsi="Arial"/>
                <w:sz w:val="15"/>
                <w:szCs w:val="15"/>
                <w:b w:val="1"/>
                <w:bCs w:val="1"/>
                <w:color w:val="auto"/>
              </w:rPr>
              <w:t> Angela S. Lalor</w:t>
            </w:r>
          </w:p>
        </w:tc>
        <w:tc>
          <w:tcPr>
            <w:tcW w:w="700" w:type="dxa"/>
            <w:vAlign w:val="bottom"/>
            <w:shd w:val="clear" w:color="auto" w:fill="EDEDEE"/>
          </w:tcPr>
          <w:p>
            <w:pPr>
              <w:jc w:val="center"/>
              <w:ind w:left="3"/>
              <w:spacing w:after="0" w:line="135" w:lineRule="exact"/>
              <w:rPr>
                <w:sz w:val="20"/>
                <w:szCs w:val="20"/>
                <w:color w:val="auto"/>
              </w:rPr>
            </w:pPr>
            <w:r>
              <w:rPr>
                <w:rFonts w:ascii="Arial" w:cs="Arial" w:eastAsia="Arial" w:hAnsi="Arial"/>
                <w:sz w:val="15"/>
                <w:szCs w:val="15"/>
                <w:color w:val="auto"/>
              </w:rPr>
              <w:t>60</w:t>
            </w:r>
          </w:p>
        </w:tc>
        <w:tc>
          <w:tcPr>
            <w:tcW w:w="960" w:type="dxa"/>
            <w:vAlign w:val="bottom"/>
            <w:shd w:val="clear" w:color="auto" w:fill="EDEDEE"/>
          </w:tcPr>
          <w:p>
            <w:pPr>
              <w:ind w:left="140"/>
              <w:spacing w:after="0" w:line="135" w:lineRule="exact"/>
              <w:rPr>
                <w:sz w:val="20"/>
                <w:szCs w:val="20"/>
                <w:color w:val="auto"/>
              </w:rPr>
            </w:pPr>
            <w:r>
              <w:rPr>
                <w:rFonts w:ascii="Arial" w:cs="Arial" w:eastAsia="Arial" w:hAnsi="Arial"/>
                <w:sz w:val="15"/>
                <w:szCs w:val="15"/>
                <w:color w:val="auto"/>
              </w:rPr>
              <w:t>2022</w:t>
            </w:r>
          </w:p>
        </w:tc>
        <w:tc>
          <w:tcPr>
            <w:tcW w:w="2520" w:type="dxa"/>
            <w:vAlign w:val="bottom"/>
            <w:shd w:val="clear" w:color="auto" w:fill="EDEDEE"/>
          </w:tcPr>
          <w:p>
            <w:pPr>
              <w:ind w:left="180"/>
              <w:spacing w:after="0" w:line="135" w:lineRule="exact"/>
              <w:rPr>
                <w:sz w:val="20"/>
                <w:szCs w:val="20"/>
                <w:color w:val="auto"/>
              </w:rPr>
            </w:pPr>
            <w:r>
              <w:rPr>
                <w:rFonts w:ascii="Arial" w:cs="Arial" w:eastAsia="Arial" w:hAnsi="Arial"/>
                <w:sz w:val="15"/>
                <w:szCs w:val="15"/>
                <w:color w:val="auto"/>
              </w:rPr>
              <w:t>Retired Senior VP, Human</w:t>
            </w:r>
          </w:p>
        </w:tc>
        <w:tc>
          <w:tcPr>
            <w:tcW w:w="1240" w:type="dxa"/>
            <w:vAlign w:val="bottom"/>
            <w:shd w:val="clear" w:color="auto" w:fill="EDEDEE"/>
          </w:tcPr>
          <w:p>
            <w:pPr>
              <w:jc w:val="center"/>
              <w:spacing w:after="0" w:line="135" w:lineRule="exact"/>
              <w:rPr>
                <w:sz w:val="20"/>
                <w:szCs w:val="20"/>
                <w:color w:val="auto"/>
              </w:rPr>
            </w:pPr>
            <w:r>
              <w:rPr>
                <w:rFonts w:ascii="Wingdings" w:cs="Wingdings" w:eastAsia="Wingdings" w:hAnsi="Wingdings"/>
                <w:sz w:val="16"/>
                <w:szCs w:val="16"/>
                <w:b w:val="1"/>
                <w:bCs w:val="1"/>
                <w:color w:val="auto"/>
                <w:shd w:val="clear" w:color="auto" w:fill="C8102E"/>
              </w:rPr>
              <w:t>ü</w:t>
            </w:r>
          </w:p>
        </w:tc>
        <w:tc>
          <w:tcPr>
            <w:tcW w:w="1700" w:type="dxa"/>
            <w:vAlign w:val="bottom"/>
            <w:shd w:val="clear" w:color="auto" w:fill="EDEDEE"/>
          </w:tcPr>
          <w:p>
            <w:pPr>
              <w:ind w:left="140"/>
              <w:spacing w:after="0" w:line="135" w:lineRule="exact"/>
              <w:rPr>
                <w:sz w:val="20"/>
                <w:szCs w:val="20"/>
                <w:color w:val="auto"/>
              </w:rPr>
            </w:pPr>
            <w:r>
              <w:rPr>
                <w:rFonts w:ascii="Arial" w:cs="Arial" w:eastAsia="Arial" w:hAnsi="Arial"/>
                <w:sz w:val="15"/>
                <w:szCs w:val="15"/>
                <w:color w:val="auto"/>
              </w:rPr>
              <w:t>CHCM (Chair)</w:t>
            </w:r>
          </w:p>
        </w:tc>
        <w:tc>
          <w:tcPr>
            <w:tcW w:w="2180" w:type="dxa"/>
            <w:vAlign w:val="bottom"/>
            <w:shd w:val="clear" w:color="auto" w:fill="EDEDEE"/>
          </w:tcPr>
          <w:p>
            <w:pPr>
              <w:ind w:left="200"/>
              <w:spacing w:after="0" w:line="135" w:lineRule="exact"/>
              <w:rPr>
                <w:sz w:val="20"/>
                <w:szCs w:val="20"/>
                <w:color w:val="auto"/>
              </w:rPr>
            </w:pPr>
            <w:r>
              <w:rPr>
                <w:rFonts w:ascii="Arial" w:cs="Arial" w:eastAsia="Arial" w:hAnsi="Arial"/>
                <w:sz w:val="15"/>
                <w:szCs w:val="15"/>
                <w:color w:val="auto"/>
              </w:rPr>
              <w:t>None</w:t>
            </w:r>
          </w:p>
        </w:tc>
        <w:tc>
          <w:tcPr>
            <w:tcW w:w="0" w:type="dxa"/>
            <w:vAlign w:val="bottom"/>
          </w:tcPr>
          <w:p>
            <w:pPr>
              <w:spacing w:after="0"/>
              <w:rPr>
                <w:sz w:val="1"/>
                <w:szCs w:val="1"/>
                <w:color w:val="auto"/>
              </w:rPr>
            </w:pPr>
          </w:p>
        </w:tc>
      </w:tr>
      <w:tr>
        <w:trPr>
          <w:trHeight w:val="162"/>
        </w:trPr>
        <w:tc>
          <w:tcPr>
            <w:tcW w:w="1720" w:type="dxa"/>
            <w:vAlign w:val="bottom"/>
            <w:shd w:val="clear" w:color="auto" w:fill="EDEDEE"/>
          </w:tcPr>
          <w:p>
            <w:pPr>
              <w:spacing w:after="0"/>
              <w:rPr>
                <w:sz w:val="14"/>
                <w:szCs w:val="14"/>
                <w:color w:val="auto"/>
              </w:rPr>
            </w:pPr>
          </w:p>
        </w:tc>
        <w:tc>
          <w:tcPr>
            <w:tcW w:w="700" w:type="dxa"/>
            <w:vAlign w:val="bottom"/>
            <w:shd w:val="clear" w:color="auto" w:fill="EDEDEE"/>
          </w:tcPr>
          <w:p>
            <w:pPr>
              <w:spacing w:after="0"/>
              <w:rPr>
                <w:sz w:val="14"/>
                <w:szCs w:val="14"/>
                <w:color w:val="auto"/>
              </w:rPr>
            </w:pPr>
          </w:p>
        </w:tc>
        <w:tc>
          <w:tcPr>
            <w:tcW w:w="960" w:type="dxa"/>
            <w:vAlign w:val="bottom"/>
            <w:shd w:val="clear" w:color="auto" w:fill="EDEDEE"/>
          </w:tcPr>
          <w:p>
            <w:pPr>
              <w:spacing w:after="0"/>
              <w:rPr>
                <w:sz w:val="14"/>
                <w:szCs w:val="14"/>
                <w:color w:val="auto"/>
              </w:rPr>
            </w:pPr>
          </w:p>
        </w:tc>
        <w:tc>
          <w:tcPr>
            <w:tcW w:w="2520" w:type="dxa"/>
            <w:vAlign w:val="bottom"/>
            <w:shd w:val="clear" w:color="auto" w:fill="EDEDEE"/>
          </w:tcPr>
          <w:p>
            <w:pPr>
              <w:ind w:left="180"/>
              <w:spacing w:after="0" w:line="162" w:lineRule="exact"/>
              <w:rPr>
                <w:sz w:val="20"/>
                <w:szCs w:val="20"/>
                <w:color w:val="auto"/>
              </w:rPr>
            </w:pPr>
            <w:r>
              <w:rPr>
                <w:rFonts w:ascii="Arial" w:cs="Arial" w:eastAsia="Arial" w:hAnsi="Arial"/>
                <w:sz w:val="16"/>
                <w:szCs w:val="16"/>
                <w:color w:val="auto"/>
              </w:rPr>
              <w:t>Resources, Danaher</w:t>
            </w:r>
          </w:p>
        </w:tc>
        <w:tc>
          <w:tcPr>
            <w:tcW w:w="1240" w:type="dxa"/>
            <w:vAlign w:val="bottom"/>
            <w:shd w:val="clear" w:color="auto" w:fill="EDEDEE"/>
          </w:tcPr>
          <w:p>
            <w:pPr>
              <w:spacing w:after="0"/>
              <w:rPr>
                <w:sz w:val="14"/>
                <w:szCs w:val="14"/>
                <w:color w:val="auto"/>
              </w:rPr>
            </w:pPr>
          </w:p>
        </w:tc>
        <w:tc>
          <w:tcPr>
            <w:tcW w:w="1700" w:type="dxa"/>
            <w:vAlign w:val="bottom"/>
            <w:shd w:val="clear" w:color="auto" w:fill="EDEDEE"/>
          </w:tcPr>
          <w:p>
            <w:pPr>
              <w:spacing w:after="0"/>
              <w:rPr>
                <w:sz w:val="14"/>
                <w:szCs w:val="14"/>
                <w:color w:val="auto"/>
              </w:rPr>
            </w:pPr>
          </w:p>
        </w:tc>
        <w:tc>
          <w:tcPr>
            <w:tcW w:w="2180" w:type="dxa"/>
            <w:vAlign w:val="bottom"/>
            <w:shd w:val="clear" w:color="auto" w:fill="EDEDE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Borders>
              <w:bottom w:val="single" w:sz="8" w:color="EDEDEE"/>
            </w:tcBorders>
            <w:shd w:val="clear" w:color="auto" w:fill="EDEDEE"/>
          </w:tcPr>
          <w:p>
            <w:pPr>
              <w:spacing w:after="0"/>
              <w:rPr>
                <w:sz w:val="19"/>
                <w:szCs w:val="19"/>
                <w:color w:val="auto"/>
              </w:rPr>
            </w:pPr>
          </w:p>
        </w:tc>
        <w:tc>
          <w:tcPr>
            <w:tcW w:w="700" w:type="dxa"/>
            <w:vAlign w:val="bottom"/>
            <w:tcBorders>
              <w:bottom w:val="single" w:sz="8" w:color="EDEDEE"/>
            </w:tcBorders>
            <w:shd w:val="clear" w:color="auto" w:fill="EDEDEE"/>
          </w:tcPr>
          <w:p>
            <w:pPr>
              <w:spacing w:after="0"/>
              <w:rPr>
                <w:sz w:val="19"/>
                <w:szCs w:val="19"/>
                <w:color w:val="auto"/>
              </w:rPr>
            </w:pPr>
          </w:p>
        </w:tc>
        <w:tc>
          <w:tcPr>
            <w:tcW w:w="960" w:type="dxa"/>
            <w:vAlign w:val="bottom"/>
            <w:tcBorders>
              <w:bottom w:val="single" w:sz="8" w:color="EDEDEE"/>
            </w:tcBorders>
            <w:shd w:val="clear" w:color="auto" w:fill="EDEDEE"/>
          </w:tcPr>
          <w:p>
            <w:pPr>
              <w:spacing w:after="0"/>
              <w:rPr>
                <w:sz w:val="19"/>
                <w:szCs w:val="19"/>
                <w:color w:val="auto"/>
              </w:rPr>
            </w:pPr>
          </w:p>
        </w:tc>
        <w:tc>
          <w:tcPr>
            <w:tcW w:w="2520" w:type="dxa"/>
            <w:vAlign w:val="bottom"/>
            <w:tcBorders>
              <w:bottom w:val="single" w:sz="8" w:color="EDEDEE"/>
            </w:tcBorders>
            <w:shd w:val="clear" w:color="auto" w:fill="EDEDEE"/>
          </w:tcPr>
          <w:p>
            <w:pPr>
              <w:ind w:left="180"/>
              <w:spacing w:after="0"/>
              <w:rPr>
                <w:sz w:val="20"/>
                <w:szCs w:val="20"/>
                <w:color w:val="auto"/>
              </w:rPr>
            </w:pPr>
            <w:r>
              <w:rPr>
                <w:rFonts w:ascii="Arial" w:cs="Arial" w:eastAsia="Arial" w:hAnsi="Arial"/>
                <w:sz w:val="16"/>
                <w:szCs w:val="16"/>
                <w:color w:val="auto"/>
              </w:rPr>
              <w:t>Corporation</w:t>
            </w:r>
          </w:p>
        </w:tc>
        <w:tc>
          <w:tcPr>
            <w:tcW w:w="1240" w:type="dxa"/>
            <w:vAlign w:val="bottom"/>
            <w:tcBorders>
              <w:bottom w:val="single" w:sz="8" w:color="EDEDEE"/>
            </w:tcBorders>
            <w:shd w:val="clear" w:color="auto" w:fill="EDEDEE"/>
          </w:tcPr>
          <w:p>
            <w:pPr>
              <w:spacing w:after="0"/>
              <w:rPr>
                <w:sz w:val="19"/>
                <w:szCs w:val="19"/>
                <w:color w:val="auto"/>
              </w:rPr>
            </w:pPr>
          </w:p>
        </w:tc>
        <w:tc>
          <w:tcPr>
            <w:tcW w:w="1700" w:type="dxa"/>
            <w:vAlign w:val="bottom"/>
            <w:tcBorders>
              <w:bottom w:val="single" w:sz="8" w:color="EDEDEE"/>
            </w:tcBorders>
            <w:shd w:val="clear" w:color="auto" w:fill="EDEDEE"/>
          </w:tcPr>
          <w:p>
            <w:pPr>
              <w:spacing w:after="0"/>
              <w:rPr>
                <w:sz w:val="19"/>
                <w:szCs w:val="19"/>
                <w:color w:val="auto"/>
              </w:rPr>
            </w:pPr>
          </w:p>
        </w:tc>
        <w:tc>
          <w:tcPr>
            <w:tcW w:w="2180" w:type="dxa"/>
            <w:vAlign w:val="bottom"/>
            <w:tcBorders>
              <w:bottom w:val="single" w:sz="8" w:color="EDEDEE"/>
            </w:tcBorders>
            <w:shd w:val="clear" w:color="auto" w:fill="EDEDEE"/>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720" w:type="dxa"/>
            <w:vAlign w:val="bottom"/>
          </w:tcPr>
          <w:p>
            <w:pPr>
              <w:spacing w:after="0" w:line="135" w:lineRule="exact"/>
              <w:rPr>
                <w:sz w:val="20"/>
                <w:szCs w:val="20"/>
                <w:color w:val="auto"/>
              </w:rPr>
            </w:pPr>
            <w:r>
              <w:rPr>
                <w:rFonts w:ascii="Arial" w:cs="Arial" w:eastAsia="Arial" w:hAnsi="Arial"/>
                <w:sz w:val="15"/>
                <w:szCs w:val="15"/>
                <w:b w:val="1"/>
                <w:bCs w:val="1"/>
                <w:color w:val="auto"/>
              </w:rPr>
              <w:t> Philip A. Okala</w:t>
            </w:r>
          </w:p>
        </w:tc>
        <w:tc>
          <w:tcPr>
            <w:tcW w:w="700" w:type="dxa"/>
            <w:vAlign w:val="bottom"/>
          </w:tcPr>
          <w:p>
            <w:pPr>
              <w:jc w:val="center"/>
              <w:ind w:left="3"/>
              <w:spacing w:after="0" w:line="135" w:lineRule="exact"/>
              <w:rPr>
                <w:sz w:val="20"/>
                <w:szCs w:val="20"/>
                <w:color w:val="auto"/>
              </w:rPr>
            </w:pPr>
            <w:r>
              <w:rPr>
                <w:rFonts w:ascii="Arial" w:cs="Arial" w:eastAsia="Arial" w:hAnsi="Arial"/>
                <w:sz w:val="15"/>
                <w:szCs w:val="15"/>
                <w:color w:val="auto"/>
              </w:rPr>
              <w:t>57</w:t>
            </w:r>
          </w:p>
        </w:tc>
        <w:tc>
          <w:tcPr>
            <w:tcW w:w="960" w:type="dxa"/>
            <w:vAlign w:val="bottom"/>
          </w:tcPr>
          <w:p>
            <w:pPr>
              <w:ind w:left="140"/>
              <w:spacing w:after="0" w:line="135" w:lineRule="exact"/>
              <w:rPr>
                <w:sz w:val="20"/>
                <w:szCs w:val="20"/>
                <w:color w:val="auto"/>
              </w:rPr>
            </w:pPr>
            <w:r>
              <w:rPr>
                <w:rFonts w:ascii="Arial" w:cs="Arial" w:eastAsia="Arial" w:hAnsi="Arial"/>
                <w:sz w:val="15"/>
                <w:szCs w:val="15"/>
                <w:color w:val="auto"/>
              </w:rPr>
              <w:t>2021</w:t>
            </w:r>
          </w:p>
        </w:tc>
        <w:tc>
          <w:tcPr>
            <w:tcW w:w="2520" w:type="dxa"/>
            <w:vAlign w:val="bottom"/>
          </w:tcPr>
          <w:p>
            <w:pPr>
              <w:ind w:left="180"/>
              <w:spacing w:after="0" w:line="135" w:lineRule="exact"/>
              <w:rPr>
                <w:sz w:val="20"/>
                <w:szCs w:val="20"/>
                <w:color w:val="auto"/>
              </w:rPr>
            </w:pPr>
            <w:r>
              <w:rPr>
                <w:rFonts w:ascii="Arial" w:cs="Arial" w:eastAsia="Arial" w:hAnsi="Arial"/>
                <w:sz w:val="15"/>
                <w:szCs w:val="15"/>
                <w:color w:val="auto"/>
              </w:rPr>
              <w:t>Chief Operating Officer, Tufts</w:t>
            </w:r>
          </w:p>
        </w:tc>
        <w:tc>
          <w:tcPr>
            <w:tcW w:w="1240" w:type="dxa"/>
            <w:vAlign w:val="bottom"/>
          </w:tcPr>
          <w:p>
            <w:pPr>
              <w:jc w:val="center"/>
              <w:spacing w:after="0" w:line="135" w:lineRule="exact"/>
              <w:rPr>
                <w:sz w:val="20"/>
                <w:szCs w:val="20"/>
                <w:color w:val="auto"/>
              </w:rPr>
            </w:pPr>
            <w:r>
              <w:rPr>
                <w:rFonts w:ascii="Wingdings" w:cs="Wingdings" w:eastAsia="Wingdings" w:hAnsi="Wingdings"/>
                <w:sz w:val="16"/>
                <w:szCs w:val="16"/>
                <w:b w:val="1"/>
                <w:bCs w:val="1"/>
                <w:color w:val="auto"/>
                <w:shd w:val="clear" w:color="auto" w:fill="C8102E"/>
              </w:rPr>
              <w:t>ü</w:t>
            </w:r>
          </w:p>
        </w:tc>
        <w:tc>
          <w:tcPr>
            <w:tcW w:w="1700" w:type="dxa"/>
            <w:vAlign w:val="bottom"/>
          </w:tcPr>
          <w:p>
            <w:pPr>
              <w:ind w:left="140"/>
              <w:spacing w:after="0" w:line="135" w:lineRule="exact"/>
              <w:rPr>
                <w:sz w:val="20"/>
                <w:szCs w:val="20"/>
                <w:color w:val="auto"/>
              </w:rPr>
            </w:pPr>
            <w:r>
              <w:rPr>
                <w:rFonts w:ascii="Arial" w:cs="Arial" w:eastAsia="Arial" w:hAnsi="Arial"/>
                <w:sz w:val="15"/>
                <w:szCs w:val="15"/>
                <w:color w:val="auto"/>
              </w:rPr>
              <w:t>Audit</w:t>
            </w:r>
          </w:p>
        </w:tc>
        <w:tc>
          <w:tcPr>
            <w:tcW w:w="2180" w:type="dxa"/>
            <w:vAlign w:val="bottom"/>
          </w:tcPr>
          <w:p>
            <w:pPr>
              <w:ind w:left="200"/>
              <w:spacing w:after="0" w:line="135" w:lineRule="exact"/>
              <w:rPr>
                <w:sz w:val="20"/>
                <w:szCs w:val="20"/>
                <w:color w:val="auto"/>
              </w:rPr>
            </w:pPr>
            <w:r>
              <w:rPr>
                <w:rFonts w:ascii="Arial" w:cs="Arial" w:eastAsia="Arial" w:hAnsi="Arial"/>
                <w:sz w:val="15"/>
                <w:szCs w:val="15"/>
                <w:color w:val="auto"/>
              </w:rPr>
              <w:t>None</w:t>
            </w: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520" w:type="dxa"/>
            <w:vAlign w:val="bottom"/>
          </w:tcPr>
          <w:p>
            <w:pPr>
              <w:ind w:left="180"/>
              <w:spacing w:after="0"/>
              <w:rPr>
                <w:sz w:val="20"/>
                <w:szCs w:val="20"/>
                <w:color w:val="auto"/>
              </w:rPr>
            </w:pPr>
            <w:r>
              <w:rPr>
                <w:rFonts w:ascii="Arial" w:cs="Arial" w:eastAsia="Arial" w:hAnsi="Arial"/>
                <w:sz w:val="16"/>
                <w:szCs w:val="16"/>
                <w:color w:val="auto"/>
              </w:rPr>
              <w:t>Medicine</w:t>
            </w:r>
          </w:p>
        </w:tc>
        <w:tc>
          <w:tcPr>
            <w:tcW w:w="1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720" w:type="dxa"/>
            <w:vAlign w:val="bottom"/>
            <w:shd w:val="clear" w:color="auto" w:fill="EDEDEE"/>
          </w:tcPr>
          <w:p>
            <w:pPr>
              <w:spacing w:after="0" w:line="135" w:lineRule="exact"/>
              <w:rPr>
                <w:sz w:val="20"/>
                <w:szCs w:val="20"/>
                <w:color w:val="auto"/>
              </w:rPr>
            </w:pPr>
            <w:r>
              <w:rPr>
                <w:rFonts w:ascii="Arial" w:cs="Arial" w:eastAsia="Arial" w:hAnsi="Arial"/>
                <w:sz w:val="15"/>
                <w:szCs w:val="15"/>
                <w:b w:val="1"/>
                <w:bCs w:val="1"/>
                <w:color w:val="auto"/>
              </w:rPr>
              <w:t> Christine Ortiz</w:t>
            </w:r>
          </w:p>
        </w:tc>
        <w:tc>
          <w:tcPr>
            <w:tcW w:w="700" w:type="dxa"/>
            <w:vAlign w:val="bottom"/>
            <w:shd w:val="clear" w:color="auto" w:fill="EDEDEE"/>
          </w:tcPr>
          <w:p>
            <w:pPr>
              <w:jc w:val="center"/>
              <w:ind w:left="3"/>
              <w:spacing w:after="0" w:line="135" w:lineRule="exact"/>
              <w:rPr>
                <w:sz w:val="20"/>
                <w:szCs w:val="20"/>
                <w:color w:val="auto"/>
              </w:rPr>
            </w:pPr>
            <w:r>
              <w:rPr>
                <w:rFonts w:ascii="Arial" w:cs="Arial" w:eastAsia="Arial" w:hAnsi="Arial"/>
                <w:sz w:val="15"/>
                <w:szCs w:val="15"/>
                <w:color w:val="auto"/>
              </w:rPr>
              <w:t>55</w:t>
            </w:r>
          </w:p>
        </w:tc>
        <w:tc>
          <w:tcPr>
            <w:tcW w:w="960" w:type="dxa"/>
            <w:vAlign w:val="bottom"/>
            <w:shd w:val="clear" w:color="auto" w:fill="EDEDEE"/>
          </w:tcPr>
          <w:p>
            <w:pPr>
              <w:ind w:left="140"/>
              <w:spacing w:after="0" w:line="135" w:lineRule="exact"/>
              <w:rPr>
                <w:sz w:val="20"/>
                <w:szCs w:val="20"/>
                <w:color w:val="auto"/>
              </w:rPr>
            </w:pPr>
            <w:r>
              <w:rPr>
                <w:rFonts w:ascii="Arial" w:cs="Arial" w:eastAsia="Arial" w:hAnsi="Arial"/>
                <w:sz w:val="15"/>
                <w:szCs w:val="15"/>
                <w:color w:val="auto"/>
              </w:rPr>
              <w:t>2022</w:t>
            </w:r>
          </w:p>
        </w:tc>
        <w:tc>
          <w:tcPr>
            <w:tcW w:w="2520" w:type="dxa"/>
            <w:vAlign w:val="bottom"/>
            <w:shd w:val="clear" w:color="auto" w:fill="EDEDEE"/>
          </w:tcPr>
          <w:p>
            <w:pPr>
              <w:ind w:left="180"/>
              <w:spacing w:after="0" w:line="135" w:lineRule="exact"/>
              <w:rPr>
                <w:sz w:val="20"/>
                <w:szCs w:val="20"/>
                <w:color w:val="auto"/>
              </w:rPr>
            </w:pPr>
            <w:r>
              <w:rPr>
                <w:rFonts w:ascii="Arial" w:cs="Arial" w:eastAsia="Arial" w:hAnsi="Arial"/>
                <w:sz w:val="15"/>
                <w:szCs w:val="15"/>
                <w:color w:val="auto"/>
              </w:rPr>
              <w:t>Morris Cohen Professor of</w:t>
            </w:r>
          </w:p>
        </w:tc>
        <w:tc>
          <w:tcPr>
            <w:tcW w:w="1240" w:type="dxa"/>
            <w:vAlign w:val="bottom"/>
            <w:shd w:val="clear" w:color="auto" w:fill="EDEDEE"/>
          </w:tcPr>
          <w:p>
            <w:pPr>
              <w:jc w:val="center"/>
              <w:spacing w:after="0" w:line="135" w:lineRule="exact"/>
              <w:rPr>
                <w:sz w:val="20"/>
                <w:szCs w:val="20"/>
                <w:color w:val="auto"/>
              </w:rPr>
            </w:pPr>
            <w:r>
              <w:rPr>
                <w:rFonts w:ascii="Wingdings" w:cs="Wingdings" w:eastAsia="Wingdings" w:hAnsi="Wingdings"/>
                <w:sz w:val="16"/>
                <w:szCs w:val="16"/>
                <w:b w:val="1"/>
                <w:bCs w:val="1"/>
                <w:color w:val="auto"/>
                <w:shd w:val="clear" w:color="auto" w:fill="C8102E"/>
              </w:rPr>
              <w:t>ü</w:t>
            </w:r>
          </w:p>
        </w:tc>
        <w:tc>
          <w:tcPr>
            <w:tcW w:w="1700" w:type="dxa"/>
            <w:vAlign w:val="bottom"/>
            <w:shd w:val="clear" w:color="auto" w:fill="EDEDEE"/>
          </w:tcPr>
          <w:p>
            <w:pPr>
              <w:ind w:left="140"/>
              <w:spacing w:after="0" w:line="135" w:lineRule="exact"/>
              <w:rPr>
                <w:sz w:val="20"/>
                <w:szCs w:val="20"/>
                <w:color w:val="auto"/>
              </w:rPr>
            </w:pPr>
            <w:r>
              <w:rPr>
                <w:rFonts w:ascii="Arial" w:cs="Arial" w:eastAsia="Arial" w:hAnsi="Arial"/>
                <w:sz w:val="15"/>
                <w:szCs w:val="15"/>
                <w:color w:val="auto"/>
              </w:rPr>
              <w:t>Nominating</w:t>
            </w:r>
          </w:p>
        </w:tc>
        <w:tc>
          <w:tcPr>
            <w:tcW w:w="2180" w:type="dxa"/>
            <w:vAlign w:val="bottom"/>
            <w:shd w:val="clear" w:color="auto" w:fill="EDEDEE"/>
          </w:tcPr>
          <w:p>
            <w:pPr>
              <w:ind w:left="200"/>
              <w:spacing w:after="0" w:line="135" w:lineRule="exact"/>
              <w:rPr>
                <w:sz w:val="20"/>
                <w:szCs w:val="20"/>
                <w:color w:val="auto"/>
              </w:rPr>
            </w:pPr>
            <w:r>
              <w:rPr>
                <w:rFonts w:ascii="MS PGothic" w:cs="MS PGothic" w:eastAsia="MS PGothic" w:hAnsi="MS PGothic"/>
                <w:sz w:val="13"/>
                <w:szCs w:val="13"/>
                <w:color w:val="C8102E"/>
              </w:rPr>
              <w:t>∎</w:t>
            </w:r>
            <w:r>
              <w:rPr>
                <w:rFonts w:ascii="Arial" w:cs="Arial" w:eastAsia="Arial" w:hAnsi="Arial"/>
                <w:sz w:val="15"/>
                <w:szCs w:val="15"/>
                <w:color w:val="auto"/>
              </w:rPr>
              <w:t>  Mueller Water Products,</w:t>
            </w:r>
          </w:p>
        </w:tc>
        <w:tc>
          <w:tcPr>
            <w:tcW w:w="0" w:type="dxa"/>
            <w:vAlign w:val="bottom"/>
          </w:tcPr>
          <w:p>
            <w:pPr>
              <w:spacing w:after="0"/>
              <w:rPr>
                <w:sz w:val="1"/>
                <w:szCs w:val="1"/>
                <w:color w:val="auto"/>
              </w:rPr>
            </w:pPr>
          </w:p>
        </w:tc>
      </w:tr>
      <w:tr>
        <w:trPr>
          <w:trHeight w:val="175"/>
        </w:trPr>
        <w:tc>
          <w:tcPr>
            <w:tcW w:w="1720" w:type="dxa"/>
            <w:vAlign w:val="bottom"/>
            <w:shd w:val="clear" w:color="auto" w:fill="EDEDEE"/>
          </w:tcPr>
          <w:p>
            <w:pPr>
              <w:spacing w:after="0"/>
              <w:rPr>
                <w:sz w:val="15"/>
                <w:szCs w:val="15"/>
                <w:color w:val="auto"/>
              </w:rPr>
            </w:pPr>
          </w:p>
        </w:tc>
        <w:tc>
          <w:tcPr>
            <w:tcW w:w="700" w:type="dxa"/>
            <w:vAlign w:val="bottom"/>
            <w:shd w:val="clear" w:color="auto" w:fill="EDEDEE"/>
          </w:tcPr>
          <w:p>
            <w:pPr>
              <w:spacing w:after="0"/>
              <w:rPr>
                <w:sz w:val="15"/>
                <w:szCs w:val="15"/>
                <w:color w:val="auto"/>
              </w:rPr>
            </w:pPr>
          </w:p>
        </w:tc>
        <w:tc>
          <w:tcPr>
            <w:tcW w:w="960" w:type="dxa"/>
            <w:vAlign w:val="bottom"/>
            <w:shd w:val="clear" w:color="auto" w:fill="EDEDEE"/>
          </w:tcPr>
          <w:p>
            <w:pPr>
              <w:spacing w:after="0"/>
              <w:rPr>
                <w:sz w:val="15"/>
                <w:szCs w:val="15"/>
                <w:color w:val="auto"/>
              </w:rPr>
            </w:pPr>
          </w:p>
        </w:tc>
        <w:tc>
          <w:tcPr>
            <w:tcW w:w="2520" w:type="dxa"/>
            <w:vAlign w:val="bottom"/>
            <w:shd w:val="clear" w:color="auto" w:fill="EDEDEE"/>
          </w:tcPr>
          <w:p>
            <w:pPr>
              <w:ind w:left="180"/>
              <w:spacing w:after="0" w:line="175" w:lineRule="exact"/>
              <w:rPr>
                <w:sz w:val="20"/>
                <w:szCs w:val="20"/>
                <w:color w:val="auto"/>
              </w:rPr>
            </w:pPr>
            <w:r>
              <w:rPr>
                <w:rFonts w:ascii="Arial" w:cs="Arial" w:eastAsia="Arial" w:hAnsi="Arial"/>
                <w:sz w:val="16"/>
                <w:szCs w:val="16"/>
                <w:color w:val="auto"/>
              </w:rPr>
              <w:t>Materials Science and</w:t>
            </w:r>
          </w:p>
        </w:tc>
        <w:tc>
          <w:tcPr>
            <w:tcW w:w="1240" w:type="dxa"/>
            <w:vAlign w:val="bottom"/>
            <w:shd w:val="clear" w:color="auto" w:fill="EDEDEE"/>
          </w:tcPr>
          <w:p>
            <w:pPr>
              <w:spacing w:after="0"/>
              <w:rPr>
                <w:sz w:val="15"/>
                <w:szCs w:val="15"/>
                <w:color w:val="auto"/>
              </w:rPr>
            </w:pPr>
          </w:p>
        </w:tc>
        <w:tc>
          <w:tcPr>
            <w:tcW w:w="1700" w:type="dxa"/>
            <w:vAlign w:val="bottom"/>
            <w:shd w:val="clear" w:color="auto" w:fill="EDEDEE"/>
          </w:tcPr>
          <w:p>
            <w:pPr>
              <w:spacing w:after="0"/>
              <w:rPr>
                <w:sz w:val="15"/>
                <w:szCs w:val="15"/>
                <w:color w:val="auto"/>
              </w:rPr>
            </w:pPr>
          </w:p>
        </w:tc>
        <w:tc>
          <w:tcPr>
            <w:tcW w:w="2180" w:type="dxa"/>
            <w:vAlign w:val="bottom"/>
            <w:shd w:val="clear" w:color="auto" w:fill="EDEDEE"/>
          </w:tcPr>
          <w:p>
            <w:pPr>
              <w:ind w:left="420"/>
              <w:spacing w:after="0" w:line="175" w:lineRule="exact"/>
              <w:rPr>
                <w:sz w:val="20"/>
                <w:szCs w:val="20"/>
                <w:color w:val="auto"/>
              </w:rPr>
            </w:pPr>
            <w:r>
              <w:rPr>
                <w:rFonts w:ascii="Arial" w:cs="Arial" w:eastAsia="Arial" w:hAnsi="Arial"/>
                <w:sz w:val="16"/>
                <w:szCs w:val="16"/>
                <w:color w:val="auto"/>
              </w:rPr>
              <w:t>Inc.</w:t>
            </w:r>
          </w:p>
        </w:tc>
        <w:tc>
          <w:tcPr>
            <w:tcW w:w="0" w:type="dxa"/>
            <w:vAlign w:val="bottom"/>
          </w:tcPr>
          <w:p>
            <w:pPr>
              <w:spacing w:after="0"/>
              <w:rPr>
                <w:sz w:val="1"/>
                <w:szCs w:val="1"/>
                <w:color w:val="auto"/>
              </w:rPr>
            </w:pPr>
          </w:p>
        </w:tc>
      </w:tr>
      <w:tr>
        <w:trPr>
          <w:trHeight w:val="148"/>
        </w:trPr>
        <w:tc>
          <w:tcPr>
            <w:tcW w:w="1720" w:type="dxa"/>
            <w:vAlign w:val="bottom"/>
            <w:shd w:val="clear" w:color="auto" w:fill="EDEDEE"/>
          </w:tcPr>
          <w:p>
            <w:pPr>
              <w:spacing w:after="0"/>
              <w:rPr>
                <w:sz w:val="12"/>
                <w:szCs w:val="12"/>
                <w:color w:val="auto"/>
              </w:rPr>
            </w:pPr>
          </w:p>
        </w:tc>
        <w:tc>
          <w:tcPr>
            <w:tcW w:w="700" w:type="dxa"/>
            <w:vAlign w:val="bottom"/>
            <w:shd w:val="clear" w:color="auto" w:fill="EDEDEE"/>
          </w:tcPr>
          <w:p>
            <w:pPr>
              <w:spacing w:after="0"/>
              <w:rPr>
                <w:sz w:val="12"/>
                <w:szCs w:val="12"/>
                <w:color w:val="auto"/>
              </w:rPr>
            </w:pPr>
          </w:p>
        </w:tc>
        <w:tc>
          <w:tcPr>
            <w:tcW w:w="960" w:type="dxa"/>
            <w:vAlign w:val="bottom"/>
            <w:shd w:val="clear" w:color="auto" w:fill="EDEDEE"/>
          </w:tcPr>
          <w:p>
            <w:pPr>
              <w:spacing w:after="0"/>
              <w:rPr>
                <w:sz w:val="12"/>
                <w:szCs w:val="12"/>
                <w:color w:val="auto"/>
              </w:rPr>
            </w:pPr>
          </w:p>
        </w:tc>
        <w:tc>
          <w:tcPr>
            <w:tcW w:w="2520" w:type="dxa"/>
            <w:vAlign w:val="bottom"/>
            <w:shd w:val="clear" w:color="auto" w:fill="EDEDEE"/>
          </w:tcPr>
          <w:p>
            <w:pPr>
              <w:ind w:left="180"/>
              <w:spacing w:after="0" w:line="148" w:lineRule="exact"/>
              <w:rPr>
                <w:sz w:val="20"/>
                <w:szCs w:val="20"/>
                <w:color w:val="auto"/>
              </w:rPr>
            </w:pPr>
            <w:r>
              <w:rPr>
                <w:rFonts w:ascii="Arial" w:cs="Arial" w:eastAsia="Arial" w:hAnsi="Arial"/>
                <w:sz w:val="16"/>
                <w:szCs w:val="16"/>
                <w:color w:val="auto"/>
              </w:rPr>
              <w:t>Engineering at Massachusetts</w:t>
            </w:r>
          </w:p>
        </w:tc>
        <w:tc>
          <w:tcPr>
            <w:tcW w:w="1240" w:type="dxa"/>
            <w:vAlign w:val="bottom"/>
            <w:shd w:val="clear" w:color="auto" w:fill="EDEDEE"/>
          </w:tcPr>
          <w:p>
            <w:pPr>
              <w:spacing w:after="0"/>
              <w:rPr>
                <w:sz w:val="12"/>
                <w:szCs w:val="12"/>
                <w:color w:val="auto"/>
              </w:rPr>
            </w:pPr>
          </w:p>
        </w:tc>
        <w:tc>
          <w:tcPr>
            <w:tcW w:w="1700" w:type="dxa"/>
            <w:vAlign w:val="bottom"/>
            <w:shd w:val="clear" w:color="auto" w:fill="EDEDEE"/>
          </w:tcPr>
          <w:p>
            <w:pPr>
              <w:spacing w:after="0"/>
              <w:rPr>
                <w:sz w:val="12"/>
                <w:szCs w:val="12"/>
                <w:color w:val="auto"/>
              </w:rPr>
            </w:pPr>
          </w:p>
        </w:tc>
        <w:tc>
          <w:tcPr>
            <w:tcW w:w="2180" w:type="dxa"/>
            <w:vAlign w:val="bottom"/>
            <w:shd w:val="clear" w:color="auto" w:fill="EDEDEE"/>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1720" w:type="dxa"/>
            <w:vAlign w:val="bottom"/>
            <w:tcBorders>
              <w:bottom w:val="single" w:sz="8" w:color="EDEDEE"/>
            </w:tcBorders>
            <w:shd w:val="clear" w:color="auto" w:fill="EDEDEE"/>
          </w:tcPr>
          <w:p>
            <w:pPr>
              <w:spacing w:after="0"/>
              <w:rPr>
                <w:sz w:val="19"/>
                <w:szCs w:val="19"/>
                <w:color w:val="auto"/>
              </w:rPr>
            </w:pPr>
          </w:p>
        </w:tc>
        <w:tc>
          <w:tcPr>
            <w:tcW w:w="700" w:type="dxa"/>
            <w:vAlign w:val="bottom"/>
            <w:tcBorders>
              <w:bottom w:val="single" w:sz="8" w:color="EDEDEE"/>
            </w:tcBorders>
            <w:shd w:val="clear" w:color="auto" w:fill="EDEDEE"/>
          </w:tcPr>
          <w:p>
            <w:pPr>
              <w:spacing w:after="0"/>
              <w:rPr>
                <w:sz w:val="19"/>
                <w:szCs w:val="19"/>
                <w:color w:val="auto"/>
              </w:rPr>
            </w:pPr>
          </w:p>
        </w:tc>
        <w:tc>
          <w:tcPr>
            <w:tcW w:w="960" w:type="dxa"/>
            <w:vAlign w:val="bottom"/>
            <w:tcBorders>
              <w:bottom w:val="single" w:sz="8" w:color="EDEDEE"/>
            </w:tcBorders>
            <w:shd w:val="clear" w:color="auto" w:fill="EDEDEE"/>
          </w:tcPr>
          <w:p>
            <w:pPr>
              <w:spacing w:after="0"/>
              <w:rPr>
                <w:sz w:val="19"/>
                <w:szCs w:val="19"/>
                <w:color w:val="auto"/>
              </w:rPr>
            </w:pPr>
          </w:p>
        </w:tc>
        <w:tc>
          <w:tcPr>
            <w:tcW w:w="2520" w:type="dxa"/>
            <w:vAlign w:val="bottom"/>
            <w:tcBorders>
              <w:bottom w:val="single" w:sz="8" w:color="EDEDEE"/>
            </w:tcBorders>
            <w:shd w:val="clear" w:color="auto" w:fill="EDEDEE"/>
          </w:tcPr>
          <w:p>
            <w:pPr>
              <w:ind w:left="180"/>
              <w:spacing w:after="0"/>
              <w:rPr>
                <w:sz w:val="20"/>
                <w:szCs w:val="20"/>
                <w:color w:val="auto"/>
              </w:rPr>
            </w:pPr>
            <w:r>
              <w:rPr>
                <w:rFonts w:ascii="Arial" w:cs="Arial" w:eastAsia="Arial" w:hAnsi="Arial"/>
                <w:sz w:val="16"/>
                <w:szCs w:val="16"/>
                <w:color w:val="auto"/>
              </w:rPr>
              <w:t>Institute of Technology</w:t>
            </w:r>
          </w:p>
        </w:tc>
        <w:tc>
          <w:tcPr>
            <w:tcW w:w="1240" w:type="dxa"/>
            <w:vAlign w:val="bottom"/>
            <w:tcBorders>
              <w:bottom w:val="single" w:sz="8" w:color="EDEDEE"/>
            </w:tcBorders>
            <w:shd w:val="clear" w:color="auto" w:fill="EDEDEE"/>
          </w:tcPr>
          <w:p>
            <w:pPr>
              <w:spacing w:after="0"/>
              <w:rPr>
                <w:sz w:val="19"/>
                <w:szCs w:val="19"/>
                <w:color w:val="auto"/>
              </w:rPr>
            </w:pPr>
          </w:p>
        </w:tc>
        <w:tc>
          <w:tcPr>
            <w:tcW w:w="1700" w:type="dxa"/>
            <w:vAlign w:val="bottom"/>
            <w:tcBorders>
              <w:bottom w:val="single" w:sz="8" w:color="EDEDEE"/>
            </w:tcBorders>
            <w:shd w:val="clear" w:color="auto" w:fill="EDEDEE"/>
          </w:tcPr>
          <w:p>
            <w:pPr>
              <w:spacing w:after="0"/>
              <w:rPr>
                <w:sz w:val="19"/>
                <w:szCs w:val="19"/>
                <w:color w:val="auto"/>
              </w:rPr>
            </w:pPr>
          </w:p>
        </w:tc>
        <w:tc>
          <w:tcPr>
            <w:tcW w:w="2180" w:type="dxa"/>
            <w:vAlign w:val="bottom"/>
            <w:tcBorders>
              <w:bottom w:val="single" w:sz="8" w:color="EDEDEE"/>
            </w:tcBorders>
            <w:shd w:val="clear" w:color="auto" w:fill="EDEDEE"/>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720" w:type="dxa"/>
            <w:vAlign w:val="bottom"/>
          </w:tcPr>
          <w:p>
            <w:pPr>
              <w:spacing w:after="0" w:line="135" w:lineRule="exact"/>
              <w:rPr>
                <w:sz w:val="20"/>
                <w:szCs w:val="20"/>
                <w:color w:val="auto"/>
              </w:rPr>
            </w:pPr>
            <w:r>
              <w:rPr>
                <w:rFonts w:ascii="Arial" w:cs="Arial" w:eastAsia="Arial" w:hAnsi="Arial"/>
                <w:sz w:val="15"/>
                <w:szCs w:val="15"/>
                <w:b w:val="1"/>
                <w:bCs w:val="1"/>
                <w:color w:val="auto"/>
              </w:rPr>
              <w:t> A. Clayton Perfall</w:t>
            </w:r>
          </w:p>
        </w:tc>
        <w:tc>
          <w:tcPr>
            <w:tcW w:w="700" w:type="dxa"/>
            <w:vAlign w:val="bottom"/>
          </w:tcPr>
          <w:p>
            <w:pPr>
              <w:jc w:val="center"/>
              <w:ind w:left="3"/>
              <w:spacing w:after="0" w:line="135" w:lineRule="exact"/>
              <w:rPr>
                <w:sz w:val="20"/>
                <w:szCs w:val="20"/>
                <w:color w:val="auto"/>
              </w:rPr>
            </w:pPr>
            <w:r>
              <w:rPr>
                <w:rFonts w:ascii="Arial" w:cs="Arial" w:eastAsia="Arial" w:hAnsi="Arial"/>
                <w:sz w:val="15"/>
                <w:szCs w:val="15"/>
                <w:color w:val="auto"/>
              </w:rPr>
              <w:t>67</w:t>
            </w:r>
          </w:p>
        </w:tc>
        <w:tc>
          <w:tcPr>
            <w:tcW w:w="960" w:type="dxa"/>
            <w:vAlign w:val="bottom"/>
          </w:tcPr>
          <w:p>
            <w:pPr>
              <w:ind w:left="140"/>
              <w:spacing w:after="0" w:line="135" w:lineRule="exact"/>
              <w:rPr>
                <w:sz w:val="20"/>
                <w:szCs w:val="20"/>
                <w:color w:val="auto"/>
              </w:rPr>
            </w:pPr>
            <w:r>
              <w:rPr>
                <w:rFonts w:ascii="Arial" w:cs="Arial" w:eastAsia="Arial" w:hAnsi="Arial"/>
                <w:sz w:val="15"/>
                <w:szCs w:val="15"/>
                <w:color w:val="auto"/>
              </w:rPr>
              <w:t>2010</w:t>
            </w:r>
          </w:p>
        </w:tc>
        <w:tc>
          <w:tcPr>
            <w:tcW w:w="2520" w:type="dxa"/>
            <w:vAlign w:val="bottom"/>
          </w:tcPr>
          <w:p>
            <w:pPr>
              <w:ind w:left="180"/>
              <w:spacing w:after="0" w:line="135" w:lineRule="exact"/>
              <w:rPr>
                <w:sz w:val="20"/>
                <w:szCs w:val="20"/>
                <w:color w:val="auto"/>
              </w:rPr>
            </w:pPr>
            <w:r>
              <w:rPr>
                <w:rFonts w:ascii="Arial" w:cs="Arial" w:eastAsia="Arial" w:hAnsi="Arial"/>
                <w:sz w:val="15"/>
                <w:szCs w:val="15"/>
                <w:color w:val="auto"/>
              </w:rPr>
              <w:t>Former Operating Executive,</w:t>
            </w:r>
          </w:p>
        </w:tc>
        <w:tc>
          <w:tcPr>
            <w:tcW w:w="1240" w:type="dxa"/>
            <w:vAlign w:val="bottom"/>
          </w:tcPr>
          <w:p>
            <w:pPr>
              <w:jc w:val="center"/>
              <w:spacing w:after="0" w:line="135" w:lineRule="exact"/>
              <w:rPr>
                <w:sz w:val="20"/>
                <w:szCs w:val="20"/>
                <w:color w:val="auto"/>
              </w:rPr>
            </w:pPr>
            <w:r>
              <w:rPr>
                <w:rFonts w:ascii="Wingdings" w:cs="Wingdings" w:eastAsia="Wingdings" w:hAnsi="Wingdings"/>
                <w:sz w:val="16"/>
                <w:szCs w:val="16"/>
                <w:b w:val="1"/>
                <w:bCs w:val="1"/>
                <w:color w:val="auto"/>
                <w:shd w:val="clear" w:color="auto" w:fill="C8102E"/>
              </w:rPr>
              <w:t>ü</w:t>
            </w:r>
          </w:p>
        </w:tc>
        <w:tc>
          <w:tcPr>
            <w:tcW w:w="1700" w:type="dxa"/>
            <w:vAlign w:val="bottom"/>
          </w:tcPr>
          <w:p>
            <w:pPr>
              <w:ind w:left="140"/>
              <w:spacing w:after="0" w:line="135" w:lineRule="exact"/>
              <w:rPr>
                <w:sz w:val="20"/>
                <w:szCs w:val="20"/>
                <w:color w:val="auto"/>
              </w:rPr>
            </w:pPr>
            <w:r>
              <w:rPr>
                <w:rFonts w:ascii="Arial" w:cs="Arial" w:eastAsia="Arial" w:hAnsi="Arial"/>
                <w:sz w:val="15"/>
                <w:szCs w:val="15"/>
                <w:color w:val="auto"/>
              </w:rPr>
              <w:t>Audit (Chair)</w:t>
            </w:r>
          </w:p>
        </w:tc>
        <w:tc>
          <w:tcPr>
            <w:tcW w:w="2180" w:type="dxa"/>
            <w:vAlign w:val="bottom"/>
          </w:tcPr>
          <w:p>
            <w:pPr>
              <w:ind w:left="200"/>
              <w:spacing w:after="0" w:line="135" w:lineRule="exact"/>
              <w:rPr>
                <w:sz w:val="20"/>
                <w:szCs w:val="20"/>
                <w:color w:val="auto"/>
              </w:rPr>
            </w:pPr>
            <w:r>
              <w:rPr>
                <w:rFonts w:ascii="Arial" w:cs="Arial" w:eastAsia="Arial" w:hAnsi="Arial"/>
                <w:sz w:val="15"/>
                <w:szCs w:val="15"/>
                <w:color w:val="auto"/>
              </w:rPr>
              <w:t>None</w:t>
            </w: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520" w:type="dxa"/>
            <w:vAlign w:val="bottom"/>
          </w:tcPr>
          <w:p>
            <w:pPr>
              <w:ind w:left="180"/>
              <w:spacing w:after="0"/>
              <w:rPr>
                <w:sz w:val="20"/>
                <w:szCs w:val="20"/>
                <w:color w:val="auto"/>
              </w:rPr>
            </w:pPr>
            <w:r>
              <w:rPr>
                <w:rFonts w:ascii="Arial" w:cs="Arial" w:eastAsia="Arial" w:hAnsi="Arial"/>
                <w:sz w:val="16"/>
                <w:szCs w:val="16"/>
                <w:color w:val="auto"/>
              </w:rPr>
              <w:t>Tailwind Capital</w:t>
            </w:r>
          </w:p>
        </w:tc>
        <w:tc>
          <w:tcPr>
            <w:tcW w:w="1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720" w:type="dxa"/>
            <w:vAlign w:val="bottom"/>
            <w:shd w:val="clear" w:color="auto" w:fill="EDEDEE"/>
          </w:tcPr>
          <w:p>
            <w:pPr>
              <w:spacing w:after="0" w:line="135" w:lineRule="exact"/>
              <w:rPr>
                <w:sz w:val="20"/>
                <w:szCs w:val="20"/>
                <w:color w:val="auto"/>
              </w:rPr>
            </w:pPr>
            <w:r>
              <w:rPr>
                <w:rFonts w:ascii="Arial" w:cs="Arial" w:eastAsia="Arial" w:hAnsi="Arial"/>
                <w:sz w:val="15"/>
                <w:szCs w:val="15"/>
                <w:b w:val="1"/>
                <w:bCs w:val="1"/>
                <w:color w:val="auto"/>
              </w:rPr>
              <w:t> Brady R. Shirley</w:t>
            </w:r>
          </w:p>
        </w:tc>
        <w:tc>
          <w:tcPr>
            <w:tcW w:w="700" w:type="dxa"/>
            <w:vAlign w:val="bottom"/>
            <w:shd w:val="clear" w:color="auto" w:fill="EDEDEE"/>
          </w:tcPr>
          <w:p>
            <w:pPr>
              <w:jc w:val="center"/>
              <w:ind w:left="3"/>
              <w:spacing w:after="0" w:line="135" w:lineRule="exact"/>
              <w:rPr>
                <w:sz w:val="20"/>
                <w:szCs w:val="20"/>
                <w:color w:val="auto"/>
              </w:rPr>
            </w:pPr>
            <w:r>
              <w:rPr>
                <w:rFonts w:ascii="Arial" w:cs="Arial" w:eastAsia="Arial" w:hAnsi="Arial"/>
                <w:sz w:val="15"/>
                <w:szCs w:val="15"/>
                <w:color w:val="auto"/>
              </w:rPr>
              <w:t>60</w:t>
            </w:r>
          </w:p>
        </w:tc>
        <w:tc>
          <w:tcPr>
            <w:tcW w:w="960" w:type="dxa"/>
            <w:vAlign w:val="bottom"/>
            <w:shd w:val="clear" w:color="auto" w:fill="EDEDEE"/>
          </w:tcPr>
          <w:p>
            <w:pPr>
              <w:ind w:left="140"/>
              <w:spacing w:after="0" w:line="135" w:lineRule="exact"/>
              <w:rPr>
                <w:sz w:val="20"/>
                <w:szCs w:val="20"/>
                <w:color w:val="auto"/>
              </w:rPr>
            </w:pPr>
            <w:r>
              <w:rPr>
                <w:rFonts w:ascii="Arial" w:cs="Arial" w:eastAsia="Arial" w:hAnsi="Arial"/>
                <w:sz w:val="15"/>
                <w:szCs w:val="15"/>
                <w:color w:val="auto"/>
              </w:rPr>
              <w:t>2022</w:t>
            </w:r>
          </w:p>
        </w:tc>
        <w:tc>
          <w:tcPr>
            <w:tcW w:w="2520" w:type="dxa"/>
            <w:vAlign w:val="bottom"/>
            <w:shd w:val="clear" w:color="auto" w:fill="EDEDEE"/>
          </w:tcPr>
          <w:p>
            <w:pPr>
              <w:ind w:left="180"/>
              <w:spacing w:after="0" w:line="135" w:lineRule="exact"/>
              <w:rPr>
                <w:sz w:val="20"/>
                <w:szCs w:val="20"/>
                <w:color w:val="auto"/>
              </w:rPr>
            </w:pPr>
            <w:r>
              <w:rPr>
                <w:rFonts w:ascii="Arial" w:cs="Arial" w:eastAsia="Arial" w:hAnsi="Arial"/>
                <w:sz w:val="15"/>
                <w:szCs w:val="15"/>
                <w:color w:val="auto"/>
              </w:rPr>
              <w:t>Former President and Chief</w:t>
            </w:r>
          </w:p>
        </w:tc>
        <w:tc>
          <w:tcPr>
            <w:tcW w:w="1240" w:type="dxa"/>
            <w:vAlign w:val="bottom"/>
            <w:shd w:val="clear" w:color="auto" w:fill="EDEDEE"/>
          </w:tcPr>
          <w:p>
            <w:pPr>
              <w:spacing w:after="0"/>
              <w:rPr>
                <w:sz w:val="11"/>
                <w:szCs w:val="11"/>
                <w:color w:val="auto"/>
              </w:rPr>
            </w:pPr>
          </w:p>
        </w:tc>
        <w:tc>
          <w:tcPr>
            <w:tcW w:w="1700" w:type="dxa"/>
            <w:vAlign w:val="bottom"/>
            <w:shd w:val="clear" w:color="auto" w:fill="EDEDEE"/>
          </w:tcPr>
          <w:p>
            <w:pPr>
              <w:ind w:left="140"/>
              <w:spacing w:after="0" w:line="135" w:lineRule="exact"/>
              <w:rPr>
                <w:sz w:val="20"/>
                <w:szCs w:val="20"/>
                <w:color w:val="auto"/>
              </w:rPr>
            </w:pPr>
            <w:r>
              <w:rPr>
                <w:rFonts w:ascii="Arial" w:cs="Arial" w:eastAsia="Arial" w:hAnsi="Arial"/>
                <w:sz w:val="15"/>
                <w:szCs w:val="15"/>
                <w:color w:val="auto"/>
              </w:rPr>
              <w:t>N/A</w:t>
            </w:r>
          </w:p>
        </w:tc>
        <w:tc>
          <w:tcPr>
            <w:tcW w:w="2180" w:type="dxa"/>
            <w:vAlign w:val="bottom"/>
            <w:shd w:val="clear" w:color="auto" w:fill="EDEDEE"/>
          </w:tcPr>
          <w:p>
            <w:pPr>
              <w:ind w:left="200"/>
              <w:spacing w:after="0" w:line="135" w:lineRule="exact"/>
              <w:rPr>
                <w:sz w:val="20"/>
                <w:szCs w:val="20"/>
                <w:color w:val="auto"/>
              </w:rPr>
            </w:pPr>
            <w:r>
              <w:rPr>
                <w:rFonts w:ascii="Arial" w:cs="Arial" w:eastAsia="Arial" w:hAnsi="Arial"/>
                <w:sz w:val="15"/>
                <w:szCs w:val="15"/>
                <w:color w:val="auto"/>
              </w:rPr>
              <w:t>None</w:t>
            </w:r>
          </w:p>
        </w:tc>
        <w:tc>
          <w:tcPr>
            <w:tcW w:w="0" w:type="dxa"/>
            <w:vAlign w:val="bottom"/>
          </w:tcPr>
          <w:p>
            <w:pPr>
              <w:spacing w:after="0"/>
              <w:rPr>
                <w:sz w:val="1"/>
                <w:szCs w:val="1"/>
                <w:color w:val="auto"/>
              </w:rPr>
            </w:pPr>
          </w:p>
        </w:tc>
      </w:tr>
      <w:tr>
        <w:trPr>
          <w:trHeight w:val="162"/>
        </w:trPr>
        <w:tc>
          <w:tcPr>
            <w:tcW w:w="1720" w:type="dxa"/>
            <w:vAlign w:val="bottom"/>
            <w:shd w:val="clear" w:color="auto" w:fill="EDEDEE"/>
          </w:tcPr>
          <w:p>
            <w:pPr>
              <w:spacing w:after="0"/>
              <w:rPr>
                <w:sz w:val="14"/>
                <w:szCs w:val="14"/>
                <w:color w:val="auto"/>
              </w:rPr>
            </w:pPr>
          </w:p>
        </w:tc>
        <w:tc>
          <w:tcPr>
            <w:tcW w:w="700" w:type="dxa"/>
            <w:vAlign w:val="bottom"/>
            <w:shd w:val="clear" w:color="auto" w:fill="EDEDEE"/>
          </w:tcPr>
          <w:p>
            <w:pPr>
              <w:spacing w:after="0"/>
              <w:rPr>
                <w:sz w:val="14"/>
                <w:szCs w:val="14"/>
                <w:color w:val="auto"/>
              </w:rPr>
            </w:pPr>
          </w:p>
        </w:tc>
        <w:tc>
          <w:tcPr>
            <w:tcW w:w="960" w:type="dxa"/>
            <w:vAlign w:val="bottom"/>
            <w:shd w:val="clear" w:color="auto" w:fill="EDEDEE"/>
          </w:tcPr>
          <w:p>
            <w:pPr>
              <w:spacing w:after="0"/>
              <w:rPr>
                <w:sz w:val="14"/>
                <w:szCs w:val="14"/>
                <w:color w:val="auto"/>
              </w:rPr>
            </w:pPr>
          </w:p>
        </w:tc>
        <w:tc>
          <w:tcPr>
            <w:tcW w:w="2520" w:type="dxa"/>
            <w:vAlign w:val="bottom"/>
            <w:shd w:val="clear" w:color="auto" w:fill="EDEDEE"/>
          </w:tcPr>
          <w:p>
            <w:pPr>
              <w:ind w:left="180"/>
              <w:spacing w:after="0" w:line="162" w:lineRule="exact"/>
              <w:rPr>
                <w:sz w:val="20"/>
                <w:szCs w:val="20"/>
                <w:color w:val="auto"/>
              </w:rPr>
            </w:pPr>
            <w:r>
              <w:rPr>
                <w:rFonts w:ascii="Arial" w:cs="Arial" w:eastAsia="Arial" w:hAnsi="Arial"/>
                <w:sz w:val="16"/>
                <w:szCs w:val="16"/>
                <w:color w:val="auto"/>
              </w:rPr>
              <w:t>Operating Officer, Enovis</w:t>
            </w:r>
          </w:p>
        </w:tc>
        <w:tc>
          <w:tcPr>
            <w:tcW w:w="1240" w:type="dxa"/>
            <w:vAlign w:val="bottom"/>
            <w:shd w:val="clear" w:color="auto" w:fill="EDEDEE"/>
          </w:tcPr>
          <w:p>
            <w:pPr>
              <w:spacing w:after="0"/>
              <w:rPr>
                <w:sz w:val="14"/>
                <w:szCs w:val="14"/>
                <w:color w:val="auto"/>
              </w:rPr>
            </w:pPr>
          </w:p>
        </w:tc>
        <w:tc>
          <w:tcPr>
            <w:tcW w:w="1700" w:type="dxa"/>
            <w:vAlign w:val="bottom"/>
            <w:shd w:val="clear" w:color="auto" w:fill="EDEDEE"/>
          </w:tcPr>
          <w:p>
            <w:pPr>
              <w:spacing w:after="0"/>
              <w:rPr>
                <w:sz w:val="14"/>
                <w:szCs w:val="14"/>
                <w:color w:val="auto"/>
              </w:rPr>
            </w:pPr>
          </w:p>
        </w:tc>
        <w:tc>
          <w:tcPr>
            <w:tcW w:w="2180" w:type="dxa"/>
            <w:vAlign w:val="bottom"/>
            <w:shd w:val="clear" w:color="auto" w:fill="EDEDE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Borders>
              <w:bottom w:val="single" w:sz="8" w:color="EDEDEE"/>
            </w:tcBorders>
            <w:shd w:val="clear" w:color="auto" w:fill="EDEDEE"/>
          </w:tcPr>
          <w:p>
            <w:pPr>
              <w:spacing w:after="0"/>
              <w:rPr>
                <w:sz w:val="19"/>
                <w:szCs w:val="19"/>
                <w:color w:val="auto"/>
              </w:rPr>
            </w:pPr>
          </w:p>
        </w:tc>
        <w:tc>
          <w:tcPr>
            <w:tcW w:w="700" w:type="dxa"/>
            <w:vAlign w:val="bottom"/>
            <w:tcBorders>
              <w:bottom w:val="single" w:sz="8" w:color="EDEDEE"/>
            </w:tcBorders>
            <w:shd w:val="clear" w:color="auto" w:fill="EDEDEE"/>
          </w:tcPr>
          <w:p>
            <w:pPr>
              <w:spacing w:after="0"/>
              <w:rPr>
                <w:sz w:val="19"/>
                <w:szCs w:val="19"/>
                <w:color w:val="auto"/>
              </w:rPr>
            </w:pPr>
          </w:p>
        </w:tc>
        <w:tc>
          <w:tcPr>
            <w:tcW w:w="960" w:type="dxa"/>
            <w:vAlign w:val="bottom"/>
            <w:tcBorders>
              <w:bottom w:val="single" w:sz="8" w:color="EDEDEE"/>
            </w:tcBorders>
            <w:shd w:val="clear" w:color="auto" w:fill="EDEDEE"/>
          </w:tcPr>
          <w:p>
            <w:pPr>
              <w:spacing w:after="0"/>
              <w:rPr>
                <w:sz w:val="19"/>
                <w:szCs w:val="19"/>
                <w:color w:val="auto"/>
              </w:rPr>
            </w:pPr>
          </w:p>
        </w:tc>
        <w:tc>
          <w:tcPr>
            <w:tcW w:w="2520" w:type="dxa"/>
            <w:vAlign w:val="bottom"/>
            <w:tcBorders>
              <w:bottom w:val="single" w:sz="8" w:color="EDEDEE"/>
            </w:tcBorders>
            <w:shd w:val="clear" w:color="auto" w:fill="EDEDEE"/>
          </w:tcPr>
          <w:p>
            <w:pPr>
              <w:ind w:left="180"/>
              <w:spacing w:after="0"/>
              <w:rPr>
                <w:sz w:val="20"/>
                <w:szCs w:val="20"/>
                <w:color w:val="auto"/>
              </w:rPr>
            </w:pPr>
            <w:r>
              <w:rPr>
                <w:rFonts w:ascii="Arial" w:cs="Arial" w:eastAsia="Arial" w:hAnsi="Arial"/>
                <w:sz w:val="16"/>
                <w:szCs w:val="16"/>
                <w:color w:val="auto"/>
              </w:rPr>
              <w:t>Corporation</w:t>
            </w:r>
          </w:p>
        </w:tc>
        <w:tc>
          <w:tcPr>
            <w:tcW w:w="1240" w:type="dxa"/>
            <w:vAlign w:val="bottom"/>
            <w:tcBorders>
              <w:bottom w:val="single" w:sz="8" w:color="EDEDEE"/>
            </w:tcBorders>
            <w:shd w:val="clear" w:color="auto" w:fill="EDEDEE"/>
          </w:tcPr>
          <w:p>
            <w:pPr>
              <w:spacing w:after="0"/>
              <w:rPr>
                <w:sz w:val="19"/>
                <w:szCs w:val="19"/>
                <w:color w:val="auto"/>
              </w:rPr>
            </w:pPr>
          </w:p>
        </w:tc>
        <w:tc>
          <w:tcPr>
            <w:tcW w:w="1700" w:type="dxa"/>
            <w:vAlign w:val="bottom"/>
            <w:tcBorders>
              <w:bottom w:val="single" w:sz="8" w:color="EDEDEE"/>
            </w:tcBorders>
            <w:shd w:val="clear" w:color="auto" w:fill="EDEDEE"/>
          </w:tcPr>
          <w:p>
            <w:pPr>
              <w:spacing w:after="0"/>
              <w:rPr>
                <w:sz w:val="19"/>
                <w:szCs w:val="19"/>
                <w:color w:val="auto"/>
              </w:rPr>
            </w:pPr>
          </w:p>
        </w:tc>
        <w:tc>
          <w:tcPr>
            <w:tcW w:w="2180" w:type="dxa"/>
            <w:vAlign w:val="bottom"/>
            <w:tcBorders>
              <w:bottom w:val="single" w:sz="8" w:color="EDEDEE"/>
            </w:tcBorders>
            <w:shd w:val="clear" w:color="auto" w:fill="EDEDEE"/>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720" w:type="dxa"/>
            <w:vAlign w:val="bottom"/>
          </w:tcPr>
          <w:p>
            <w:pPr>
              <w:spacing w:after="0" w:line="135" w:lineRule="exact"/>
              <w:rPr>
                <w:sz w:val="20"/>
                <w:szCs w:val="20"/>
                <w:color w:val="auto"/>
              </w:rPr>
            </w:pPr>
            <w:r>
              <w:rPr>
                <w:rFonts w:ascii="Arial" w:cs="Arial" w:eastAsia="Arial" w:hAnsi="Arial"/>
                <w:sz w:val="15"/>
                <w:szCs w:val="15"/>
                <w:b w:val="1"/>
                <w:bCs w:val="1"/>
                <w:color w:val="auto"/>
              </w:rPr>
              <w:t> Rajiv Vinnakota</w:t>
            </w:r>
          </w:p>
        </w:tc>
        <w:tc>
          <w:tcPr>
            <w:tcW w:w="700" w:type="dxa"/>
            <w:vAlign w:val="bottom"/>
          </w:tcPr>
          <w:p>
            <w:pPr>
              <w:jc w:val="center"/>
              <w:ind w:left="3"/>
              <w:spacing w:after="0" w:line="135" w:lineRule="exact"/>
              <w:rPr>
                <w:sz w:val="20"/>
                <w:szCs w:val="20"/>
                <w:color w:val="auto"/>
              </w:rPr>
            </w:pPr>
            <w:r>
              <w:rPr>
                <w:rFonts w:ascii="Arial" w:cs="Arial" w:eastAsia="Arial" w:hAnsi="Arial"/>
                <w:sz w:val="15"/>
                <w:szCs w:val="15"/>
                <w:color w:val="auto"/>
              </w:rPr>
              <w:t>55</w:t>
            </w:r>
          </w:p>
        </w:tc>
        <w:tc>
          <w:tcPr>
            <w:tcW w:w="960" w:type="dxa"/>
            <w:vAlign w:val="bottom"/>
          </w:tcPr>
          <w:p>
            <w:pPr>
              <w:ind w:left="140"/>
              <w:spacing w:after="0" w:line="135" w:lineRule="exact"/>
              <w:rPr>
                <w:sz w:val="20"/>
                <w:szCs w:val="20"/>
                <w:color w:val="auto"/>
              </w:rPr>
            </w:pPr>
            <w:r>
              <w:rPr>
                <w:rFonts w:ascii="Arial" w:cs="Arial" w:eastAsia="Arial" w:hAnsi="Arial"/>
                <w:sz w:val="15"/>
                <w:szCs w:val="15"/>
                <w:color w:val="auto"/>
              </w:rPr>
              <w:t>2008</w:t>
            </w:r>
          </w:p>
        </w:tc>
        <w:tc>
          <w:tcPr>
            <w:tcW w:w="2520" w:type="dxa"/>
            <w:vAlign w:val="bottom"/>
          </w:tcPr>
          <w:p>
            <w:pPr>
              <w:ind w:left="180"/>
              <w:spacing w:after="0" w:line="135" w:lineRule="exact"/>
              <w:rPr>
                <w:sz w:val="20"/>
                <w:szCs w:val="20"/>
                <w:color w:val="auto"/>
              </w:rPr>
            </w:pPr>
            <w:r>
              <w:rPr>
                <w:rFonts w:ascii="Arial" w:cs="Arial" w:eastAsia="Arial" w:hAnsi="Arial"/>
                <w:sz w:val="15"/>
                <w:szCs w:val="15"/>
                <w:color w:val="auto"/>
              </w:rPr>
              <w:t>President, Institute for Citizens</w:t>
            </w:r>
          </w:p>
        </w:tc>
        <w:tc>
          <w:tcPr>
            <w:tcW w:w="1240" w:type="dxa"/>
            <w:vAlign w:val="bottom"/>
          </w:tcPr>
          <w:p>
            <w:pPr>
              <w:jc w:val="center"/>
              <w:spacing w:after="0" w:line="135" w:lineRule="exact"/>
              <w:rPr>
                <w:sz w:val="20"/>
                <w:szCs w:val="20"/>
                <w:color w:val="auto"/>
              </w:rPr>
            </w:pPr>
            <w:r>
              <w:rPr>
                <w:rFonts w:ascii="Wingdings" w:cs="Wingdings" w:eastAsia="Wingdings" w:hAnsi="Wingdings"/>
                <w:sz w:val="16"/>
                <w:szCs w:val="16"/>
                <w:b w:val="1"/>
                <w:bCs w:val="1"/>
                <w:color w:val="auto"/>
                <w:shd w:val="clear" w:color="auto" w:fill="C8102E"/>
              </w:rPr>
              <w:t>ü</w:t>
            </w:r>
          </w:p>
        </w:tc>
        <w:tc>
          <w:tcPr>
            <w:tcW w:w="1700" w:type="dxa"/>
            <w:vAlign w:val="bottom"/>
          </w:tcPr>
          <w:p>
            <w:pPr>
              <w:ind w:left="140"/>
              <w:spacing w:after="0" w:line="135" w:lineRule="exact"/>
              <w:rPr>
                <w:sz w:val="20"/>
                <w:szCs w:val="20"/>
                <w:color w:val="auto"/>
              </w:rPr>
            </w:pPr>
            <w:r>
              <w:rPr>
                <w:rFonts w:ascii="Arial" w:cs="Arial" w:eastAsia="Arial" w:hAnsi="Arial"/>
                <w:sz w:val="15"/>
                <w:szCs w:val="15"/>
                <w:color w:val="auto"/>
              </w:rPr>
              <w:t>CHCM</w:t>
            </w:r>
          </w:p>
        </w:tc>
        <w:tc>
          <w:tcPr>
            <w:tcW w:w="2180" w:type="dxa"/>
            <w:vAlign w:val="bottom"/>
          </w:tcPr>
          <w:p>
            <w:pPr>
              <w:ind w:left="200"/>
              <w:spacing w:after="0" w:line="135" w:lineRule="exact"/>
              <w:rPr>
                <w:sz w:val="20"/>
                <w:szCs w:val="20"/>
                <w:color w:val="auto"/>
              </w:rPr>
            </w:pPr>
            <w:r>
              <w:rPr>
                <w:rFonts w:ascii="MS PGothic" w:cs="MS PGothic" w:eastAsia="MS PGothic" w:hAnsi="MS PGothic"/>
                <w:sz w:val="13"/>
                <w:szCs w:val="13"/>
                <w:color w:val="C8102E"/>
              </w:rPr>
              <w:t>∎</w:t>
            </w:r>
            <w:r>
              <w:rPr>
                <w:rFonts w:ascii="Arial" w:cs="Arial" w:eastAsia="Arial" w:hAnsi="Arial"/>
                <w:sz w:val="15"/>
                <w:szCs w:val="15"/>
                <w:color w:val="auto"/>
              </w:rPr>
              <w:t>  ESAB Corporation</w:t>
            </w: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520" w:type="dxa"/>
            <w:vAlign w:val="bottom"/>
          </w:tcPr>
          <w:p>
            <w:pPr>
              <w:ind w:left="180"/>
              <w:spacing w:after="0" w:line="162" w:lineRule="exact"/>
              <w:rPr>
                <w:sz w:val="20"/>
                <w:szCs w:val="20"/>
                <w:color w:val="auto"/>
              </w:rPr>
            </w:pPr>
            <w:r>
              <w:rPr>
                <w:rFonts w:ascii="Arial" w:cs="Arial" w:eastAsia="Arial" w:hAnsi="Arial"/>
                <w:sz w:val="16"/>
                <w:szCs w:val="16"/>
                <w:color w:val="auto"/>
              </w:rPr>
              <w:t>&amp; Scholars (formerly the</w:t>
            </w:r>
          </w:p>
        </w:tc>
        <w:tc>
          <w:tcPr>
            <w:tcW w:w="1240" w:type="dxa"/>
            <w:vAlign w:val="bottom"/>
          </w:tcPr>
          <w:p>
            <w:pPr>
              <w:spacing w:after="0"/>
              <w:rPr>
                <w:sz w:val="14"/>
                <w:szCs w:val="14"/>
                <w:color w:val="auto"/>
              </w:rPr>
            </w:pPr>
          </w:p>
        </w:tc>
        <w:tc>
          <w:tcPr>
            <w:tcW w:w="1700" w:type="dxa"/>
            <w:vAlign w:val="bottom"/>
          </w:tcPr>
          <w:p>
            <w:pPr>
              <w:ind w:left="140"/>
              <w:spacing w:after="0" w:line="162" w:lineRule="exact"/>
              <w:rPr>
                <w:sz w:val="20"/>
                <w:szCs w:val="20"/>
                <w:color w:val="auto"/>
              </w:rPr>
            </w:pPr>
            <w:r>
              <w:rPr>
                <w:rFonts w:ascii="Arial" w:cs="Arial" w:eastAsia="Arial" w:hAnsi="Arial"/>
                <w:sz w:val="16"/>
                <w:szCs w:val="16"/>
                <w:color w:val="auto"/>
              </w:rPr>
              <w:t>Nominating (Chair)</w:t>
            </w: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520" w:type="dxa"/>
            <w:vAlign w:val="bottom"/>
          </w:tcPr>
          <w:p>
            <w:pPr>
              <w:ind w:left="180"/>
              <w:spacing w:after="0" w:line="162" w:lineRule="exact"/>
              <w:rPr>
                <w:sz w:val="20"/>
                <w:szCs w:val="20"/>
                <w:color w:val="auto"/>
              </w:rPr>
            </w:pPr>
            <w:r>
              <w:rPr>
                <w:rFonts w:ascii="Arial" w:cs="Arial" w:eastAsia="Arial" w:hAnsi="Arial"/>
                <w:sz w:val="16"/>
                <w:szCs w:val="16"/>
                <w:color w:val="auto"/>
              </w:rPr>
              <w:t>Woodrow Wilson National</w:t>
            </w:r>
          </w:p>
        </w:tc>
        <w:tc>
          <w:tcPr>
            <w:tcW w:w="1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520" w:type="dxa"/>
            <w:vAlign w:val="bottom"/>
          </w:tcPr>
          <w:p>
            <w:pPr>
              <w:ind w:left="180"/>
              <w:spacing w:after="0"/>
              <w:rPr>
                <w:sz w:val="20"/>
                <w:szCs w:val="20"/>
                <w:color w:val="auto"/>
              </w:rPr>
            </w:pPr>
            <w:r>
              <w:rPr>
                <w:rFonts w:ascii="Arial" w:cs="Arial" w:eastAsia="Arial" w:hAnsi="Arial"/>
                <w:sz w:val="16"/>
                <w:szCs w:val="16"/>
                <w:color w:val="auto"/>
              </w:rPr>
              <w:t>Fellowship Foundation)</w:t>
            </w:r>
          </w:p>
        </w:tc>
        <w:tc>
          <w:tcPr>
            <w:tcW w:w="1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7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6777990</wp:posOffset>
            </wp:positionH>
            <wp:positionV relativeFrom="paragraph">
              <wp:posOffset>154305</wp:posOffset>
            </wp:positionV>
            <wp:extent cx="17145" cy="3175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145" cy="317500"/>
                    </a:xfrm>
                    <a:prstGeom prst="rect">
                      <a:avLst/>
                    </a:prstGeom>
                    <a:noFill/>
                  </pic:spPr>
                </pic:pic>
              </a:graphicData>
            </a:graphic>
          </wp:anchor>
        </w:drawing>
      </w:r>
    </w:p>
    <w:p>
      <w:pPr>
        <w:spacing w:after="0" w:line="223" w:lineRule="exact"/>
        <w:rPr>
          <w:sz w:val="20"/>
          <w:szCs w:val="20"/>
          <w:color w:val="auto"/>
        </w:rPr>
      </w:pPr>
    </w:p>
    <w:p>
      <w:pPr>
        <w:ind w:left="7560"/>
        <w:spacing w:after="0"/>
        <w:tabs>
          <w:tab w:leader="none" w:pos="10840" w:val="left"/>
        </w:tabs>
        <w:rPr>
          <w:sz w:val="20"/>
          <w:szCs w:val="20"/>
          <w:color w:val="auto"/>
        </w:rPr>
      </w:pPr>
      <w:r>
        <w:rPr>
          <w:sz w:val="1"/>
          <w:szCs w:val="1"/>
          <w:color w:val="auto"/>
        </w:rPr>
        <w:drawing>
          <wp:inline distT="0" distB="0" distL="0" distR="0">
            <wp:extent cx="685800" cy="16256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0" cy="162560"/>
                    </a:xfrm>
                    <a:prstGeom prst="rect">
                      <a:avLst/>
                    </a:prstGeom>
                    <a:noFill/>
                    <a:ln>
                      <a:noFill/>
                    </a:ln>
                  </pic:spPr>
                </pic:pic>
              </a:graphicData>
            </a:graphic>
          </wp:inline>
        </w:drawing>
      </w:r>
      <w:r>
        <w:rPr>
          <w:rFonts w:ascii="Arial" w:cs="Arial" w:eastAsia="Arial" w:hAnsi="Arial"/>
          <w:sz w:val="18"/>
          <w:szCs w:val="18"/>
          <w:color w:val="auto"/>
        </w:rPr>
        <w:t xml:space="preserve"> - 2026 Proxy Statement</w:t>
      </w:r>
      <w:r>
        <w:rPr>
          <w:sz w:val="20"/>
          <w:szCs w:val="20"/>
          <w:color w:val="auto"/>
        </w:rPr>
        <w:tab/>
      </w: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655" w:right="439" w:bottom="1440" w:gutter="0" w:footer="0" w:header="0"/>
        </w:sectPr>
      </w:pPr>
    </w:p>
    <w:bookmarkStart w:id="9" w:name="page10"/>
    <w:bookmarkEnd w:id="9"/>
    <w:p>
      <w:pPr>
        <w:spacing w:after="0" w:line="251" w:lineRule="auto"/>
        <w:rPr>
          <w:sz w:val="20"/>
          <w:szCs w:val="20"/>
          <w:color w:val="auto"/>
        </w:rPr>
      </w:pPr>
      <w:r>
        <w:rPr>
          <w:rFonts w:ascii="Arial" w:cs="Arial" w:eastAsia="Arial" w:hAnsi="Arial"/>
          <w:sz w:val="16"/>
          <w:szCs w:val="16"/>
          <w:color w:val="auto"/>
        </w:rPr>
        <w:t>Our ten director nominees are current directors and have a diverse range of backgrounds, skills and experience, which the Board believes contributes to the effective oversight of the Company. The following charts summarize the composition of our Board and skills and experience of our Board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90170</wp:posOffset>
            </wp:positionV>
            <wp:extent cx="5572125" cy="39001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72125" cy="3900170"/>
                    </a:xfrm>
                    <a:prstGeom prst="rect">
                      <a:avLst/>
                    </a:prstGeom>
                    <a:noFill/>
                  </pic:spPr>
                </pic:pic>
              </a:graphicData>
            </a:graphic>
          </wp:anchor>
        </w:drawing>
      </w:r>
    </w:p>
    <w:p>
      <w:pPr>
        <w:sectPr>
          <w:pgSz w:w="11900" w:h="16838" w:orient="portrait"/>
          <w:cols w:equalWidth="0" w:num="1">
            <w:col w:w="11000"/>
          </w:cols>
          <w:pgMar w:left="440" w:top="679" w:right="459" w:bottom="9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Attributes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206375</wp:posOffset>
            </wp:positionV>
            <wp:extent cx="342900" cy="3511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0" cy="3511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720"/>
        <w:spacing w:after="0"/>
        <w:rPr>
          <w:sz w:val="20"/>
          <w:szCs w:val="20"/>
          <w:color w:val="auto"/>
        </w:rPr>
      </w:pPr>
      <w:r>
        <w:rPr>
          <w:rFonts w:ascii="Arial" w:cs="Arial" w:eastAsia="Arial" w:hAnsi="Arial"/>
          <w:sz w:val="13"/>
          <w:szCs w:val="13"/>
          <w:b w:val="1"/>
          <w:bCs w:val="1"/>
          <w:color w:val="auto"/>
        </w:rPr>
        <w:t>Enterprise IT/Cybersecurity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147955</wp:posOffset>
            </wp:positionV>
            <wp:extent cx="342900" cy="3511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20"/>
        <w:spacing w:after="0"/>
        <w:rPr>
          <w:sz w:val="20"/>
          <w:szCs w:val="20"/>
          <w:color w:val="auto"/>
        </w:rPr>
      </w:pPr>
      <w:r>
        <w:rPr>
          <w:rFonts w:ascii="Arial" w:cs="Arial" w:eastAsia="Arial" w:hAnsi="Arial"/>
          <w:sz w:val="13"/>
          <w:szCs w:val="13"/>
          <w:b w:val="1"/>
          <w:bCs w:val="1"/>
          <w:color w:val="auto"/>
        </w:rPr>
        <w:t>Tech/R&amp;D/Innovation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79375</wp:posOffset>
            </wp:positionV>
            <wp:extent cx="342900" cy="3511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0" cy="351155"/>
                    </a:xfrm>
                    <a:prstGeom prst="rect">
                      <a:avLst/>
                    </a:prstGeom>
                    <a:noFill/>
                  </pic:spPr>
                </pic:pic>
              </a:graphicData>
            </a:graphic>
          </wp:anchor>
        </w:drawing>
      </w:r>
    </w:p>
    <w:p>
      <w:pPr>
        <w:spacing w:after="0" w:line="398" w:lineRule="exact"/>
        <w:rPr>
          <w:sz w:val="20"/>
          <w:szCs w:val="20"/>
          <w:color w:val="auto"/>
        </w:rPr>
      </w:pPr>
    </w:p>
    <w:p>
      <w:pPr>
        <w:ind w:left="720"/>
        <w:spacing w:after="0"/>
        <w:rPr>
          <w:sz w:val="20"/>
          <w:szCs w:val="20"/>
          <w:color w:val="auto"/>
        </w:rPr>
      </w:pPr>
      <w:r>
        <w:rPr>
          <w:rFonts w:ascii="Arial" w:cs="Arial" w:eastAsia="Arial" w:hAnsi="Arial"/>
          <w:sz w:val="13"/>
          <w:szCs w:val="13"/>
          <w:b w:val="1"/>
          <w:bCs w:val="1"/>
          <w:color w:val="auto"/>
        </w:rPr>
        <w:t>Broad international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147955</wp:posOffset>
            </wp:positionV>
            <wp:extent cx="342900" cy="3511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0" cy="3511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720"/>
        <w:spacing w:after="0"/>
        <w:rPr>
          <w:sz w:val="20"/>
          <w:szCs w:val="20"/>
          <w:color w:val="auto"/>
        </w:rPr>
      </w:pPr>
      <w:r>
        <w:rPr>
          <w:rFonts w:ascii="Arial" w:cs="Arial" w:eastAsia="Arial" w:hAnsi="Arial"/>
          <w:sz w:val="13"/>
          <w:szCs w:val="13"/>
          <w:b w:val="1"/>
          <w:bCs w:val="1"/>
          <w:color w:val="auto"/>
        </w:rPr>
        <w:t>Sustainability/CSR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147955</wp:posOffset>
            </wp:positionV>
            <wp:extent cx="342900" cy="3511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0" cy="3511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720"/>
        <w:spacing w:after="0"/>
        <w:rPr>
          <w:sz w:val="20"/>
          <w:szCs w:val="20"/>
          <w:color w:val="auto"/>
        </w:rPr>
      </w:pPr>
      <w:r>
        <w:rPr>
          <w:rFonts w:ascii="Arial" w:cs="Arial" w:eastAsia="Arial" w:hAnsi="Arial"/>
          <w:sz w:val="13"/>
          <w:szCs w:val="13"/>
          <w:b w:val="1"/>
          <w:bCs w:val="1"/>
          <w:color w:val="auto"/>
        </w:rPr>
        <w:t>Other public company board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147955</wp:posOffset>
            </wp:positionV>
            <wp:extent cx="342900" cy="3511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0" cy="3511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720"/>
        <w:spacing w:after="0"/>
        <w:rPr>
          <w:sz w:val="20"/>
          <w:szCs w:val="20"/>
          <w:color w:val="auto"/>
        </w:rPr>
      </w:pPr>
      <w:r>
        <w:rPr>
          <w:rFonts w:ascii="Arial" w:cs="Arial" w:eastAsia="Arial" w:hAnsi="Arial"/>
          <w:sz w:val="13"/>
          <w:szCs w:val="13"/>
          <w:b w:val="1"/>
          <w:bCs w:val="1"/>
          <w:color w:val="auto"/>
        </w:rPr>
        <w:t>Extensive M&amp;A or capital markets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147955</wp:posOffset>
            </wp:positionV>
            <wp:extent cx="342900" cy="3517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0" cy="3517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720"/>
        <w:spacing w:after="0"/>
        <w:rPr>
          <w:sz w:val="20"/>
          <w:szCs w:val="20"/>
          <w:color w:val="auto"/>
        </w:rPr>
      </w:pPr>
      <w:r>
        <w:rPr>
          <w:rFonts w:ascii="Arial" w:cs="Arial" w:eastAsia="Arial" w:hAnsi="Arial"/>
          <w:sz w:val="13"/>
          <w:szCs w:val="13"/>
          <w:b w:val="1"/>
          <w:bCs w:val="1"/>
          <w:color w:val="auto"/>
        </w:rPr>
        <w:t>Finance, accounting or risk management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147955</wp:posOffset>
            </wp:positionV>
            <wp:extent cx="342900" cy="3517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0" cy="3517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720"/>
        <w:spacing w:after="0"/>
        <w:rPr>
          <w:sz w:val="20"/>
          <w:szCs w:val="20"/>
          <w:color w:val="auto"/>
        </w:rPr>
      </w:pPr>
      <w:r>
        <w:rPr>
          <w:rFonts w:ascii="Arial" w:cs="Arial" w:eastAsia="Arial" w:hAnsi="Arial"/>
          <w:sz w:val="13"/>
          <w:szCs w:val="13"/>
          <w:b w:val="1"/>
          <w:bCs w:val="1"/>
          <w:color w:val="auto"/>
        </w:rPr>
        <w:t>Current or former CEO, CFO or COO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147955</wp:posOffset>
            </wp:positionV>
            <wp:extent cx="342900" cy="3517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0" cy="3517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720"/>
        <w:spacing w:after="0"/>
        <w:rPr>
          <w:sz w:val="20"/>
          <w:szCs w:val="20"/>
          <w:color w:val="auto"/>
        </w:rPr>
      </w:pPr>
      <w:r>
        <w:rPr>
          <w:rFonts w:ascii="Arial" w:cs="Arial" w:eastAsia="Arial" w:hAnsi="Arial"/>
          <w:sz w:val="13"/>
          <w:szCs w:val="13"/>
          <w:b w:val="1"/>
          <w:bCs w:val="1"/>
          <w:color w:val="auto"/>
        </w:rPr>
        <w:t>Related MedTech industry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147955</wp:posOffset>
            </wp:positionV>
            <wp:extent cx="342900" cy="3511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0" cy="3511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Organizational management and leadership development </w:t>
      </w:r>
    </w:p>
    <w:p>
      <w:pPr>
        <w:spacing w:after="0" w:line="249" w:lineRule="exact"/>
        <w:rPr>
          <w:sz w:val="20"/>
          <w:szCs w:val="20"/>
          <w:color w:val="auto"/>
        </w:rPr>
      </w:pPr>
    </w:p>
    <w:p>
      <w:pPr>
        <w:spacing w:after="0"/>
        <w:tabs>
          <w:tab w:leader="none" w:pos="299" w:val="left"/>
        </w:tabs>
        <w:rPr>
          <w:sz w:val="20"/>
          <w:szCs w:val="20"/>
          <w:color w:val="auto"/>
        </w:rPr>
      </w:pPr>
      <w:r>
        <w:rPr>
          <w:rFonts w:ascii="Arial" w:cs="Arial" w:eastAsia="Arial" w:hAnsi="Arial"/>
          <w:sz w:val="18"/>
          <w:szCs w:val="18"/>
          <w:color w:val="auto"/>
        </w:rPr>
        <w:t>4</w:t>
      </w:r>
      <w:r>
        <w:rPr>
          <w:sz w:val="20"/>
          <w:szCs w:val="20"/>
          <w:color w:val="auto"/>
        </w:rPr>
        <w:tab/>
      </w:r>
      <w:r>
        <w:rPr>
          <w:sz w:val="1"/>
          <w:szCs w:val="1"/>
          <w:color w:val="auto"/>
        </w:rPr>
        <w:drawing>
          <wp:inline distT="0" distB="0" distL="0" distR="0">
            <wp:extent cx="17145" cy="31686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145" cy="316865"/>
                    </a:xfrm>
                    <a:prstGeom prst="rect">
                      <a:avLst/>
                    </a:prstGeom>
                    <a:noFill/>
                    <a:ln>
                      <a:noFill/>
                    </a:ln>
                  </pic:spPr>
                </pic:pic>
              </a:graphicData>
            </a:graphic>
          </wp:inline>
        </w:drawing>
        <w:drawing>
          <wp:inline distT="0" distB="0" distL="0" distR="0">
            <wp:extent cx="685800" cy="16256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0" cy="162560"/>
                    </a:xfrm>
                    <a:prstGeom prst="rect">
                      <a:avLst/>
                    </a:prstGeom>
                    <a:noFill/>
                    <a:ln>
                      <a:noFill/>
                    </a:ln>
                  </pic:spPr>
                </pic:pic>
              </a:graphicData>
            </a:graphic>
          </wp:inline>
        </w:drawing>
      </w:r>
      <w:r>
        <w:rPr>
          <w:rFonts w:ascii="Arial" w:cs="Arial" w:eastAsia="Arial" w:hAnsi="Arial"/>
          <w:sz w:val="18"/>
          <w:szCs w:val="18"/>
          <w:color w:val="auto"/>
        </w:rPr>
        <w:t xml:space="preserve"> - 2026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4"/>
        </w:trPr>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vMerge w:val="restart"/>
          </w:tcPr>
          <w:p>
            <w:pPr>
              <w:jc w:val="right"/>
              <w:spacing w:after="0"/>
              <w:rPr>
                <w:sz w:val="20"/>
                <w:szCs w:val="20"/>
                <w:color w:val="auto"/>
              </w:rPr>
            </w:pPr>
            <w:r>
              <w:rPr>
                <w:rFonts w:ascii="Arial" w:cs="Arial" w:eastAsia="Arial" w:hAnsi="Arial"/>
                <w:sz w:val="29"/>
                <w:szCs w:val="29"/>
                <w:b w:val="1"/>
                <w:bCs w:val="1"/>
                <w:color w:val="C8102E"/>
              </w:rPr>
              <w:t>4/10</w:t>
            </w:r>
          </w:p>
        </w:tc>
        <w:tc>
          <w:tcPr>
            <w:tcW w:w="0" w:type="dxa"/>
            <w:vAlign w:val="bottom"/>
          </w:tcPr>
          <w:p>
            <w:pPr>
              <w:spacing w:after="0" w:line="20" w:lineRule="exact"/>
              <w:rPr>
                <w:sz w:val="1"/>
                <w:szCs w:val="1"/>
                <w:color w:val="auto"/>
              </w:rPr>
            </w:pPr>
          </w:p>
        </w:tc>
      </w:tr>
      <w:tr>
        <w:trPr>
          <w:trHeight w:val="338"/>
        </w:trPr>
        <w:tc>
          <w:tcPr>
            <w:tcW w:w="440" w:type="dxa"/>
            <w:vAlign w:val="bottom"/>
            <w:shd w:val="clear" w:color="auto" w:fill="C8102E"/>
          </w:tcPr>
          <w:p>
            <w:pPr>
              <w:ind w:left="220"/>
              <w:spacing w:after="0"/>
              <w:rPr>
                <w:sz w:val="20"/>
                <w:szCs w:val="20"/>
                <w:color w:val="auto"/>
              </w:rPr>
            </w:pPr>
            <w:r>
              <w:rPr>
                <w:rFonts w:ascii="Arial" w:cs="Arial" w:eastAsia="Arial" w:hAnsi="Arial"/>
                <w:sz w:val="27"/>
                <w:szCs w:val="27"/>
                <w:b w:val="1"/>
                <w:bCs w:val="1"/>
                <w:color w:val="C8102E"/>
                <w:w w:val="73"/>
              </w:rPr>
              <w:t> </w:t>
            </w:r>
          </w:p>
        </w:tc>
        <w:tc>
          <w:tcPr>
            <w:tcW w:w="500" w:type="dxa"/>
            <w:vAlign w:val="bottom"/>
            <w:shd w:val="clear" w:color="auto" w:fill="C8102E"/>
          </w:tcPr>
          <w:p>
            <w:pPr>
              <w:ind w:left="280"/>
              <w:spacing w:after="0"/>
              <w:rPr>
                <w:sz w:val="20"/>
                <w:szCs w:val="20"/>
                <w:color w:val="auto"/>
              </w:rPr>
            </w:pPr>
            <w:r>
              <w:rPr>
                <w:rFonts w:ascii="Arial" w:cs="Arial" w:eastAsia="Arial" w:hAnsi="Arial"/>
                <w:sz w:val="27"/>
                <w:szCs w:val="27"/>
                <w:b w:val="1"/>
                <w:bCs w:val="1"/>
                <w:color w:val="C8102E"/>
                <w:w w:val="73"/>
              </w:rPr>
              <w:t> </w:t>
            </w:r>
          </w:p>
        </w:tc>
        <w:tc>
          <w:tcPr>
            <w:tcW w:w="500" w:type="dxa"/>
            <w:vAlign w:val="bottom"/>
            <w:shd w:val="clear" w:color="auto" w:fill="C8102E"/>
          </w:tcPr>
          <w:p>
            <w:pPr>
              <w:ind w:left="280"/>
              <w:spacing w:after="0"/>
              <w:rPr>
                <w:sz w:val="20"/>
                <w:szCs w:val="20"/>
                <w:color w:val="auto"/>
              </w:rPr>
            </w:pPr>
            <w:r>
              <w:rPr>
                <w:rFonts w:ascii="Arial" w:cs="Arial" w:eastAsia="Arial" w:hAnsi="Arial"/>
                <w:sz w:val="27"/>
                <w:szCs w:val="27"/>
                <w:b w:val="1"/>
                <w:bCs w:val="1"/>
                <w:color w:val="C8102E"/>
                <w:w w:val="73"/>
              </w:rPr>
              <w:t> </w:t>
            </w:r>
          </w:p>
        </w:tc>
        <w:tc>
          <w:tcPr>
            <w:tcW w:w="560" w:type="dxa"/>
            <w:vAlign w:val="bottom"/>
            <w:shd w:val="clear" w:color="auto" w:fill="C8102E"/>
          </w:tcPr>
          <w:p>
            <w:pPr>
              <w:ind w:left="280"/>
              <w:spacing w:after="0"/>
              <w:rPr>
                <w:sz w:val="20"/>
                <w:szCs w:val="20"/>
                <w:color w:val="auto"/>
              </w:rPr>
            </w:pPr>
            <w:r>
              <w:rPr>
                <w:rFonts w:ascii="Arial" w:cs="Arial" w:eastAsia="Arial" w:hAnsi="Arial"/>
                <w:sz w:val="27"/>
                <w:szCs w:val="27"/>
                <w:b w:val="1"/>
                <w:bCs w:val="1"/>
                <w:color w:val="C8102E"/>
                <w:w w:val="96"/>
              </w:rPr>
              <w:t> </w:t>
            </w:r>
          </w:p>
        </w:tc>
        <w:tc>
          <w:tcPr>
            <w:tcW w:w="500" w:type="dxa"/>
            <w:vAlign w:val="bottom"/>
            <w:shd w:val="clear" w:color="auto" w:fill="E5E5E5"/>
          </w:tcPr>
          <w:p>
            <w:pPr>
              <w:ind w:left="220"/>
              <w:spacing w:after="0"/>
              <w:rPr>
                <w:sz w:val="20"/>
                <w:szCs w:val="20"/>
                <w:color w:val="auto"/>
              </w:rPr>
            </w:pPr>
            <w:r>
              <w:rPr>
                <w:rFonts w:ascii="Arial" w:cs="Arial" w:eastAsia="Arial" w:hAnsi="Arial"/>
                <w:sz w:val="27"/>
                <w:szCs w:val="27"/>
                <w:b w:val="1"/>
                <w:bCs w:val="1"/>
                <w:color w:val="C8102E"/>
                <w:w w:val="96"/>
              </w:rPr>
              <w:t> </w:t>
            </w:r>
          </w:p>
        </w:tc>
        <w:tc>
          <w:tcPr>
            <w:tcW w:w="500" w:type="dxa"/>
            <w:vAlign w:val="bottom"/>
            <w:shd w:val="clear" w:color="auto" w:fill="E5E5E5"/>
          </w:tcPr>
          <w:p>
            <w:pPr>
              <w:ind w:left="220"/>
              <w:spacing w:after="0"/>
              <w:rPr>
                <w:sz w:val="20"/>
                <w:szCs w:val="20"/>
                <w:color w:val="auto"/>
              </w:rPr>
            </w:pPr>
            <w:r>
              <w:rPr>
                <w:rFonts w:ascii="Arial" w:cs="Arial" w:eastAsia="Arial" w:hAnsi="Arial"/>
                <w:sz w:val="27"/>
                <w:szCs w:val="27"/>
                <w:b w:val="1"/>
                <w:bCs w:val="1"/>
                <w:color w:val="C8102E"/>
                <w:w w:val="96"/>
              </w:rPr>
              <w:t> </w:t>
            </w:r>
          </w:p>
        </w:tc>
        <w:tc>
          <w:tcPr>
            <w:tcW w:w="500" w:type="dxa"/>
            <w:vAlign w:val="bottom"/>
            <w:shd w:val="clear" w:color="auto" w:fill="E5E5E5"/>
          </w:tcPr>
          <w:p>
            <w:pPr>
              <w:ind w:left="220"/>
              <w:spacing w:after="0"/>
              <w:rPr>
                <w:sz w:val="20"/>
                <w:szCs w:val="20"/>
                <w:color w:val="auto"/>
              </w:rPr>
            </w:pPr>
            <w:r>
              <w:rPr>
                <w:rFonts w:ascii="Arial" w:cs="Arial" w:eastAsia="Arial" w:hAnsi="Arial"/>
                <w:sz w:val="27"/>
                <w:szCs w:val="27"/>
                <w:b w:val="1"/>
                <w:bCs w:val="1"/>
                <w:color w:val="C8102E"/>
                <w:w w:val="96"/>
              </w:rPr>
              <w:t> </w:t>
            </w:r>
          </w:p>
        </w:tc>
        <w:tc>
          <w:tcPr>
            <w:tcW w:w="200" w:type="dxa"/>
            <w:vAlign w:val="bottom"/>
            <w:shd w:val="clear" w:color="auto" w:fill="E5E5E5"/>
          </w:tcPr>
          <w:p>
            <w:pPr>
              <w:spacing w:after="0"/>
              <w:rPr>
                <w:sz w:val="24"/>
                <w:szCs w:val="24"/>
                <w:color w:val="auto"/>
              </w:rPr>
            </w:pPr>
          </w:p>
        </w:tc>
        <w:tc>
          <w:tcPr>
            <w:tcW w:w="520" w:type="dxa"/>
            <w:vAlign w:val="bottom"/>
            <w:gridSpan w:val="2"/>
            <w:shd w:val="clear" w:color="auto" w:fill="E5E5E5"/>
          </w:tcPr>
          <w:p>
            <w:pPr>
              <w:ind w:left="40"/>
              <w:spacing w:after="0"/>
              <w:rPr>
                <w:sz w:val="20"/>
                <w:szCs w:val="20"/>
                <w:color w:val="auto"/>
              </w:rPr>
            </w:pPr>
            <w:r>
              <w:rPr>
                <w:rFonts w:ascii="Arial" w:cs="Arial" w:eastAsia="Arial" w:hAnsi="Arial"/>
                <w:sz w:val="27"/>
                <w:szCs w:val="27"/>
                <w:b w:val="1"/>
                <w:bCs w:val="1"/>
                <w:color w:val="C8102E"/>
              </w:rPr>
              <w:t> </w:t>
            </w:r>
          </w:p>
        </w:tc>
        <w:tc>
          <w:tcPr>
            <w:tcW w:w="300" w:type="dxa"/>
            <w:vAlign w:val="bottom"/>
            <w:shd w:val="clear" w:color="auto" w:fill="E5E5E5"/>
          </w:tcPr>
          <w:p>
            <w:pPr>
              <w:ind w:left="20"/>
              <w:spacing w:after="0"/>
              <w:rPr>
                <w:sz w:val="20"/>
                <w:szCs w:val="20"/>
                <w:color w:val="auto"/>
              </w:rPr>
            </w:pPr>
            <w:r>
              <w:rPr>
                <w:rFonts w:ascii="Arial" w:cs="Arial" w:eastAsia="Arial" w:hAnsi="Arial"/>
                <w:sz w:val="27"/>
                <w:szCs w:val="27"/>
                <w:b w:val="1"/>
                <w:bCs w:val="1"/>
                <w:color w:val="C8102E"/>
                <w:w w:val="96"/>
              </w:rPr>
              <w:t> </w:t>
            </w:r>
          </w:p>
        </w:tc>
        <w:tc>
          <w:tcPr>
            <w:tcW w:w="520" w:type="dxa"/>
            <w:vAlign w:val="bottom"/>
            <w:shd w:val="clear" w:color="auto" w:fill="E5E5E5"/>
          </w:tcPr>
          <w:p>
            <w:pPr>
              <w:ind w:left="240"/>
              <w:spacing w:after="0"/>
              <w:rPr>
                <w:sz w:val="20"/>
                <w:szCs w:val="20"/>
                <w:color w:val="auto"/>
              </w:rPr>
            </w:pPr>
            <w:r>
              <w:rPr>
                <w:rFonts w:ascii="Arial" w:cs="Arial" w:eastAsia="Arial" w:hAnsi="Arial"/>
                <w:sz w:val="27"/>
                <w:szCs w:val="27"/>
                <w:b w:val="1"/>
                <w:bCs w:val="1"/>
                <w:color w:val="C8102E"/>
                <w:w w:val="96"/>
              </w:rPr>
              <w:t> </w:t>
            </w:r>
          </w:p>
        </w:tc>
        <w:tc>
          <w:tcPr>
            <w:tcW w:w="1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29"/>
                <w:szCs w:val="29"/>
                <w:b w:val="1"/>
                <w:bCs w:val="1"/>
                <w:color w:val="C8102E"/>
              </w:rPr>
              <w:t>5/10</w:t>
            </w:r>
          </w:p>
        </w:tc>
        <w:tc>
          <w:tcPr>
            <w:tcW w:w="0" w:type="dxa"/>
            <w:vAlign w:val="bottom"/>
          </w:tcPr>
          <w:p>
            <w:pPr>
              <w:spacing w:after="0"/>
              <w:rPr>
                <w:sz w:val="1"/>
                <w:szCs w:val="1"/>
                <w:color w:val="auto"/>
              </w:rPr>
            </w:pPr>
          </w:p>
        </w:tc>
      </w:tr>
      <w:tr>
        <w:trPr>
          <w:trHeight w:val="338"/>
        </w:trPr>
        <w:tc>
          <w:tcPr>
            <w:tcW w:w="440" w:type="dxa"/>
            <w:vAlign w:val="bottom"/>
            <w:shd w:val="clear" w:color="auto" w:fill="C8102E"/>
          </w:tcPr>
          <w:p>
            <w:pPr>
              <w:ind w:left="220"/>
              <w:spacing w:after="0"/>
              <w:rPr>
                <w:sz w:val="20"/>
                <w:szCs w:val="20"/>
                <w:color w:val="auto"/>
              </w:rPr>
            </w:pPr>
            <w:r>
              <w:rPr>
                <w:rFonts w:ascii="Arial" w:cs="Arial" w:eastAsia="Arial" w:hAnsi="Arial"/>
                <w:sz w:val="27"/>
                <w:szCs w:val="27"/>
                <w:b w:val="1"/>
                <w:bCs w:val="1"/>
                <w:color w:val="C8102E"/>
                <w:w w:val="73"/>
              </w:rPr>
              <w:t> </w:t>
            </w:r>
          </w:p>
        </w:tc>
        <w:tc>
          <w:tcPr>
            <w:tcW w:w="500" w:type="dxa"/>
            <w:vAlign w:val="bottom"/>
            <w:shd w:val="clear" w:color="auto" w:fill="C8102E"/>
          </w:tcPr>
          <w:p>
            <w:pPr>
              <w:ind w:left="280"/>
              <w:spacing w:after="0"/>
              <w:rPr>
                <w:sz w:val="20"/>
                <w:szCs w:val="20"/>
                <w:color w:val="auto"/>
              </w:rPr>
            </w:pPr>
            <w:r>
              <w:rPr>
                <w:rFonts w:ascii="Arial" w:cs="Arial" w:eastAsia="Arial" w:hAnsi="Arial"/>
                <w:sz w:val="27"/>
                <w:szCs w:val="27"/>
                <w:b w:val="1"/>
                <w:bCs w:val="1"/>
                <w:color w:val="C8102E"/>
                <w:w w:val="73"/>
              </w:rPr>
              <w:t> </w:t>
            </w:r>
          </w:p>
        </w:tc>
        <w:tc>
          <w:tcPr>
            <w:tcW w:w="500" w:type="dxa"/>
            <w:vAlign w:val="bottom"/>
            <w:shd w:val="clear" w:color="auto" w:fill="C8102E"/>
          </w:tcPr>
          <w:p>
            <w:pPr>
              <w:ind w:left="280"/>
              <w:spacing w:after="0"/>
              <w:rPr>
                <w:sz w:val="20"/>
                <w:szCs w:val="20"/>
                <w:color w:val="auto"/>
              </w:rPr>
            </w:pPr>
            <w:r>
              <w:rPr>
                <w:rFonts w:ascii="Arial" w:cs="Arial" w:eastAsia="Arial" w:hAnsi="Arial"/>
                <w:sz w:val="27"/>
                <w:szCs w:val="27"/>
                <w:b w:val="1"/>
                <w:bCs w:val="1"/>
                <w:color w:val="C8102E"/>
                <w:w w:val="73"/>
              </w:rPr>
              <w:t> </w:t>
            </w:r>
          </w:p>
        </w:tc>
        <w:tc>
          <w:tcPr>
            <w:tcW w:w="560" w:type="dxa"/>
            <w:vAlign w:val="bottom"/>
            <w:shd w:val="clear" w:color="auto" w:fill="C8102E"/>
          </w:tcPr>
          <w:p>
            <w:pPr>
              <w:ind w:left="280"/>
              <w:spacing w:after="0"/>
              <w:rPr>
                <w:sz w:val="20"/>
                <w:szCs w:val="20"/>
                <w:color w:val="auto"/>
              </w:rPr>
            </w:pPr>
            <w:r>
              <w:rPr>
                <w:rFonts w:ascii="Arial" w:cs="Arial" w:eastAsia="Arial" w:hAnsi="Arial"/>
                <w:sz w:val="27"/>
                <w:szCs w:val="27"/>
                <w:b w:val="1"/>
                <w:bCs w:val="1"/>
                <w:color w:val="C8102E"/>
                <w:w w:val="96"/>
              </w:rPr>
              <w:t> </w:t>
            </w:r>
          </w:p>
        </w:tc>
        <w:tc>
          <w:tcPr>
            <w:tcW w:w="500" w:type="dxa"/>
            <w:vAlign w:val="bottom"/>
            <w:shd w:val="clear" w:color="auto" w:fill="C8102E"/>
          </w:tcPr>
          <w:p>
            <w:pPr>
              <w:ind w:left="220"/>
              <w:spacing w:after="0"/>
              <w:rPr>
                <w:sz w:val="20"/>
                <w:szCs w:val="20"/>
                <w:color w:val="auto"/>
              </w:rPr>
            </w:pPr>
            <w:r>
              <w:rPr>
                <w:rFonts w:ascii="Arial" w:cs="Arial" w:eastAsia="Arial" w:hAnsi="Arial"/>
                <w:sz w:val="27"/>
                <w:szCs w:val="27"/>
                <w:b w:val="1"/>
                <w:bCs w:val="1"/>
                <w:color w:val="C8102E"/>
                <w:w w:val="96"/>
              </w:rPr>
              <w:t> </w:t>
            </w:r>
          </w:p>
        </w:tc>
        <w:tc>
          <w:tcPr>
            <w:tcW w:w="500" w:type="dxa"/>
            <w:vAlign w:val="bottom"/>
            <w:shd w:val="clear" w:color="auto" w:fill="E5E5E5"/>
          </w:tcPr>
          <w:p>
            <w:pPr>
              <w:ind w:left="220"/>
              <w:spacing w:after="0"/>
              <w:rPr>
                <w:sz w:val="20"/>
                <w:szCs w:val="20"/>
                <w:color w:val="auto"/>
              </w:rPr>
            </w:pPr>
            <w:r>
              <w:rPr>
                <w:rFonts w:ascii="Arial" w:cs="Arial" w:eastAsia="Arial" w:hAnsi="Arial"/>
                <w:sz w:val="27"/>
                <w:szCs w:val="27"/>
                <w:b w:val="1"/>
                <w:bCs w:val="1"/>
                <w:color w:val="C8102E"/>
                <w:w w:val="96"/>
              </w:rPr>
              <w:t> </w:t>
            </w:r>
          </w:p>
        </w:tc>
        <w:tc>
          <w:tcPr>
            <w:tcW w:w="500" w:type="dxa"/>
            <w:vAlign w:val="bottom"/>
            <w:shd w:val="clear" w:color="auto" w:fill="E5E5E5"/>
          </w:tcPr>
          <w:p>
            <w:pPr>
              <w:ind w:left="220"/>
              <w:spacing w:after="0"/>
              <w:rPr>
                <w:sz w:val="20"/>
                <w:szCs w:val="20"/>
                <w:color w:val="auto"/>
              </w:rPr>
            </w:pPr>
            <w:r>
              <w:rPr>
                <w:rFonts w:ascii="Arial" w:cs="Arial" w:eastAsia="Arial" w:hAnsi="Arial"/>
                <w:sz w:val="27"/>
                <w:szCs w:val="27"/>
                <w:b w:val="1"/>
                <w:bCs w:val="1"/>
                <w:color w:val="C8102E"/>
                <w:w w:val="96"/>
              </w:rPr>
              <w:t> </w:t>
            </w:r>
          </w:p>
        </w:tc>
        <w:tc>
          <w:tcPr>
            <w:tcW w:w="200" w:type="dxa"/>
            <w:vAlign w:val="bottom"/>
            <w:shd w:val="clear" w:color="auto" w:fill="E5E5E5"/>
          </w:tcPr>
          <w:p>
            <w:pPr>
              <w:spacing w:after="0"/>
              <w:rPr>
                <w:sz w:val="24"/>
                <w:szCs w:val="24"/>
                <w:color w:val="auto"/>
              </w:rPr>
            </w:pPr>
          </w:p>
        </w:tc>
        <w:tc>
          <w:tcPr>
            <w:tcW w:w="520" w:type="dxa"/>
            <w:vAlign w:val="bottom"/>
            <w:gridSpan w:val="2"/>
            <w:shd w:val="clear" w:color="auto" w:fill="E5E5E5"/>
          </w:tcPr>
          <w:p>
            <w:pPr>
              <w:ind w:left="40"/>
              <w:spacing w:after="0"/>
              <w:rPr>
                <w:sz w:val="20"/>
                <w:szCs w:val="20"/>
                <w:color w:val="auto"/>
              </w:rPr>
            </w:pPr>
            <w:r>
              <w:rPr>
                <w:rFonts w:ascii="Arial" w:cs="Arial" w:eastAsia="Arial" w:hAnsi="Arial"/>
                <w:sz w:val="27"/>
                <w:szCs w:val="27"/>
                <w:b w:val="1"/>
                <w:bCs w:val="1"/>
                <w:color w:val="C8102E"/>
              </w:rPr>
              <w:t> </w:t>
            </w:r>
          </w:p>
        </w:tc>
        <w:tc>
          <w:tcPr>
            <w:tcW w:w="300" w:type="dxa"/>
            <w:vAlign w:val="bottom"/>
            <w:shd w:val="clear" w:color="auto" w:fill="E5E5E5"/>
          </w:tcPr>
          <w:p>
            <w:pPr>
              <w:ind w:left="20"/>
              <w:spacing w:after="0"/>
              <w:rPr>
                <w:sz w:val="20"/>
                <w:szCs w:val="20"/>
                <w:color w:val="auto"/>
              </w:rPr>
            </w:pPr>
            <w:r>
              <w:rPr>
                <w:rFonts w:ascii="Arial" w:cs="Arial" w:eastAsia="Arial" w:hAnsi="Arial"/>
                <w:sz w:val="27"/>
                <w:szCs w:val="27"/>
                <w:b w:val="1"/>
                <w:bCs w:val="1"/>
                <w:color w:val="C8102E"/>
                <w:w w:val="96"/>
              </w:rPr>
              <w:t> </w:t>
            </w:r>
          </w:p>
        </w:tc>
        <w:tc>
          <w:tcPr>
            <w:tcW w:w="520" w:type="dxa"/>
            <w:vAlign w:val="bottom"/>
            <w:shd w:val="clear" w:color="auto" w:fill="E5E5E5"/>
          </w:tcPr>
          <w:p>
            <w:pPr>
              <w:ind w:left="240"/>
              <w:spacing w:after="0"/>
              <w:rPr>
                <w:sz w:val="20"/>
                <w:szCs w:val="20"/>
                <w:color w:val="auto"/>
              </w:rPr>
            </w:pPr>
            <w:r>
              <w:rPr>
                <w:rFonts w:ascii="Arial" w:cs="Arial" w:eastAsia="Arial" w:hAnsi="Arial"/>
                <w:sz w:val="27"/>
                <w:szCs w:val="27"/>
                <w:b w:val="1"/>
                <w:bCs w:val="1"/>
                <w:color w:val="C8102E"/>
                <w:w w:val="96"/>
              </w:rPr>
              <w:t> </w:t>
            </w:r>
          </w:p>
        </w:tc>
        <w:tc>
          <w:tcPr>
            <w:tcW w:w="1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29"/>
                <w:szCs w:val="29"/>
                <w:b w:val="1"/>
                <w:bCs w:val="1"/>
                <w:color w:val="C8102E"/>
              </w:rPr>
              <w:t>6/10</w:t>
            </w:r>
          </w:p>
        </w:tc>
        <w:tc>
          <w:tcPr>
            <w:tcW w:w="0" w:type="dxa"/>
            <w:vAlign w:val="bottom"/>
          </w:tcPr>
          <w:p>
            <w:pPr>
              <w:spacing w:after="0"/>
              <w:rPr>
                <w:sz w:val="1"/>
                <w:szCs w:val="1"/>
                <w:color w:val="auto"/>
              </w:rPr>
            </w:pPr>
          </w:p>
        </w:tc>
      </w:tr>
      <w:tr>
        <w:trPr>
          <w:trHeight w:val="338"/>
        </w:trPr>
        <w:tc>
          <w:tcPr>
            <w:tcW w:w="440" w:type="dxa"/>
            <w:vAlign w:val="bottom"/>
            <w:shd w:val="clear" w:color="auto" w:fill="C8102E"/>
          </w:tcPr>
          <w:p>
            <w:pPr>
              <w:ind w:left="220"/>
              <w:spacing w:after="0"/>
              <w:rPr>
                <w:sz w:val="20"/>
                <w:szCs w:val="20"/>
                <w:color w:val="auto"/>
              </w:rPr>
            </w:pPr>
            <w:r>
              <w:rPr>
                <w:rFonts w:ascii="Arial" w:cs="Arial" w:eastAsia="Arial" w:hAnsi="Arial"/>
                <w:sz w:val="27"/>
                <w:szCs w:val="27"/>
                <w:b w:val="1"/>
                <w:bCs w:val="1"/>
                <w:color w:val="C8102E"/>
                <w:w w:val="73"/>
              </w:rPr>
              <w:t> </w:t>
            </w:r>
          </w:p>
        </w:tc>
        <w:tc>
          <w:tcPr>
            <w:tcW w:w="500" w:type="dxa"/>
            <w:vAlign w:val="bottom"/>
            <w:shd w:val="clear" w:color="auto" w:fill="C8102E"/>
          </w:tcPr>
          <w:p>
            <w:pPr>
              <w:ind w:left="280"/>
              <w:spacing w:after="0"/>
              <w:rPr>
                <w:sz w:val="20"/>
                <w:szCs w:val="20"/>
                <w:color w:val="auto"/>
              </w:rPr>
            </w:pPr>
            <w:r>
              <w:rPr>
                <w:rFonts w:ascii="Arial" w:cs="Arial" w:eastAsia="Arial" w:hAnsi="Arial"/>
                <w:sz w:val="27"/>
                <w:szCs w:val="27"/>
                <w:b w:val="1"/>
                <w:bCs w:val="1"/>
                <w:color w:val="C8102E"/>
                <w:w w:val="73"/>
              </w:rPr>
              <w:t> </w:t>
            </w:r>
          </w:p>
        </w:tc>
        <w:tc>
          <w:tcPr>
            <w:tcW w:w="500" w:type="dxa"/>
            <w:vAlign w:val="bottom"/>
            <w:shd w:val="clear" w:color="auto" w:fill="C8102E"/>
          </w:tcPr>
          <w:p>
            <w:pPr>
              <w:ind w:left="280"/>
              <w:spacing w:after="0"/>
              <w:rPr>
                <w:sz w:val="20"/>
                <w:szCs w:val="20"/>
                <w:color w:val="auto"/>
              </w:rPr>
            </w:pPr>
            <w:r>
              <w:rPr>
                <w:rFonts w:ascii="Arial" w:cs="Arial" w:eastAsia="Arial" w:hAnsi="Arial"/>
                <w:sz w:val="27"/>
                <w:szCs w:val="27"/>
                <w:b w:val="1"/>
                <w:bCs w:val="1"/>
                <w:color w:val="C8102E"/>
                <w:w w:val="73"/>
              </w:rPr>
              <w:t> </w:t>
            </w:r>
          </w:p>
        </w:tc>
        <w:tc>
          <w:tcPr>
            <w:tcW w:w="560" w:type="dxa"/>
            <w:vAlign w:val="bottom"/>
            <w:shd w:val="clear" w:color="auto" w:fill="C8102E"/>
          </w:tcPr>
          <w:p>
            <w:pPr>
              <w:ind w:left="280"/>
              <w:spacing w:after="0"/>
              <w:rPr>
                <w:sz w:val="20"/>
                <w:szCs w:val="20"/>
                <w:color w:val="auto"/>
              </w:rPr>
            </w:pPr>
            <w:r>
              <w:rPr>
                <w:rFonts w:ascii="Arial" w:cs="Arial" w:eastAsia="Arial" w:hAnsi="Arial"/>
                <w:sz w:val="27"/>
                <w:szCs w:val="27"/>
                <w:b w:val="1"/>
                <w:bCs w:val="1"/>
                <w:color w:val="C8102E"/>
                <w:w w:val="96"/>
              </w:rPr>
              <w:t> </w:t>
            </w:r>
          </w:p>
        </w:tc>
        <w:tc>
          <w:tcPr>
            <w:tcW w:w="500" w:type="dxa"/>
            <w:vAlign w:val="bottom"/>
            <w:shd w:val="clear" w:color="auto" w:fill="C8102E"/>
          </w:tcPr>
          <w:p>
            <w:pPr>
              <w:ind w:left="220"/>
              <w:spacing w:after="0"/>
              <w:rPr>
                <w:sz w:val="20"/>
                <w:szCs w:val="20"/>
                <w:color w:val="auto"/>
              </w:rPr>
            </w:pPr>
            <w:r>
              <w:rPr>
                <w:rFonts w:ascii="Arial" w:cs="Arial" w:eastAsia="Arial" w:hAnsi="Arial"/>
                <w:sz w:val="27"/>
                <w:szCs w:val="27"/>
                <w:b w:val="1"/>
                <w:bCs w:val="1"/>
                <w:color w:val="C8102E"/>
                <w:w w:val="96"/>
              </w:rPr>
              <w:t> </w:t>
            </w:r>
          </w:p>
        </w:tc>
        <w:tc>
          <w:tcPr>
            <w:tcW w:w="500" w:type="dxa"/>
            <w:vAlign w:val="bottom"/>
            <w:shd w:val="clear" w:color="auto" w:fill="C8102E"/>
          </w:tcPr>
          <w:p>
            <w:pPr>
              <w:ind w:left="220"/>
              <w:spacing w:after="0"/>
              <w:rPr>
                <w:sz w:val="20"/>
                <w:szCs w:val="20"/>
                <w:color w:val="auto"/>
              </w:rPr>
            </w:pPr>
            <w:r>
              <w:rPr>
                <w:rFonts w:ascii="Arial" w:cs="Arial" w:eastAsia="Arial" w:hAnsi="Arial"/>
                <w:sz w:val="27"/>
                <w:szCs w:val="27"/>
                <w:b w:val="1"/>
                <w:bCs w:val="1"/>
                <w:color w:val="C8102E"/>
                <w:w w:val="96"/>
              </w:rPr>
              <w:t> </w:t>
            </w:r>
          </w:p>
        </w:tc>
        <w:tc>
          <w:tcPr>
            <w:tcW w:w="500" w:type="dxa"/>
            <w:vAlign w:val="bottom"/>
            <w:shd w:val="clear" w:color="auto" w:fill="E5E5E5"/>
          </w:tcPr>
          <w:p>
            <w:pPr>
              <w:ind w:left="220"/>
              <w:spacing w:after="0"/>
              <w:rPr>
                <w:sz w:val="20"/>
                <w:szCs w:val="20"/>
                <w:color w:val="auto"/>
              </w:rPr>
            </w:pPr>
            <w:r>
              <w:rPr>
                <w:rFonts w:ascii="Arial" w:cs="Arial" w:eastAsia="Arial" w:hAnsi="Arial"/>
                <w:sz w:val="27"/>
                <w:szCs w:val="27"/>
                <w:b w:val="1"/>
                <w:bCs w:val="1"/>
                <w:color w:val="C8102E"/>
                <w:w w:val="96"/>
              </w:rPr>
              <w:t> </w:t>
            </w:r>
          </w:p>
        </w:tc>
        <w:tc>
          <w:tcPr>
            <w:tcW w:w="200" w:type="dxa"/>
            <w:vAlign w:val="bottom"/>
            <w:shd w:val="clear" w:color="auto" w:fill="E5E5E5"/>
          </w:tcPr>
          <w:p>
            <w:pPr>
              <w:spacing w:after="0"/>
              <w:rPr>
                <w:sz w:val="24"/>
                <w:szCs w:val="24"/>
                <w:color w:val="auto"/>
              </w:rPr>
            </w:pPr>
          </w:p>
        </w:tc>
        <w:tc>
          <w:tcPr>
            <w:tcW w:w="520" w:type="dxa"/>
            <w:vAlign w:val="bottom"/>
            <w:gridSpan w:val="2"/>
            <w:shd w:val="clear" w:color="auto" w:fill="E5E5E5"/>
          </w:tcPr>
          <w:p>
            <w:pPr>
              <w:ind w:left="40"/>
              <w:spacing w:after="0"/>
              <w:rPr>
                <w:sz w:val="20"/>
                <w:szCs w:val="20"/>
                <w:color w:val="auto"/>
              </w:rPr>
            </w:pPr>
            <w:r>
              <w:rPr>
                <w:rFonts w:ascii="Arial" w:cs="Arial" w:eastAsia="Arial" w:hAnsi="Arial"/>
                <w:sz w:val="27"/>
                <w:szCs w:val="27"/>
                <w:b w:val="1"/>
                <w:bCs w:val="1"/>
                <w:color w:val="C8102E"/>
              </w:rPr>
              <w:t> </w:t>
            </w:r>
          </w:p>
        </w:tc>
        <w:tc>
          <w:tcPr>
            <w:tcW w:w="300" w:type="dxa"/>
            <w:vAlign w:val="bottom"/>
            <w:shd w:val="clear" w:color="auto" w:fill="E5E5E5"/>
          </w:tcPr>
          <w:p>
            <w:pPr>
              <w:ind w:left="20"/>
              <w:spacing w:after="0"/>
              <w:rPr>
                <w:sz w:val="20"/>
                <w:szCs w:val="20"/>
                <w:color w:val="auto"/>
              </w:rPr>
            </w:pPr>
            <w:r>
              <w:rPr>
                <w:rFonts w:ascii="Arial" w:cs="Arial" w:eastAsia="Arial" w:hAnsi="Arial"/>
                <w:sz w:val="27"/>
                <w:szCs w:val="27"/>
                <w:b w:val="1"/>
                <w:bCs w:val="1"/>
                <w:color w:val="C8102E"/>
                <w:w w:val="96"/>
              </w:rPr>
              <w:t> </w:t>
            </w:r>
          </w:p>
        </w:tc>
        <w:tc>
          <w:tcPr>
            <w:tcW w:w="520" w:type="dxa"/>
            <w:vAlign w:val="bottom"/>
            <w:shd w:val="clear" w:color="auto" w:fill="E5E5E5"/>
          </w:tcPr>
          <w:p>
            <w:pPr>
              <w:ind w:left="240"/>
              <w:spacing w:after="0"/>
              <w:rPr>
                <w:sz w:val="20"/>
                <w:szCs w:val="20"/>
                <w:color w:val="auto"/>
              </w:rPr>
            </w:pPr>
            <w:r>
              <w:rPr>
                <w:rFonts w:ascii="Arial" w:cs="Arial" w:eastAsia="Arial" w:hAnsi="Arial"/>
                <w:sz w:val="27"/>
                <w:szCs w:val="27"/>
                <w:b w:val="1"/>
                <w:bCs w:val="1"/>
                <w:color w:val="C8102E"/>
                <w:w w:val="96"/>
              </w:rPr>
              <w:t> </w:t>
            </w:r>
          </w:p>
        </w:tc>
        <w:tc>
          <w:tcPr>
            <w:tcW w:w="1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29"/>
                <w:szCs w:val="29"/>
                <w:b w:val="1"/>
                <w:bCs w:val="1"/>
                <w:color w:val="C8102E"/>
              </w:rPr>
              <w:t>6/10</w:t>
            </w:r>
          </w:p>
        </w:tc>
        <w:tc>
          <w:tcPr>
            <w:tcW w:w="0" w:type="dxa"/>
            <w:vAlign w:val="bottom"/>
          </w:tcPr>
          <w:p>
            <w:pPr>
              <w:spacing w:after="0"/>
              <w:rPr>
                <w:sz w:val="1"/>
                <w:szCs w:val="1"/>
                <w:color w:val="auto"/>
              </w:rPr>
            </w:pPr>
          </w:p>
        </w:tc>
      </w:tr>
      <w:tr>
        <w:trPr>
          <w:trHeight w:val="338"/>
        </w:trPr>
        <w:tc>
          <w:tcPr>
            <w:tcW w:w="440" w:type="dxa"/>
            <w:vAlign w:val="bottom"/>
            <w:shd w:val="clear" w:color="auto" w:fill="C8102E"/>
          </w:tcPr>
          <w:p>
            <w:pPr>
              <w:ind w:left="220"/>
              <w:spacing w:after="0"/>
              <w:rPr>
                <w:sz w:val="20"/>
                <w:szCs w:val="20"/>
                <w:color w:val="auto"/>
              </w:rPr>
            </w:pPr>
            <w:r>
              <w:rPr>
                <w:rFonts w:ascii="Arial" w:cs="Arial" w:eastAsia="Arial" w:hAnsi="Arial"/>
                <w:sz w:val="27"/>
                <w:szCs w:val="27"/>
                <w:b w:val="1"/>
                <w:bCs w:val="1"/>
                <w:color w:val="C8102E"/>
                <w:w w:val="73"/>
              </w:rPr>
              <w:t> </w:t>
            </w:r>
          </w:p>
        </w:tc>
        <w:tc>
          <w:tcPr>
            <w:tcW w:w="500" w:type="dxa"/>
            <w:vAlign w:val="bottom"/>
            <w:shd w:val="clear" w:color="auto" w:fill="C8102E"/>
          </w:tcPr>
          <w:p>
            <w:pPr>
              <w:ind w:left="280"/>
              <w:spacing w:after="0"/>
              <w:rPr>
                <w:sz w:val="20"/>
                <w:szCs w:val="20"/>
                <w:color w:val="auto"/>
              </w:rPr>
            </w:pPr>
            <w:r>
              <w:rPr>
                <w:rFonts w:ascii="Arial" w:cs="Arial" w:eastAsia="Arial" w:hAnsi="Arial"/>
                <w:sz w:val="27"/>
                <w:szCs w:val="27"/>
                <w:b w:val="1"/>
                <w:bCs w:val="1"/>
                <w:color w:val="C8102E"/>
                <w:w w:val="73"/>
              </w:rPr>
              <w:t> </w:t>
            </w:r>
          </w:p>
        </w:tc>
        <w:tc>
          <w:tcPr>
            <w:tcW w:w="500" w:type="dxa"/>
            <w:vAlign w:val="bottom"/>
            <w:shd w:val="clear" w:color="auto" w:fill="C8102E"/>
          </w:tcPr>
          <w:p>
            <w:pPr>
              <w:ind w:left="280"/>
              <w:spacing w:after="0"/>
              <w:rPr>
                <w:sz w:val="20"/>
                <w:szCs w:val="20"/>
                <w:color w:val="auto"/>
              </w:rPr>
            </w:pPr>
            <w:r>
              <w:rPr>
                <w:rFonts w:ascii="Arial" w:cs="Arial" w:eastAsia="Arial" w:hAnsi="Arial"/>
                <w:sz w:val="27"/>
                <w:szCs w:val="27"/>
                <w:b w:val="1"/>
                <w:bCs w:val="1"/>
                <w:color w:val="C8102E"/>
                <w:w w:val="73"/>
              </w:rPr>
              <w:t> </w:t>
            </w:r>
          </w:p>
        </w:tc>
        <w:tc>
          <w:tcPr>
            <w:tcW w:w="560" w:type="dxa"/>
            <w:vAlign w:val="bottom"/>
            <w:shd w:val="clear" w:color="auto" w:fill="C8102E"/>
          </w:tcPr>
          <w:p>
            <w:pPr>
              <w:ind w:left="280"/>
              <w:spacing w:after="0"/>
              <w:rPr>
                <w:sz w:val="20"/>
                <w:szCs w:val="20"/>
                <w:color w:val="auto"/>
              </w:rPr>
            </w:pPr>
            <w:r>
              <w:rPr>
                <w:rFonts w:ascii="Arial" w:cs="Arial" w:eastAsia="Arial" w:hAnsi="Arial"/>
                <w:sz w:val="27"/>
                <w:szCs w:val="27"/>
                <w:b w:val="1"/>
                <w:bCs w:val="1"/>
                <w:color w:val="C8102E"/>
                <w:w w:val="96"/>
              </w:rPr>
              <w:t> </w:t>
            </w:r>
          </w:p>
        </w:tc>
        <w:tc>
          <w:tcPr>
            <w:tcW w:w="500" w:type="dxa"/>
            <w:vAlign w:val="bottom"/>
            <w:shd w:val="clear" w:color="auto" w:fill="C8102E"/>
          </w:tcPr>
          <w:p>
            <w:pPr>
              <w:ind w:left="220"/>
              <w:spacing w:after="0"/>
              <w:rPr>
                <w:sz w:val="20"/>
                <w:szCs w:val="20"/>
                <w:color w:val="auto"/>
              </w:rPr>
            </w:pPr>
            <w:r>
              <w:rPr>
                <w:rFonts w:ascii="Arial" w:cs="Arial" w:eastAsia="Arial" w:hAnsi="Arial"/>
                <w:sz w:val="27"/>
                <w:szCs w:val="27"/>
                <w:b w:val="1"/>
                <w:bCs w:val="1"/>
                <w:color w:val="C8102E"/>
                <w:w w:val="96"/>
              </w:rPr>
              <w:t> </w:t>
            </w:r>
          </w:p>
        </w:tc>
        <w:tc>
          <w:tcPr>
            <w:tcW w:w="500" w:type="dxa"/>
            <w:vAlign w:val="bottom"/>
            <w:shd w:val="clear" w:color="auto" w:fill="C8102E"/>
          </w:tcPr>
          <w:p>
            <w:pPr>
              <w:ind w:left="220"/>
              <w:spacing w:after="0"/>
              <w:rPr>
                <w:sz w:val="20"/>
                <w:szCs w:val="20"/>
                <w:color w:val="auto"/>
              </w:rPr>
            </w:pPr>
            <w:r>
              <w:rPr>
                <w:rFonts w:ascii="Arial" w:cs="Arial" w:eastAsia="Arial" w:hAnsi="Arial"/>
                <w:sz w:val="27"/>
                <w:szCs w:val="27"/>
                <w:b w:val="1"/>
                <w:bCs w:val="1"/>
                <w:color w:val="C8102E"/>
                <w:w w:val="96"/>
              </w:rPr>
              <w:t> </w:t>
            </w:r>
          </w:p>
        </w:tc>
        <w:tc>
          <w:tcPr>
            <w:tcW w:w="500" w:type="dxa"/>
            <w:vAlign w:val="bottom"/>
            <w:shd w:val="clear" w:color="auto" w:fill="E5E5E5"/>
          </w:tcPr>
          <w:p>
            <w:pPr>
              <w:ind w:left="220"/>
              <w:spacing w:after="0"/>
              <w:rPr>
                <w:sz w:val="20"/>
                <w:szCs w:val="20"/>
                <w:color w:val="auto"/>
              </w:rPr>
            </w:pPr>
            <w:r>
              <w:rPr>
                <w:rFonts w:ascii="Arial" w:cs="Arial" w:eastAsia="Arial" w:hAnsi="Arial"/>
                <w:sz w:val="27"/>
                <w:szCs w:val="27"/>
                <w:b w:val="1"/>
                <w:bCs w:val="1"/>
                <w:color w:val="C8102E"/>
                <w:w w:val="96"/>
              </w:rPr>
              <w:t> </w:t>
            </w:r>
          </w:p>
        </w:tc>
        <w:tc>
          <w:tcPr>
            <w:tcW w:w="200" w:type="dxa"/>
            <w:vAlign w:val="bottom"/>
            <w:shd w:val="clear" w:color="auto" w:fill="E5E5E5"/>
          </w:tcPr>
          <w:p>
            <w:pPr>
              <w:spacing w:after="0"/>
              <w:rPr>
                <w:sz w:val="24"/>
                <w:szCs w:val="24"/>
                <w:color w:val="auto"/>
              </w:rPr>
            </w:pPr>
          </w:p>
        </w:tc>
        <w:tc>
          <w:tcPr>
            <w:tcW w:w="520" w:type="dxa"/>
            <w:vAlign w:val="bottom"/>
            <w:gridSpan w:val="2"/>
            <w:shd w:val="clear" w:color="auto" w:fill="E5E5E5"/>
          </w:tcPr>
          <w:p>
            <w:pPr>
              <w:ind w:left="40"/>
              <w:spacing w:after="0"/>
              <w:rPr>
                <w:sz w:val="20"/>
                <w:szCs w:val="20"/>
                <w:color w:val="auto"/>
              </w:rPr>
            </w:pPr>
            <w:r>
              <w:rPr>
                <w:rFonts w:ascii="Arial" w:cs="Arial" w:eastAsia="Arial" w:hAnsi="Arial"/>
                <w:sz w:val="27"/>
                <w:szCs w:val="27"/>
                <w:b w:val="1"/>
                <w:bCs w:val="1"/>
                <w:color w:val="C8102E"/>
              </w:rPr>
              <w:t> </w:t>
            </w:r>
          </w:p>
        </w:tc>
        <w:tc>
          <w:tcPr>
            <w:tcW w:w="300" w:type="dxa"/>
            <w:vAlign w:val="bottom"/>
            <w:shd w:val="clear" w:color="auto" w:fill="E5E5E5"/>
          </w:tcPr>
          <w:p>
            <w:pPr>
              <w:ind w:left="20"/>
              <w:spacing w:after="0"/>
              <w:rPr>
                <w:sz w:val="20"/>
                <w:szCs w:val="20"/>
                <w:color w:val="auto"/>
              </w:rPr>
            </w:pPr>
            <w:r>
              <w:rPr>
                <w:rFonts w:ascii="Arial" w:cs="Arial" w:eastAsia="Arial" w:hAnsi="Arial"/>
                <w:sz w:val="27"/>
                <w:szCs w:val="27"/>
                <w:b w:val="1"/>
                <w:bCs w:val="1"/>
                <w:color w:val="C8102E"/>
                <w:w w:val="96"/>
              </w:rPr>
              <w:t> </w:t>
            </w:r>
          </w:p>
        </w:tc>
        <w:tc>
          <w:tcPr>
            <w:tcW w:w="520" w:type="dxa"/>
            <w:vAlign w:val="bottom"/>
            <w:shd w:val="clear" w:color="auto" w:fill="E5E5E5"/>
          </w:tcPr>
          <w:p>
            <w:pPr>
              <w:ind w:left="240"/>
              <w:spacing w:after="0"/>
              <w:rPr>
                <w:sz w:val="20"/>
                <w:szCs w:val="20"/>
                <w:color w:val="auto"/>
              </w:rPr>
            </w:pPr>
            <w:r>
              <w:rPr>
                <w:rFonts w:ascii="Arial" w:cs="Arial" w:eastAsia="Arial" w:hAnsi="Arial"/>
                <w:sz w:val="27"/>
                <w:szCs w:val="27"/>
                <w:b w:val="1"/>
                <w:bCs w:val="1"/>
                <w:color w:val="C8102E"/>
                <w:w w:val="96"/>
              </w:rPr>
              <w:t> </w:t>
            </w:r>
          </w:p>
        </w:tc>
        <w:tc>
          <w:tcPr>
            <w:tcW w:w="1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29"/>
                <w:szCs w:val="29"/>
                <w:b w:val="1"/>
                <w:bCs w:val="1"/>
                <w:color w:val="C8102E"/>
              </w:rPr>
              <w:t>7/10</w:t>
            </w:r>
          </w:p>
        </w:tc>
        <w:tc>
          <w:tcPr>
            <w:tcW w:w="0" w:type="dxa"/>
            <w:vAlign w:val="bottom"/>
          </w:tcPr>
          <w:p>
            <w:pPr>
              <w:spacing w:after="0"/>
              <w:rPr>
                <w:sz w:val="1"/>
                <w:szCs w:val="1"/>
                <w:color w:val="auto"/>
              </w:rPr>
            </w:pPr>
          </w:p>
        </w:tc>
      </w:tr>
      <w:tr>
        <w:trPr>
          <w:trHeight w:val="338"/>
        </w:trPr>
        <w:tc>
          <w:tcPr>
            <w:tcW w:w="440" w:type="dxa"/>
            <w:vAlign w:val="bottom"/>
            <w:shd w:val="clear" w:color="auto" w:fill="C8102E"/>
          </w:tcPr>
          <w:p>
            <w:pPr>
              <w:ind w:left="220"/>
              <w:spacing w:after="0"/>
              <w:rPr>
                <w:sz w:val="20"/>
                <w:szCs w:val="20"/>
                <w:color w:val="auto"/>
              </w:rPr>
            </w:pPr>
            <w:r>
              <w:rPr>
                <w:rFonts w:ascii="Arial" w:cs="Arial" w:eastAsia="Arial" w:hAnsi="Arial"/>
                <w:sz w:val="27"/>
                <w:szCs w:val="27"/>
                <w:b w:val="1"/>
                <w:bCs w:val="1"/>
                <w:color w:val="C8102E"/>
                <w:w w:val="73"/>
              </w:rPr>
              <w:t> </w:t>
            </w:r>
          </w:p>
        </w:tc>
        <w:tc>
          <w:tcPr>
            <w:tcW w:w="500" w:type="dxa"/>
            <w:vAlign w:val="bottom"/>
            <w:shd w:val="clear" w:color="auto" w:fill="C8102E"/>
          </w:tcPr>
          <w:p>
            <w:pPr>
              <w:ind w:left="280"/>
              <w:spacing w:after="0"/>
              <w:rPr>
                <w:sz w:val="20"/>
                <w:szCs w:val="20"/>
                <w:color w:val="auto"/>
              </w:rPr>
            </w:pPr>
            <w:r>
              <w:rPr>
                <w:rFonts w:ascii="Arial" w:cs="Arial" w:eastAsia="Arial" w:hAnsi="Arial"/>
                <w:sz w:val="27"/>
                <w:szCs w:val="27"/>
                <w:b w:val="1"/>
                <w:bCs w:val="1"/>
                <w:color w:val="C8102E"/>
                <w:w w:val="73"/>
              </w:rPr>
              <w:t> </w:t>
            </w:r>
          </w:p>
        </w:tc>
        <w:tc>
          <w:tcPr>
            <w:tcW w:w="500" w:type="dxa"/>
            <w:vAlign w:val="bottom"/>
            <w:shd w:val="clear" w:color="auto" w:fill="C8102E"/>
          </w:tcPr>
          <w:p>
            <w:pPr>
              <w:ind w:left="280"/>
              <w:spacing w:after="0"/>
              <w:rPr>
                <w:sz w:val="20"/>
                <w:szCs w:val="20"/>
                <w:color w:val="auto"/>
              </w:rPr>
            </w:pPr>
            <w:r>
              <w:rPr>
                <w:rFonts w:ascii="Arial" w:cs="Arial" w:eastAsia="Arial" w:hAnsi="Arial"/>
                <w:sz w:val="27"/>
                <w:szCs w:val="27"/>
                <w:b w:val="1"/>
                <w:bCs w:val="1"/>
                <w:color w:val="C8102E"/>
                <w:w w:val="73"/>
              </w:rPr>
              <w:t> </w:t>
            </w:r>
          </w:p>
        </w:tc>
        <w:tc>
          <w:tcPr>
            <w:tcW w:w="560" w:type="dxa"/>
            <w:vAlign w:val="bottom"/>
            <w:shd w:val="clear" w:color="auto" w:fill="C8102E"/>
          </w:tcPr>
          <w:p>
            <w:pPr>
              <w:ind w:left="280"/>
              <w:spacing w:after="0"/>
              <w:rPr>
                <w:sz w:val="20"/>
                <w:szCs w:val="20"/>
                <w:color w:val="auto"/>
              </w:rPr>
            </w:pPr>
            <w:r>
              <w:rPr>
                <w:rFonts w:ascii="Arial" w:cs="Arial" w:eastAsia="Arial" w:hAnsi="Arial"/>
                <w:sz w:val="27"/>
                <w:szCs w:val="27"/>
                <w:b w:val="1"/>
                <w:bCs w:val="1"/>
                <w:color w:val="C8102E"/>
                <w:w w:val="96"/>
              </w:rPr>
              <w:t> </w:t>
            </w:r>
          </w:p>
        </w:tc>
        <w:tc>
          <w:tcPr>
            <w:tcW w:w="500" w:type="dxa"/>
            <w:vAlign w:val="bottom"/>
            <w:shd w:val="clear" w:color="auto" w:fill="C8102E"/>
          </w:tcPr>
          <w:p>
            <w:pPr>
              <w:ind w:left="220"/>
              <w:spacing w:after="0"/>
              <w:rPr>
                <w:sz w:val="20"/>
                <w:szCs w:val="20"/>
                <w:color w:val="auto"/>
              </w:rPr>
            </w:pPr>
            <w:r>
              <w:rPr>
                <w:rFonts w:ascii="Arial" w:cs="Arial" w:eastAsia="Arial" w:hAnsi="Arial"/>
                <w:sz w:val="27"/>
                <w:szCs w:val="27"/>
                <w:b w:val="1"/>
                <w:bCs w:val="1"/>
                <w:color w:val="C8102E"/>
                <w:w w:val="96"/>
              </w:rPr>
              <w:t> </w:t>
            </w:r>
          </w:p>
        </w:tc>
        <w:tc>
          <w:tcPr>
            <w:tcW w:w="500" w:type="dxa"/>
            <w:vAlign w:val="bottom"/>
            <w:shd w:val="clear" w:color="auto" w:fill="C8102E"/>
          </w:tcPr>
          <w:p>
            <w:pPr>
              <w:ind w:left="220"/>
              <w:spacing w:after="0"/>
              <w:rPr>
                <w:sz w:val="20"/>
                <w:szCs w:val="20"/>
                <w:color w:val="auto"/>
              </w:rPr>
            </w:pPr>
            <w:r>
              <w:rPr>
                <w:rFonts w:ascii="Arial" w:cs="Arial" w:eastAsia="Arial" w:hAnsi="Arial"/>
                <w:sz w:val="27"/>
                <w:szCs w:val="27"/>
                <w:b w:val="1"/>
                <w:bCs w:val="1"/>
                <w:color w:val="C8102E"/>
                <w:w w:val="96"/>
              </w:rPr>
              <w:t> </w:t>
            </w:r>
          </w:p>
        </w:tc>
        <w:tc>
          <w:tcPr>
            <w:tcW w:w="500" w:type="dxa"/>
            <w:vAlign w:val="bottom"/>
            <w:shd w:val="clear" w:color="auto" w:fill="C8102E"/>
          </w:tcPr>
          <w:p>
            <w:pPr>
              <w:ind w:left="220"/>
              <w:spacing w:after="0"/>
              <w:rPr>
                <w:sz w:val="20"/>
                <w:szCs w:val="20"/>
                <w:color w:val="auto"/>
              </w:rPr>
            </w:pPr>
            <w:r>
              <w:rPr>
                <w:rFonts w:ascii="Arial" w:cs="Arial" w:eastAsia="Arial" w:hAnsi="Arial"/>
                <w:sz w:val="27"/>
                <w:szCs w:val="27"/>
                <w:b w:val="1"/>
                <w:bCs w:val="1"/>
                <w:color w:val="C8102E"/>
                <w:w w:val="96"/>
              </w:rPr>
              <w:t> </w:t>
            </w:r>
          </w:p>
        </w:tc>
        <w:tc>
          <w:tcPr>
            <w:tcW w:w="200" w:type="dxa"/>
            <w:vAlign w:val="bottom"/>
            <w:shd w:val="clear" w:color="auto" w:fill="E5E5E5"/>
          </w:tcPr>
          <w:p>
            <w:pPr>
              <w:spacing w:after="0"/>
              <w:rPr>
                <w:sz w:val="24"/>
                <w:szCs w:val="24"/>
                <w:color w:val="auto"/>
              </w:rPr>
            </w:pPr>
          </w:p>
        </w:tc>
        <w:tc>
          <w:tcPr>
            <w:tcW w:w="520" w:type="dxa"/>
            <w:vAlign w:val="bottom"/>
            <w:gridSpan w:val="2"/>
            <w:shd w:val="clear" w:color="auto" w:fill="E5E5E5"/>
          </w:tcPr>
          <w:p>
            <w:pPr>
              <w:ind w:left="40"/>
              <w:spacing w:after="0"/>
              <w:rPr>
                <w:sz w:val="20"/>
                <w:szCs w:val="20"/>
                <w:color w:val="auto"/>
              </w:rPr>
            </w:pPr>
            <w:r>
              <w:rPr>
                <w:rFonts w:ascii="Arial" w:cs="Arial" w:eastAsia="Arial" w:hAnsi="Arial"/>
                <w:sz w:val="27"/>
                <w:szCs w:val="27"/>
                <w:b w:val="1"/>
                <w:bCs w:val="1"/>
                <w:color w:val="C8102E"/>
              </w:rPr>
              <w:t> </w:t>
            </w:r>
          </w:p>
        </w:tc>
        <w:tc>
          <w:tcPr>
            <w:tcW w:w="300" w:type="dxa"/>
            <w:vAlign w:val="bottom"/>
            <w:shd w:val="clear" w:color="auto" w:fill="E5E5E5"/>
          </w:tcPr>
          <w:p>
            <w:pPr>
              <w:ind w:left="20"/>
              <w:spacing w:after="0"/>
              <w:rPr>
                <w:sz w:val="20"/>
                <w:szCs w:val="20"/>
                <w:color w:val="auto"/>
              </w:rPr>
            </w:pPr>
            <w:r>
              <w:rPr>
                <w:rFonts w:ascii="Arial" w:cs="Arial" w:eastAsia="Arial" w:hAnsi="Arial"/>
                <w:sz w:val="27"/>
                <w:szCs w:val="27"/>
                <w:b w:val="1"/>
                <w:bCs w:val="1"/>
                <w:color w:val="C8102E"/>
                <w:w w:val="96"/>
              </w:rPr>
              <w:t> </w:t>
            </w:r>
          </w:p>
        </w:tc>
        <w:tc>
          <w:tcPr>
            <w:tcW w:w="520" w:type="dxa"/>
            <w:vAlign w:val="bottom"/>
            <w:shd w:val="clear" w:color="auto" w:fill="E5E5E5"/>
          </w:tcPr>
          <w:p>
            <w:pPr>
              <w:ind w:left="240"/>
              <w:spacing w:after="0"/>
              <w:rPr>
                <w:sz w:val="20"/>
                <w:szCs w:val="20"/>
                <w:color w:val="auto"/>
              </w:rPr>
            </w:pPr>
            <w:r>
              <w:rPr>
                <w:rFonts w:ascii="Arial" w:cs="Arial" w:eastAsia="Arial" w:hAnsi="Arial"/>
                <w:sz w:val="27"/>
                <w:szCs w:val="27"/>
                <w:b w:val="1"/>
                <w:bCs w:val="1"/>
                <w:color w:val="C8102E"/>
                <w:w w:val="96"/>
              </w:rPr>
              <w:t> </w:t>
            </w:r>
          </w:p>
        </w:tc>
        <w:tc>
          <w:tcPr>
            <w:tcW w:w="1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29"/>
                <w:szCs w:val="29"/>
                <w:b w:val="1"/>
                <w:bCs w:val="1"/>
                <w:color w:val="C8102E"/>
              </w:rPr>
              <w:t>7/10</w:t>
            </w:r>
          </w:p>
        </w:tc>
        <w:tc>
          <w:tcPr>
            <w:tcW w:w="0" w:type="dxa"/>
            <w:vAlign w:val="bottom"/>
          </w:tcPr>
          <w:p>
            <w:pPr>
              <w:spacing w:after="0"/>
              <w:rPr>
                <w:sz w:val="1"/>
                <w:szCs w:val="1"/>
                <w:color w:val="auto"/>
              </w:rPr>
            </w:pPr>
          </w:p>
        </w:tc>
      </w:tr>
      <w:tr>
        <w:trPr>
          <w:trHeight w:val="338"/>
        </w:trPr>
        <w:tc>
          <w:tcPr>
            <w:tcW w:w="440" w:type="dxa"/>
            <w:vAlign w:val="bottom"/>
            <w:shd w:val="clear" w:color="auto" w:fill="C8102E"/>
          </w:tcPr>
          <w:p>
            <w:pPr>
              <w:ind w:left="220"/>
              <w:spacing w:after="0"/>
              <w:rPr>
                <w:sz w:val="20"/>
                <w:szCs w:val="20"/>
                <w:color w:val="auto"/>
              </w:rPr>
            </w:pPr>
            <w:r>
              <w:rPr>
                <w:rFonts w:ascii="Arial" w:cs="Arial" w:eastAsia="Arial" w:hAnsi="Arial"/>
                <w:sz w:val="27"/>
                <w:szCs w:val="27"/>
                <w:b w:val="1"/>
                <w:bCs w:val="1"/>
                <w:color w:val="C8102E"/>
                <w:w w:val="73"/>
              </w:rPr>
              <w:t> </w:t>
            </w:r>
          </w:p>
        </w:tc>
        <w:tc>
          <w:tcPr>
            <w:tcW w:w="500" w:type="dxa"/>
            <w:vAlign w:val="bottom"/>
            <w:shd w:val="clear" w:color="auto" w:fill="C8102E"/>
          </w:tcPr>
          <w:p>
            <w:pPr>
              <w:ind w:left="280"/>
              <w:spacing w:after="0"/>
              <w:rPr>
                <w:sz w:val="20"/>
                <w:szCs w:val="20"/>
                <w:color w:val="auto"/>
              </w:rPr>
            </w:pPr>
            <w:r>
              <w:rPr>
                <w:rFonts w:ascii="Arial" w:cs="Arial" w:eastAsia="Arial" w:hAnsi="Arial"/>
                <w:sz w:val="27"/>
                <w:szCs w:val="27"/>
                <w:b w:val="1"/>
                <w:bCs w:val="1"/>
                <w:color w:val="C8102E"/>
                <w:w w:val="73"/>
              </w:rPr>
              <w:t> </w:t>
            </w:r>
          </w:p>
        </w:tc>
        <w:tc>
          <w:tcPr>
            <w:tcW w:w="500" w:type="dxa"/>
            <w:vAlign w:val="bottom"/>
            <w:shd w:val="clear" w:color="auto" w:fill="C8102E"/>
          </w:tcPr>
          <w:p>
            <w:pPr>
              <w:ind w:left="280"/>
              <w:spacing w:after="0"/>
              <w:rPr>
                <w:sz w:val="20"/>
                <w:szCs w:val="20"/>
                <w:color w:val="auto"/>
              </w:rPr>
            </w:pPr>
            <w:r>
              <w:rPr>
                <w:rFonts w:ascii="Arial" w:cs="Arial" w:eastAsia="Arial" w:hAnsi="Arial"/>
                <w:sz w:val="27"/>
                <w:szCs w:val="27"/>
                <w:b w:val="1"/>
                <w:bCs w:val="1"/>
                <w:color w:val="C8102E"/>
                <w:w w:val="73"/>
              </w:rPr>
              <w:t> </w:t>
            </w:r>
          </w:p>
        </w:tc>
        <w:tc>
          <w:tcPr>
            <w:tcW w:w="560" w:type="dxa"/>
            <w:vAlign w:val="bottom"/>
            <w:shd w:val="clear" w:color="auto" w:fill="C8102E"/>
          </w:tcPr>
          <w:p>
            <w:pPr>
              <w:ind w:left="280"/>
              <w:spacing w:after="0"/>
              <w:rPr>
                <w:sz w:val="20"/>
                <w:szCs w:val="20"/>
                <w:color w:val="auto"/>
              </w:rPr>
            </w:pPr>
            <w:r>
              <w:rPr>
                <w:rFonts w:ascii="Arial" w:cs="Arial" w:eastAsia="Arial" w:hAnsi="Arial"/>
                <w:sz w:val="27"/>
                <w:szCs w:val="27"/>
                <w:b w:val="1"/>
                <w:bCs w:val="1"/>
                <w:color w:val="C8102E"/>
                <w:w w:val="96"/>
              </w:rPr>
              <w:t> </w:t>
            </w:r>
          </w:p>
        </w:tc>
        <w:tc>
          <w:tcPr>
            <w:tcW w:w="500" w:type="dxa"/>
            <w:vAlign w:val="bottom"/>
            <w:shd w:val="clear" w:color="auto" w:fill="C8102E"/>
          </w:tcPr>
          <w:p>
            <w:pPr>
              <w:ind w:left="220"/>
              <w:spacing w:after="0"/>
              <w:rPr>
                <w:sz w:val="20"/>
                <w:szCs w:val="20"/>
                <w:color w:val="auto"/>
              </w:rPr>
            </w:pPr>
            <w:r>
              <w:rPr>
                <w:rFonts w:ascii="Arial" w:cs="Arial" w:eastAsia="Arial" w:hAnsi="Arial"/>
                <w:sz w:val="27"/>
                <w:szCs w:val="27"/>
                <w:b w:val="1"/>
                <w:bCs w:val="1"/>
                <w:color w:val="C8102E"/>
                <w:w w:val="96"/>
              </w:rPr>
              <w:t> </w:t>
            </w:r>
          </w:p>
        </w:tc>
        <w:tc>
          <w:tcPr>
            <w:tcW w:w="500" w:type="dxa"/>
            <w:vAlign w:val="bottom"/>
            <w:shd w:val="clear" w:color="auto" w:fill="C8102E"/>
          </w:tcPr>
          <w:p>
            <w:pPr>
              <w:ind w:left="220"/>
              <w:spacing w:after="0"/>
              <w:rPr>
                <w:sz w:val="20"/>
                <w:szCs w:val="20"/>
                <w:color w:val="auto"/>
              </w:rPr>
            </w:pPr>
            <w:r>
              <w:rPr>
                <w:rFonts w:ascii="Arial" w:cs="Arial" w:eastAsia="Arial" w:hAnsi="Arial"/>
                <w:sz w:val="27"/>
                <w:szCs w:val="27"/>
                <w:b w:val="1"/>
                <w:bCs w:val="1"/>
                <w:color w:val="C8102E"/>
                <w:w w:val="96"/>
              </w:rPr>
              <w:t> </w:t>
            </w:r>
          </w:p>
        </w:tc>
        <w:tc>
          <w:tcPr>
            <w:tcW w:w="500" w:type="dxa"/>
            <w:vAlign w:val="bottom"/>
            <w:shd w:val="clear" w:color="auto" w:fill="C8102E"/>
          </w:tcPr>
          <w:p>
            <w:pPr>
              <w:ind w:left="220"/>
              <w:spacing w:after="0"/>
              <w:rPr>
                <w:sz w:val="20"/>
                <w:szCs w:val="20"/>
                <w:color w:val="auto"/>
              </w:rPr>
            </w:pPr>
            <w:r>
              <w:rPr>
                <w:rFonts w:ascii="Arial" w:cs="Arial" w:eastAsia="Arial" w:hAnsi="Arial"/>
                <w:sz w:val="27"/>
                <w:szCs w:val="27"/>
                <w:b w:val="1"/>
                <w:bCs w:val="1"/>
                <w:color w:val="C8102E"/>
                <w:w w:val="96"/>
              </w:rPr>
              <w:t> </w:t>
            </w:r>
          </w:p>
        </w:tc>
        <w:tc>
          <w:tcPr>
            <w:tcW w:w="200" w:type="dxa"/>
            <w:vAlign w:val="bottom"/>
            <w:shd w:val="clear" w:color="auto" w:fill="E5E5E5"/>
          </w:tcPr>
          <w:p>
            <w:pPr>
              <w:spacing w:after="0"/>
              <w:rPr>
                <w:sz w:val="24"/>
                <w:szCs w:val="24"/>
                <w:color w:val="auto"/>
              </w:rPr>
            </w:pPr>
          </w:p>
        </w:tc>
        <w:tc>
          <w:tcPr>
            <w:tcW w:w="520" w:type="dxa"/>
            <w:vAlign w:val="bottom"/>
            <w:gridSpan w:val="2"/>
            <w:shd w:val="clear" w:color="auto" w:fill="E5E5E5"/>
          </w:tcPr>
          <w:p>
            <w:pPr>
              <w:ind w:left="40"/>
              <w:spacing w:after="0"/>
              <w:rPr>
                <w:sz w:val="20"/>
                <w:szCs w:val="20"/>
                <w:color w:val="auto"/>
              </w:rPr>
            </w:pPr>
            <w:r>
              <w:rPr>
                <w:rFonts w:ascii="Arial" w:cs="Arial" w:eastAsia="Arial" w:hAnsi="Arial"/>
                <w:sz w:val="27"/>
                <w:szCs w:val="27"/>
                <w:b w:val="1"/>
                <w:bCs w:val="1"/>
                <w:color w:val="C8102E"/>
              </w:rPr>
              <w:t> </w:t>
            </w:r>
          </w:p>
        </w:tc>
        <w:tc>
          <w:tcPr>
            <w:tcW w:w="300" w:type="dxa"/>
            <w:vAlign w:val="bottom"/>
            <w:shd w:val="clear" w:color="auto" w:fill="E5E5E5"/>
          </w:tcPr>
          <w:p>
            <w:pPr>
              <w:ind w:left="20"/>
              <w:spacing w:after="0"/>
              <w:rPr>
                <w:sz w:val="20"/>
                <w:szCs w:val="20"/>
                <w:color w:val="auto"/>
              </w:rPr>
            </w:pPr>
            <w:r>
              <w:rPr>
                <w:rFonts w:ascii="Arial" w:cs="Arial" w:eastAsia="Arial" w:hAnsi="Arial"/>
                <w:sz w:val="27"/>
                <w:szCs w:val="27"/>
                <w:b w:val="1"/>
                <w:bCs w:val="1"/>
                <w:color w:val="C8102E"/>
                <w:w w:val="96"/>
              </w:rPr>
              <w:t> </w:t>
            </w:r>
          </w:p>
        </w:tc>
        <w:tc>
          <w:tcPr>
            <w:tcW w:w="520" w:type="dxa"/>
            <w:vAlign w:val="bottom"/>
            <w:shd w:val="clear" w:color="auto" w:fill="E5E5E5"/>
          </w:tcPr>
          <w:p>
            <w:pPr>
              <w:ind w:left="240"/>
              <w:spacing w:after="0"/>
              <w:rPr>
                <w:sz w:val="20"/>
                <w:szCs w:val="20"/>
                <w:color w:val="auto"/>
              </w:rPr>
            </w:pPr>
            <w:r>
              <w:rPr>
                <w:rFonts w:ascii="Arial" w:cs="Arial" w:eastAsia="Arial" w:hAnsi="Arial"/>
                <w:sz w:val="27"/>
                <w:szCs w:val="27"/>
                <w:b w:val="1"/>
                <w:bCs w:val="1"/>
                <w:color w:val="C8102E"/>
                <w:w w:val="96"/>
              </w:rPr>
              <w:t> </w:t>
            </w:r>
          </w:p>
        </w:tc>
        <w:tc>
          <w:tcPr>
            <w:tcW w:w="1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29"/>
                <w:szCs w:val="29"/>
                <w:b w:val="1"/>
                <w:bCs w:val="1"/>
                <w:color w:val="C8102E"/>
              </w:rPr>
              <w:t>7/10</w:t>
            </w:r>
          </w:p>
        </w:tc>
        <w:tc>
          <w:tcPr>
            <w:tcW w:w="0" w:type="dxa"/>
            <w:vAlign w:val="bottom"/>
          </w:tcPr>
          <w:p>
            <w:pPr>
              <w:spacing w:after="0"/>
              <w:rPr>
                <w:sz w:val="1"/>
                <w:szCs w:val="1"/>
                <w:color w:val="auto"/>
              </w:rPr>
            </w:pPr>
          </w:p>
        </w:tc>
      </w:tr>
      <w:tr>
        <w:trPr>
          <w:trHeight w:val="338"/>
        </w:trPr>
        <w:tc>
          <w:tcPr>
            <w:tcW w:w="440" w:type="dxa"/>
            <w:vAlign w:val="bottom"/>
            <w:shd w:val="clear" w:color="auto" w:fill="C8102E"/>
          </w:tcPr>
          <w:p>
            <w:pPr>
              <w:ind w:left="220"/>
              <w:spacing w:after="0"/>
              <w:rPr>
                <w:sz w:val="20"/>
                <w:szCs w:val="20"/>
                <w:color w:val="auto"/>
              </w:rPr>
            </w:pPr>
            <w:r>
              <w:rPr>
                <w:rFonts w:ascii="Arial" w:cs="Arial" w:eastAsia="Arial" w:hAnsi="Arial"/>
                <w:sz w:val="27"/>
                <w:szCs w:val="27"/>
                <w:b w:val="1"/>
                <w:bCs w:val="1"/>
                <w:color w:val="C8102E"/>
                <w:w w:val="73"/>
              </w:rPr>
              <w:t> </w:t>
            </w:r>
          </w:p>
        </w:tc>
        <w:tc>
          <w:tcPr>
            <w:tcW w:w="500" w:type="dxa"/>
            <w:vAlign w:val="bottom"/>
            <w:shd w:val="clear" w:color="auto" w:fill="C8102E"/>
          </w:tcPr>
          <w:p>
            <w:pPr>
              <w:ind w:left="280"/>
              <w:spacing w:after="0"/>
              <w:rPr>
                <w:sz w:val="20"/>
                <w:szCs w:val="20"/>
                <w:color w:val="auto"/>
              </w:rPr>
            </w:pPr>
            <w:r>
              <w:rPr>
                <w:rFonts w:ascii="Arial" w:cs="Arial" w:eastAsia="Arial" w:hAnsi="Arial"/>
                <w:sz w:val="27"/>
                <w:szCs w:val="27"/>
                <w:b w:val="1"/>
                <w:bCs w:val="1"/>
                <w:color w:val="C8102E"/>
                <w:w w:val="73"/>
              </w:rPr>
              <w:t> </w:t>
            </w:r>
          </w:p>
        </w:tc>
        <w:tc>
          <w:tcPr>
            <w:tcW w:w="500" w:type="dxa"/>
            <w:vAlign w:val="bottom"/>
            <w:shd w:val="clear" w:color="auto" w:fill="C8102E"/>
          </w:tcPr>
          <w:p>
            <w:pPr>
              <w:ind w:left="280"/>
              <w:spacing w:after="0"/>
              <w:rPr>
                <w:sz w:val="20"/>
                <w:szCs w:val="20"/>
                <w:color w:val="auto"/>
              </w:rPr>
            </w:pPr>
            <w:r>
              <w:rPr>
                <w:rFonts w:ascii="Arial" w:cs="Arial" w:eastAsia="Arial" w:hAnsi="Arial"/>
                <w:sz w:val="27"/>
                <w:szCs w:val="27"/>
                <w:b w:val="1"/>
                <w:bCs w:val="1"/>
                <w:color w:val="C8102E"/>
                <w:w w:val="73"/>
              </w:rPr>
              <w:t> </w:t>
            </w:r>
          </w:p>
        </w:tc>
        <w:tc>
          <w:tcPr>
            <w:tcW w:w="560" w:type="dxa"/>
            <w:vAlign w:val="bottom"/>
            <w:shd w:val="clear" w:color="auto" w:fill="C8102E"/>
          </w:tcPr>
          <w:p>
            <w:pPr>
              <w:ind w:left="280"/>
              <w:spacing w:after="0"/>
              <w:rPr>
                <w:sz w:val="20"/>
                <w:szCs w:val="20"/>
                <w:color w:val="auto"/>
              </w:rPr>
            </w:pPr>
            <w:r>
              <w:rPr>
                <w:rFonts w:ascii="Arial" w:cs="Arial" w:eastAsia="Arial" w:hAnsi="Arial"/>
                <w:sz w:val="27"/>
                <w:szCs w:val="27"/>
                <w:b w:val="1"/>
                <w:bCs w:val="1"/>
                <w:color w:val="C8102E"/>
                <w:w w:val="96"/>
              </w:rPr>
              <w:t> </w:t>
            </w:r>
          </w:p>
        </w:tc>
        <w:tc>
          <w:tcPr>
            <w:tcW w:w="500" w:type="dxa"/>
            <w:vAlign w:val="bottom"/>
            <w:shd w:val="clear" w:color="auto" w:fill="C8102E"/>
          </w:tcPr>
          <w:p>
            <w:pPr>
              <w:ind w:left="220"/>
              <w:spacing w:after="0"/>
              <w:rPr>
                <w:sz w:val="20"/>
                <w:szCs w:val="20"/>
                <w:color w:val="auto"/>
              </w:rPr>
            </w:pPr>
            <w:r>
              <w:rPr>
                <w:rFonts w:ascii="Arial" w:cs="Arial" w:eastAsia="Arial" w:hAnsi="Arial"/>
                <w:sz w:val="27"/>
                <w:szCs w:val="27"/>
                <w:b w:val="1"/>
                <w:bCs w:val="1"/>
                <w:color w:val="C8102E"/>
                <w:w w:val="96"/>
              </w:rPr>
              <w:t> </w:t>
            </w:r>
          </w:p>
        </w:tc>
        <w:tc>
          <w:tcPr>
            <w:tcW w:w="500" w:type="dxa"/>
            <w:vAlign w:val="bottom"/>
            <w:shd w:val="clear" w:color="auto" w:fill="C8102E"/>
          </w:tcPr>
          <w:p>
            <w:pPr>
              <w:ind w:left="220"/>
              <w:spacing w:after="0"/>
              <w:rPr>
                <w:sz w:val="20"/>
                <w:szCs w:val="20"/>
                <w:color w:val="auto"/>
              </w:rPr>
            </w:pPr>
            <w:r>
              <w:rPr>
                <w:rFonts w:ascii="Arial" w:cs="Arial" w:eastAsia="Arial" w:hAnsi="Arial"/>
                <w:sz w:val="27"/>
                <w:szCs w:val="27"/>
                <w:b w:val="1"/>
                <w:bCs w:val="1"/>
                <w:color w:val="C8102E"/>
                <w:w w:val="96"/>
              </w:rPr>
              <w:t> </w:t>
            </w:r>
          </w:p>
        </w:tc>
        <w:tc>
          <w:tcPr>
            <w:tcW w:w="500" w:type="dxa"/>
            <w:vAlign w:val="bottom"/>
            <w:shd w:val="clear" w:color="auto" w:fill="C8102E"/>
          </w:tcPr>
          <w:p>
            <w:pPr>
              <w:ind w:left="220"/>
              <w:spacing w:after="0"/>
              <w:rPr>
                <w:sz w:val="20"/>
                <w:szCs w:val="20"/>
                <w:color w:val="auto"/>
              </w:rPr>
            </w:pPr>
            <w:r>
              <w:rPr>
                <w:rFonts w:ascii="Arial" w:cs="Arial" w:eastAsia="Arial" w:hAnsi="Arial"/>
                <w:sz w:val="27"/>
                <w:szCs w:val="27"/>
                <w:b w:val="1"/>
                <w:bCs w:val="1"/>
                <w:color w:val="C8102E"/>
                <w:w w:val="96"/>
              </w:rPr>
              <w:t> </w:t>
            </w:r>
          </w:p>
        </w:tc>
        <w:tc>
          <w:tcPr>
            <w:tcW w:w="200" w:type="dxa"/>
            <w:vAlign w:val="bottom"/>
            <w:shd w:val="clear" w:color="auto" w:fill="E5E5E5"/>
          </w:tcPr>
          <w:p>
            <w:pPr>
              <w:spacing w:after="0"/>
              <w:rPr>
                <w:sz w:val="24"/>
                <w:szCs w:val="24"/>
                <w:color w:val="auto"/>
              </w:rPr>
            </w:pPr>
          </w:p>
        </w:tc>
        <w:tc>
          <w:tcPr>
            <w:tcW w:w="520" w:type="dxa"/>
            <w:vAlign w:val="bottom"/>
            <w:gridSpan w:val="2"/>
            <w:shd w:val="clear" w:color="auto" w:fill="E5E5E5"/>
          </w:tcPr>
          <w:p>
            <w:pPr>
              <w:ind w:left="40"/>
              <w:spacing w:after="0"/>
              <w:rPr>
                <w:sz w:val="20"/>
                <w:szCs w:val="20"/>
                <w:color w:val="auto"/>
              </w:rPr>
            </w:pPr>
            <w:r>
              <w:rPr>
                <w:rFonts w:ascii="Arial" w:cs="Arial" w:eastAsia="Arial" w:hAnsi="Arial"/>
                <w:sz w:val="27"/>
                <w:szCs w:val="27"/>
                <w:b w:val="1"/>
                <w:bCs w:val="1"/>
                <w:color w:val="C8102E"/>
              </w:rPr>
              <w:t> </w:t>
            </w:r>
          </w:p>
        </w:tc>
        <w:tc>
          <w:tcPr>
            <w:tcW w:w="300" w:type="dxa"/>
            <w:vAlign w:val="bottom"/>
            <w:shd w:val="clear" w:color="auto" w:fill="E5E5E5"/>
          </w:tcPr>
          <w:p>
            <w:pPr>
              <w:ind w:left="20"/>
              <w:spacing w:after="0"/>
              <w:rPr>
                <w:sz w:val="20"/>
                <w:szCs w:val="20"/>
                <w:color w:val="auto"/>
              </w:rPr>
            </w:pPr>
            <w:r>
              <w:rPr>
                <w:rFonts w:ascii="Arial" w:cs="Arial" w:eastAsia="Arial" w:hAnsi="Arial"/>
                <w:sz w:val="27"/>
                <w:szCs w:val="27"/>
                <w:b w:val="1"/>
                <w:bCs w:val="1"/>
                <w:color w:val="C8102E"/>
                <w:w w:val="96"/>
              </w:rPr>
              <w:t> </w:t>
            </w:r>
          </w:p>
        </w:tc>
        <w:tc>
          <w:tcPr>
            <w:tcW w:w="520" w:type="dxa"/>
            <w:vAlign w:val="bottom"/>
            <w:shd w:val="clear" w:color="auto" w:fill="E5E5E5"/>
          </w:tcPr>
          <w:p>
            <w:pPr>
              <w:ind w:left="240"/>
              <w:spacing w:after="0"/>
              <w:rPr>
                <w:sz w:val="20"/>
                <w:szCs w:val="20"/>
                <w:color w:val="auto"/>
              </w:rPr>
            </w:pPr>
            <w:r>
              <w:rPr>
                <w:rFonts w:ascii="Arial" w:cs="Arial" w:eastAsia="Arial" w:hAnsi="Arial"/>
                <w:sz w:val="27"/>
                <w:szCs w:val="27"/>
                <w:b w:val="1"/>
                <w:bCs w:val="1"/>
                <w:color w:val="C8102E"/>
                <w:w w:val="96"/>
              </w:rPr>
              <w:t> </w:t>
            </w:r>
          </w:p>
        </w:tc>
        <w:tc>
          <w:tcPr>
            <w:tcW w:w="1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29"/>
                <w:szCs w:val="29"/>
                <w:b w:val="1"/>
                <w:bCs w:val="1"/>
                <w:color w:val="C8102E"/>
              </w:rPr>
              <w:t>9/10</w:t>
            </w:r>
          </w:p>
        </w:tc>
        <w:tc>
          <w:tcPr>
            <w:tcW w:w="0" w:type="dxa"/>
            <w:vAlign w:val="bottom"/>
          </w:tcPr>
          <w:p>
            <w:pPr>
              <w:spacing w:after="0"/>
              <w:rPr>
                <w:sz w:val="1"/>
                <w:szCs w:val="1"/>
                <w:color w:val="auto"/>
              </w:rPr>
            </w:pPr>
          </w:p>
        </w:tc>
      </w:tr>
      <w:tr>
        <w:trPr>
          <w:trHeight w:val="338"/>
        </w:trPr>
        <w:tc>
          <w:tcPr>
            <w:tcW w:w="440" w:type="dxa"/>
            <w:vAlign w:val="bottom"/>
            <w:shd w:val="clear" w:color="auto" w:fill="C8102E"/>
          </w:tcPr>
          <w:p>
            <w:pPr>
              <w:ind w:left="220"/>
              <w:spacing w:after="0"/>
              <w:rPr>
                <w:sz w:val="20"/>
                <w:szCs w:val="20"/>
                <w:color w:val="auto"/>
              </w:rPr>
            </w:pPr>
            <w:r>
              <w:rPr>
                <w:rFonts w:ascii="Arial" w:cs="Arial" w:eastAsia="Arial" w:hAnsi="Arial"/>
                <w:sz w:val="27"/>
                <w:szCs w:val="27"/>
                <w:b w:val="1"/>
                <w:bCs w:val="1"/>
                <w:color w:val="C8102E"/>
                <w:w w:val="73"/>
              </w:rPr>
              <w:t> </w:t>
            </w:r>
          </w:p>
        </w:tc>
        <w:tc>
          <w:tcPr>
            <w:tcW w:w="500" w:type="dxa"/>
            <w:vAlign w:val="bottom"/>
            <w:shd w:val="clear" w:color="auto" w:fill="C8102E"/>
          </w:tcPr>
          <w:p>
            <w:pPr>
              <w:ind w:left="280"/>
              <w:spacing w:after="0"/>
              <w:rPr>
                <w:sz w:val="20"/>
                <w:szCs w:val="20"/>
                <w:color w:val="auto"/>
              </w:rPr>
            </w:pPr>
            <w:r>
              <w:rPr>
                <w:rFonts w:ascii="Arial" w:cs="Arial" w:eastAsia="Arial" w:hAnsi="Arial"/>
                <w:sz w:val="27"/>
                <w:szCs w:val="27"/>
                <w:b w:val="1"/>
                <w:bCs w:val="1"/>
                <w:color w:val="C8102E"/>
                <w:w w:val="73"/>
              </w:rPr>
              <w:t> </w:t>
            </w:r>
          </w:p>
        </w:tc>
        <w:tc>
          <w:tcPr>
            <w:tcW w:w="500" w:type="dxa"/>
            <w:vAlign w:val="bottom"/>
            <w:shd w:val="clear" w:color="auto" w:fill="C8102E"/>
          </w:tcPr>
          <w:p>
            <w:pPr>
              <w:ind w:left="280"/>
              <w:spacing w:after="0"/>
              <w:rPr>
                <w:sz w:val="20"/>
                <w:szCs w:val="20"/>
                <w:color w:val="auto"/>
              </w:rPr>
            </w:pPr>
            <w:r>
              <w:rPr>
                <w:rFonts w:ascii="Arial" w:cs="Arial" w:eastAsia="Arial" w:hAnsi="Arial"/>
                <w:sz w:val="27"/>
                <w:szCs w:val="27"/>
                <w:b w:val="1"/>
                <w:bCs w:val="1"/>
                <w:color w:val="C8102E"/>
                <w:w w:val="73"/>
              </w:rPr>
              <w:t> </w:t>
            </w:r>
          </w:p>
        </w:tc>
        <w:tc>
          <w:tcPr>
            <w:tcW w:w="560" w:type="dxa"/>
            <w:vAlign w:val="bottom"/>
            <w:shd w:val="clear" w:color="auto" w:fill="C8102E"/>
          </w:tcPr>
          <w:p>
            <w:pPr>
              <w:ind w:left="280"/>
              <w:spacing w:after="0"/>
              <w:rPr>
                <w:sz w:val="20"/>
                <w:szCs w:val="20"/>
                <w:color w:val="auto"/>
              </w:rPr>
            </w:pPr>
            <w:r>
              <w:rPr>
                <w:rFonts w:ascii="Arial" w:cs="Arial" w:eastAsia="Arial" w:hAnsi="Arial"/>
                <w:sz w:val="27"/>
                <w:szCs w:val="27"/>
                <w:b w:val="1"/>
                <w:bCs w:val="1"/>
                <w:color w:val="C8102E"/>
                <w:w w:val="96"/>
              </w:rPr>
              <w:t> </w:t>
            </w:r>
          </w:p>
        </w:tc>
        <w:tc>
          <w:tcPr>
            <w:tcW w:w="500" w:type="dxa"/>
            <w:vAlign w:val="bottom"/>
            <w:shd w:val="clear" w:color="auto" w:fill="C8102E"/>
          </w:tcPr>
          <w:p>
            <w:pPr>
              <w:ind w:left="220"/>
              <w:spacing w:after="0"/>
              <w:rPr>
                <w:sz w:val="20"/>
                <w:szCs w:val="20"/>
                <w:color w:val="auto"/>
              </w:rPr>
            </w:pPr>
            <w:r>
              <w:rPr>
                <w:rFonts w:ascii="Arial" w:cs="Arial" w:eastAsia="Arial" w:hAnsi="Arial"/>
                <w:sz w:val="27"/>
                <w:szCs w:val="27"/>
                <w:b w:val="1"/>
                <w:bCs w:val="1"/>
                <w:color w:val="C8102E"/>
                <w:w w:val="96"/>
              </w:rPr>
              <w:t> </w:t>
            </w:r>
          </w:p>
        </w:tc>
        <w:tc>
          <w:tcPr>
            <w:tcW w:w="500" w:type="dxa"/>
            <w:vAlign w:val="bottom"/>
            <w:shd w:val="clear" w:color="auto" w:fill="C8102E"/>
          </w:tcPr>
          <w:p>
            <w:pPr>
              <w:ind w:left="220"/>
              <w:spacing w:after="0"/>
              <w:rPr>
                <w:sz w:val="20"/>
                <w:szCs w:val="20"/>
                <w:color w:val="auto"/>
              </w:rPr>
            </w:pPr>
            <w:r>
              <w:rPr>
                <w:rFonts w:ascii="Arial" w:cs="Arial" w:eastAsia="Arial" w:hAnsi="Arial"/>
                <w:sz w:val="27"/>
                <w:szCs w:val="27"/>
                <w:b w:val="1"/>
                <w:bCs w:val="1"/>
                <w:color w:val="C8102E"/>
                <w:w w:val="96"/>
              </w:rPr>
              <w:t> </w:t>
            </w:r>
          </w:p>
        </w:tc>
        <w:tc>
          <w:tcPr>
            <w:tcW w:w="500" w:type="dxa"/>
            <w:vAlign w:val="bottom"/>
            <w:shd w:val="clear" w:color="auto" w:fill="C8102E"/>
          </w:tcPr>
          <w:p>
            <w:pPr>
              <w:ind w:left="220"/>
              <w:spacing w:after="0"/>
              <w:rPr>
                <w:sz w:val="20"/>
                <w:szCs w:val="20"/>
                <w:color w:val="auto"/>
              </w:rPr>
            </w:pPr>
            <w:r>
              <w:rPr>
                <w:rFonts w:ascii="Arial" w:cs="Arial" w:eastAsia="Arial" w:hAnsi="Arial"/>
                <w:sz w:val="27"/>
                <w:szCs w:val="27"/>
                <w:b w:val="1"/>
                <w:bCs w:val="1"/>
                <w:color w:val="C8102E"/>
                <w:w w:val="96"/>
              </w:rPr>
              <w:t> </w:t>
            </w:r>
          </w:p>
        </w:tc>
        <w:tc>
          <w:tcPr>
            <w:tcW w:w="200" w:type="dxa"/>
            <w:vAlign w:val="bottom"/>
            <w:shd w:val="clear" w:color="auto" w:fill="C8102E"/>
          </w:tcPr>
          <w:p>
            <w:pPr>
              <w:spacing w:after="0"/>
              <w:rPr>
                <w:sz w:val="24"/>
                <w:szCs w:val="24"/>
                <w:color w:val="auto"/>
              </w:rPr>
            </w:pPr>
          </w:p>
        </w:tc>
        <w:tc>
          <w:tcPr>
            <w:tcW w:w="520" w:type="dxa"/>
            <w:vAlign w:val="bottom"/>
            <w:gridSpan w:val="2"/>
            <w:shd w:val="clear" w:color="auto" w:fill="C8102E"/>
          </w:tcPr>
          <w:p>
            <w:pPr>
              <w:ind w:left="40"/>
              <w:spacing w:after="0"/>
              <w:rPr>
                <w:sz w:val="20"/>
                <w:szCs w:val="20"/>
                <w:color w:val="auto"/>
              </w:rPr>
            </w:pPr>
            <w:r>
              <w:rPr>
                <w:rFonts w:ascii="Arial" w:cs="Arial" w:eastAsia="Arial" w:hAnsi="Arial"/>
                <w:sz w:val="27"/>
                <w:szCs w:val="27"/>
                <w:b w:val="1"/>
                <w:bCs w:val="1"/>
                <w:color w:val="C8102E"/>
              </w:rPr>
              <w:t> </w:t>
            </w:r>
          </w:p>
        </w:tc>
        <w:tc>
          <w:tcPr>
            <w:tcW w:w="300" w:type="dxa"/>
            <w:vAlign w:val="bottom"/>
            <w:shd w:val="clear" w:color="auto" w:fill="C8102E"/>
          </w:tcPr>
          <w:p>
            <w:pPr>
              <w:ind w:left="20"/>
              <w:spacing w:after="0"/>
              <w:rPr>
                <w:sz w:val="20"/>
                <w:szCs w:val="20"/>
                <w:color w:val="auto"/>
              </w:rPr>
            </w:pPr>
            <w:r>
              <w:rPr>
                <w:rFonts w:ascii="Arial" w:cs="Arial" w:eastAsia="Arial" w:hAnsi="Arial"/>
                <w:sz w:val="27"/>
                <w:szCs w:val="27"/>
                <w:b w:val="1"/>
                <w:bCs w:val="1"/>
                <w:color w:val="C8102E"/>
                <w:w w:val="96"/>
              </w:rPr>
              <w:t> </w:t>
            </w:r>
          </w:p>
        </w:tc>
        <w:tc>
          <w:tcPr>
            <w:tcW w:w="520" w:type="dxa"/>
            <w:vAlign w:val="bottom"/>
            <w:shd w:val="clear" w:color="auto" w:fill="E5E5E5"/>
          </w:tcPr>
          <w:p>
            <w:pPr>
              <w:ind w:left="240"/>
              <w:spacing w:after="0"/>
              <w:rPr>
                <w:sz w:val="20"/>
                <w:szCs w:val="20"/>
                <w:color w:val="auto"/>
              </w:rPr>
            </w:pPr>
            <w:r>
              <w:rPr>
                <w:rFonts w:ascii="Arial" w:cs="Arial" w:eastAsia="Arial" w:hAnsi="Arial"/>
                <w:sz w:val="27"/>
                <w:szCs w:val="27"/>
                <w:b w:val="1"/>
                <w:bCs w:val="1"/>
                <w:color w:val="C8102E"/>
                <w:w w:val="96"/>
              </w:rPr>
              <w:t> </w:t>
            </w:r>
          </w:p>
        </w:tc>
        <w:tc>
          <w:tcPr>
            <w:tcW w:w="1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29"/>
                <w:szCs w:val="29"/>
                <w:b w:val="1"/>
                <w:bCs w:val="1"/>
                <w:color w:val="C8102E"/>
              </w:rPr>
              <w:t>9/10</w:t>
            </w:r>
          </w:p>
        </w:tc>
        <w:tc>
          <w:tcPr>
            <w:tcW w:w="0" w:type="dxa"/>
            <w:vAlign w:val="bottom"/>
          </w:tcPr>
          <w:p>
            <w:pPr>
              <w:spacing w:after="0"/>
              <w:rPr>
                <w:sz w:val="1"/>
                <w:szCs w:val="1"/>
                <w:color w:val="auto"/>
              </w:rPr>
            </w:pPr>
          </w:p>
        </w:tc>
      </w:tr>
      <w:tr>
        <w:trPr>
          <w:trHeight w:val="338"/>
        </w:trPr>
        <w:tc>
          <w:tcPr>
            <w:tcW w:w="440" w:type="dxa"/>
            <w:vAlign w:val="bottom"/>
            <w:shd w:val="clear" w:color="auto" w:fill="C8102E"/>
          </w:tcPr>
          <w:p>
            <w:pPr>
              <w:ind w:left="100"/>
              <w:spacing w:after="0"/>
              <w:rPr>
                <w:sz w:val="20"/>
                <w:szCs w:val="20"/>
                <w:color w:val="auto"/>
              </w:rPr>
            </w:pPr>
            <w:r>
              <w:rPr>
                <w:rFonts w:ascii="Arial" w:cs="Arial" w:eastAsia="Arial" w:hAnsi="Arial"/>
                <w:sz w:val="27"/>
                <w:szCs w:val="27"/>
                <w:b w:val="1"/>
                <w:bCs w:val="1"/>
                <w:color w:val="C8102E"/>
              </w:rPr>
              <w:t> </w:t>
            </w:r>
          </w:p>
        </w:tc>
        <w:tc>
          <w:tcPr>
            <w:tcW w:w="500" w:type="dxa"/>
            <w:vAlign w:val="bottom"/>
            <w:shd w:val="clear" w:color="auto" w:fill="C8102E"/>
          </w:tcPr>
          <w:p>
            <w:pPr>
              <w:ind w:left="160"/>
              <w:spacing w:after="0"/>
              <w:rPr>
                <w:sz w:val="20"/>
                <w:szCs w:val="20"/>
                <w:color w:val="auto"/>
              </w:rPr>
            </w:pPr>
            <w:r>
              <w:rPr>
                <w:rFonts w:ascii="Arial" w:cs="Arial" w:eastAsia="Arial" w:hAnsi="Arial"/>
                <w:sz w:val="27"/>
                <w:szCs w:val="27"/>
                <w:b w:val="1"/>
                <w:bCs w:val="1"/>
                <w:color w:val="C8102E"/>
              </w:rPr>
              <w:t> </w:t>
            </w:r>
          </w:p>
        </w:tc>
        <w:tc>
          <w:tcPr>
            <w:tcW w:w="500" w:type="dxa"/>
            <w:vAlign w:val="bottom"/>
            <w:shd w:val="clear" w:color="auto" w:fill="C8102E"/>
          </w:tcPr>
          <w:p>
            <w:pPr>
              <w:ind w:left="160"/>
              <w:spacing w:after="0"/>
              <w:rPr>
                <w:sz w:val="20"/>
                <w:szCs w:val="20"/>
                <w:color w:val="auto"/>
              </w:rPr>
            </w:pPr>
            <w:r>
              <w:rPr>
                <w:rFonts w:ascii="Arial" w:cs="Arial" w:eastAsia="Arial" w:hAnsi="Arial"/>
                <w:sz w:val="27"/>
                <w:szCs w:val="27"/>
                <w:b w:val="1"/>
                <w:bCs w:val="1"/>
                <w:color w:val="C8102E"/>
              </w:rPr>
              <w:t> </w:t>
            </w:r>
          </w:p>
        </w:tc>
        <w:tc>
          <w:tcPr>
            <w:tcW w:w="560" w:type="dxa"/>
            <w:vAlign w:val="bottom"/>
            <w:shd w:val="clear" w:color="auto" w:fill="C8102E"/>
          </w:tcPr>
          <w:p>
            <w:pPr>
              <w:ind w:left="160"/>
              <w:spacing w:after="0"/>
              <w:rPr>
                <w:sz w:val="20"/>
                <w:szCs w:val="20"/>
                <w:color w:val="auto"/>
              </w:rPr>
            </w:pPr>
            <w:r>
              <w:rPr>
                <w:rFonts w:ascii="Arial" w:cs="Arial" w:eastAsia="Arial" w:hAnsi="Arial"/>
                <w:sz w:val="27"/>
                <w:szCs w:val="27"/>
                <w:b w:val="1"/>
                <w:bCs w:val="1"/>
                <w:color w:val="C8102E"/>
              </w:rPr>
              <w:t> </w:t>
            </w:r>
          </w:p>
        </w:tc>
        <w:tc>
          <w:tcPr>
            <w:tcW w:w="500" w:type="dxa"/>
            <w:vAlign w:val="bottom"/>
            <w:shd w:val="clear" w:color="auto" w:fill="C8102E"/>
          </w:tcPr>
          <w:p>
            <w:pPr>
              <w:ind w:left="100"/>
              <w:spacing w:after="0"/>
              <w:rPr>
                <w:sz w:val="20"/>
                <w:szCs w:val="20"/>
                <w:color w:val="auto"/>
              </w:rPr>
            </w:pPr>
            <w:r>
              <w:rPr>
                <w:rFonts w:ascii="Arial" w:cs="Arial" w:eastAsia="Arial" w:hAnsi="Arial"/>
                <w:sz w:val="27"/>
                <w:szCs w:val="27"/>
                <w:b w:val="1"/>
                <w:bCs w:val="1"/>
                <w:color w:val="C8102E"/>
              </w:rPr>
              <w:t> </w:t>
            </w:r>
          </w:p>
        </w:tc>
        <w:tc>
          <w:tcPr>
            <w:tcW w:w="500" w:type="dxa"/>
            <w:vAlign w:val="bottom"/>
            <w:shd w:val="clear" w:color="auto" w:fill="C8102E"/>
          </w:tcPr>
          <w:p>
            <w:pPr>
              <w:ind w:left="100"/>
              <w:spacing w:after="0"/>
              <w:rPr>
                <w:sz w:val="20"/>
                <w:szCs w:val="20"/>
                <w:color w:val="auto"/>
              </w:rPr>
            </w:pPr>
            <w:r>
              <w:rPr>
                <w:rFonts w:ascii="Arial" w:cs="Arial" w:eastAsia="Arial" w:hAnsi="Arial"/>
                <w:sz w:val="27"/>
                <w:szCs w:val="27"/>
                <w:b w:val="1"/>
                <w:bCs w:val="1"/>
                <w:color w:val="C8102E"/>
              </w:rPr>
              <w:t> </w:t>
            </w:r>
          </w:p>
        </w:tc>
        <w:tc>
          <w:tcPr>
            <w:tcW w:w="500" w:type="dxa"/>
            <w:vAlign w:val="bottom"/>
            <w:shd w:val="clear" w:color="auto" w:fill="C8102E"/>
          </w:tcPr>
          <w:p>
            <w:pPr>
              <w:ind w:left="100"/>
              <w:spacing w:after="0"/>
              <w:rPr>
                <w:sz w:val="20"/>
                <w:szCs w:val="20"/>
                <w:color w:val="auto"/>
              </w:rPr>
            </w:pPr>
            <w:r>
              <w:rPr>
                <w:rFonts w:ascii="Arial" w:cs="Arial" w:eastAsia="Arial" w:hAnsi="Arial"/>
                <w:sz w:val="27"/>
                <w:szCs w:val="27"/>
                <w:b w:val="1"/>
                <w:bCs w:val="1"/>
                <w:color w:val="C8102E"/>
              </w:rPr>
              <w:t> </w:t>
            </w:r>
          </w:p>
        </w:tc>
        <w:tc>
          <w:tcPr>
            <w:tcW w:w="200" w:type="dxa"/>
            <w:vAlign w:val="bottom"/>
            <w:shd w:val="clear" w:color="auto" w:fill="C8102E"/>
          </w:tcPr>
          <w:p>
            <w:pPr>
              <w:ind w:left="100"/>
              <w:spacing w:after="0"/>
              <w:rPr>
                <w:sz w:val="20"/>
                <w:szCs w:val="20"/>
                <w:color w:val="auto"/>
              </w:rPr>
            </w:pPr>
            <w:r>
              <w:rPr>
                <w:rFonts w:ascii="Arial" w:cs="Arial" w:eastAsia="Arial" w:hAnsi="Arial"/>
                <w:sz w:val="11"/>
                <w:szCs w:val="11"/>
                <w:b w:val="1"/>
                <w:bCs w:val="1"/>
                <w:color w:val="C8102E"/>
                <w:w w:val="72"/>
              </w:rPr>
              <w:t> </w:t>
            </w:r>
          </w:p>
        </w:tc>
        <w:tc>
          <w:tcPr>
            <w:tcW w:w="420" w:type="dxa"/>
            <w:vAlign w:val="bottom"/>
            <w:shd w:val="clear" w:color="auto" w:fill="C8102E"/>
          </w:tcPr>
          <w:p>
            <w:pPr>
              <w:spacing w:after="0"/>
              <w:rPr>
                <w:sz w:val="24"/>
                <w:szCs w:val="24"/>
                <w:color w:val="auto"/>
              </w:rPr>
            </w:pPr>
          </w:p>
        </w:tc>
        <w:tc>
          <w:tcPr>
            <w:tcW w:w="100" w:type="dxa"/>
            <w:vAlign w:val="bottom"/>
            <w:shd w:val="clear" w:color="auto" w:fill="C8102E"/>
          </w:tcPr>
          <w:p>
            <w:pPr>
              <w:spacing w:after="0"/>
              <w:rPr>
                <w:sz w:val="20"/>
                <w:szCs w:val="20"/>
                <w:color w:val="auto"/>
              </w:rPr>
            </w:pPr>
            <w:r>
              <w:rPr>
                <w:rFonts w:ascii="Arial" w:cs="Arial" w:eastAsia="Arial" w:hAnsi="Arial"/>
                <w:sz w:val="11"/>
                <w:szCs w:val="11"/>
                <w:b w:val="1"/>
                <w:bCs w:val="1"/>
                <w:color w:val="C8102E"/>
                <w:w w:val="72"/>
              </w:rPr>
              <w:t> </w:t>
            </w:r>
          </w:p>
        </w:tc>
        <w:tc>
          <w:tcPr>
            <w:tcW w:w="300" w:type="dxa"/>
            <w:vAlign w:val="bottom"/>
            <w:shd w:val="clear" w:color="auto" w:fill="C8102E"/>
          </w:tcPr>
          <w:p>
            <w:pPr>
              <w:spacing w:after="0"/>
              <w:rPr>
                <w:sz w:val="24"/>
                <w:szCs w:val="24"/>
                <w:color w:val="auto"/>
              </w:rPr>
            </w:pPr>
          </w:p>
        </w:tc>
        <w:tc>
          <w:tcPr>
            <w:tcW w:w="520" w:type="dxa"/>
            <w:vAlign w:val="bottom"/>
            <w:shd w:val="clear" w:color="auto" w:fill="E5E5E5"/>
          </w:tcPr>
          <w:p>
            <w:pPr>
              <w:ind w:left="240"/>
              <w:spacing w:after="0"/>
              <w:rPr>
                <w:sz w:val="20"/>
                <w:szCs w:val="20"/>
                <w:color w:val="auto"/>
              </w:rPr>
            </w:pPr>
            <w:r>
              <w:rPr>
                <w:rFonts w:ascii="Arial" w:cs="Arial" w:eastAsia="Arial" w:hAnsi="Arial"/>
                <w:sz w:val="27"/>
                <w:szCs w:val="27"/>
                <w:b w:val="1"/>
                <w:bCs w:val="1"/>
                <w:color w:val="C8102E"/>
                <w:w w:val="96"/>
              </w:rPr>
              <w:t> </w:t>
            </w:r>
          </w:p>
        </w:tc>
        <w:tc>
          <w:tcPr>
            <w:tcW w:w="1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29"/>
                <w:szCs w:val="29"/>
                <w:b w:val="1"/>
                <w:bCs w:val="1"/>
                <w:color w:val="C5102D"/>
              </w:rPr>
              <w:t>10/10</w:t>
            </w:r>
          </w:p>
        </w:tc>
        <w:tc>
          <w:tcPr>
            <w:tcW w:w="0" w:type="dxa"/>
            <w:vAlign w:val="bottom"/>
          </w:tcPr>
          <w:p>
            <w:pPr>
              <w:spacing w:after="0"/>
              <w:rPr>
                <w:sz w:val="1"/>
                <w:szCs w:val="1"/>
                <w:color w:val="auto"/>
              </w:rPr>
            </w:pPr>
          </w:p>
        </w:tc>
      </w:tr>
      <w:tr>
        <w:trPr>
          <w:trHeight w:val="338"/>
        </w:trPr>
        <w:tc>
          <w:tcPr>
            <w:tcW w:w="440" w:type="dxa"/>
            <w:vAlign w:val="bottom"/>
            <w:shd w:val="clear" w:color="auto" w:fill="C8102E"/>
          </w:tcPr>
          <w:p>
            <w:pPr>
              <w:ind w:left="220"/>
              <w:spacing w:after="0"/>
              <w:rPr>
                <w:sz w:val="20"/>
                <w:szCs w:val="20"/>
                <w:color w:val="auto"/>
              </w:rPr>
            </w:pPr>
            <w:r>
              <w:rPr>
                <w:rFonts w:ascii="Arial" w:cs="Arial" w:eastAsia="Arial" w:hAnsi="Arial"/>
                <w:sz w:val="27"/>
                <w:szCs w:val="27"/>
                <w:b w:val="1"/>
                <w:bCs w:val="1"/>
                <w:color w:val="auto"/>
                <w:w w:val="73"/>
              </w:rPr>
              <w:t> </w:t>
            </w:r>
          </w:p>
        </w:tc>
        <w:tc>
          <w:tcPr>
            <w:tcW w:w="500" w:type="dxa"/>
            <w:vAlign w:val="bottom"/>
            <w:shd w:val="clear" w:color="auto" w:fill="C8102E"/>
          </w:tcPr>
          <w:p>
            <w:pPr>
              <w:ind w:left="280"/>
              <w:spacing w:after="0"/>
              <w:rPr>
                <w:sz w:val="20"/>
                <w:szCs w:val="20"/>
                <w:color w:val="auto"/>
              </w:rPr>
            </w:pPr>
            <w:r>
              <w:rPr>
                <w:rFonts w:ascii="Arial" w:cs="Arial" w:eastAsia="Arial" w:hAnsi="Arial"/>
                <w:sz w:val="27"/>
                <w:szCs w:val="27"/>
                <w:b w:val="1"/>
                <w:bCs w:val="1"/>
                <w:color w:val="auto"/>
                <w:w w:val="73"/>
              </w:rPr>
              <w:t> </w:t>
            </w:r>
          </w:p>
        </w:tc>
        <w:tc>
          <w:tcPr>
            <w:tcW w:w="500" w:type="dxa"/>
            <w:vAlign w:val="bottom"/>
            <w:shd w:val="clear" w:color="auto" w:fill="C8102E"/>
          </w:tcPr>
          <w:p>
            <w:pPr>
              <w:ind w:left="280"/>
              <w:spacing w:after="0"/>
              <w:rPr>
                <w:sz w:val="20"/>
                <w:szCs w:val="20"/>
                <w:color w:val="auto"/>
              </w:rPr>
            </w:pPr>
            <w:r>
              <w:rPr>
                <w:rFonts w:ascii="Arial" w:cs="Arial" w:eastAsia="Arial" w:hAnsi="Arial"/>
                <w:sz w:val="27"/>
                <w:szCs w:val="27"/>
                <w:b w:val="1"/>
                <w:bCs w:val="1"/>
                <w:color w:val="auto"/>
                <w:w w:val="73"/>
              </w:rPr>
              <w:t> </w:t>
            </w:r>
          </w:p>
        </w:tc>
        <w:tc>
          <w:tcPr>
            <w:tcW w:w="560" w:type="dxa"/>
            <w:vAlign w:val="bottom"/>
            <w:shd w:val="clear" w:color="auto" w:fill="C8102E"/>
          </w:tcPr>
          <w:p>
            <w:pPr>
              <w:ind w:left="280"/>
              <w:spacing w:after="0"/>
              <w:rPr>
                <w:sz w:val="20"/>
                <w:szCs w:val="20"/>
                <w:color w:val="auto"/>
              </w:rPr>
            </w:pPr>
            <w:r>
              <w:rPr>
                <w:rFonts w:ascii="Arial" w:cs="Arial" w:eastAsia="Arial" w:hAnsi="Arial"/>
                <w:sz w:val="27"/>
                <w:szCs w:val="27"/>
                <w:b w:val="1"/>
                <w:bCs w:val="1"/>
                <w:color w:val="auto"/>
                <w:w w:val="96"/>
              </w:rPr>
              <w:t> </w:t>
            </w:r>
          </w:p>
        </w:tc>
        <w:tc>
          <w:tcPr>
            <w:tcW w:w="500" w:type="dxa"/>
            <w:vAlign w:val="bottom"/>
            <w:shd w:val="clear" w:color="auto" w:fill="C8102E"/>
          </w:tcPr>
          <w:p>
            <w:pPr>
              <w:ind w:left="220"/>
              <w:spacing w:after="0"/>
              <w:rPr>
                <w:sz w:val="20"/>
                <w:szCs w:val="20"/>
                <w:color w:val="auto"/>
              </w:rPr>
            </w:pPr>
            <w:r>
              <w:rPr>
                <w:rFonts w:ascii="Arial" w:cs="Arial" w:eastAsia="Arial" w:hAnsi="Arial"/>
                <w:sz w:val="27"/>
                <w:szCs w:val="27"/>
                <w:b w:val="1"/>
                <w:bCs w:val="1"/>
                <w:color w:val="auto"/>
                <w:w w:val="96"/>
              </w:rPr>
              <w:t> </w:t>
            </w:r>
          </w:p>
        </w:tc>
        <w:tc>
          <w:tcPr>
            <w:tcW w:w="500" w:type="dxa"/>
            <w:vAlign w:val="bottom"/>
            <w:shd w:val="clear" w:color="auto" w:fill="C8102E"/>
          </w:tcPr>
          <w:p>
            <w:pPr>
              <w:ind w:left="220"/>
              <w:spacing w:after="0"/>
              <w:rPr>
                <w:sz w:val="20"/>
                <w:szCs w:val="20"/>
                <w:color w:val="auto"/>
              </w:rPr>
            </w:pPr>
            <w:r>
              <w:rPr>
                <w:rFonts w:ascii="Arial" w:cs="Arial" w:eastAsia="Arial" w:hAnsi="Arial"/>
                <w:sz w:val="27"/>
                <w:szCs w:val="27"/>
                <w:b w:val="1"/>
                <w:bCs w:val="1"/>
                <w:color w:val="auto"/>
                <w:w w:val="96"/>
              </w:rPr>
              <w:t> </w:t>
            </w:r>
          </w:p>
        </w:tc>
        <w:tc>
          <w:tcPr>
            <w:tcW w:w="500" w:type="dxa"/>
            <w:vAlign w:val="bottom"/>
            <w:shd w:val="clear" w:color="auto" w:fill="C8102E"/>
          </w:tcPr>
          <w:p>
            <w:pPr>
              <w:ind w:left="220"/>
              <w:spacing w:after="0"/>
              <w:rPr>
                <w:sz w:val="20"/>
                <w:szCs w:val="20"/>
                <w:color w:val="auto"/>
              </w:rPr>
            </w:pPr>
            <w:r>
              <w:rPr>
                <w:rFonts w:ascii="Arial" w:cs="Arial" w:eastAsia="Arial" w:hAnsi="Arial"/>
                <w:sz w:val="27"/>
                <w:szCs w:val="27"/>
                <w:b w:val="1"/>
                <w:bCs w:val="1"/>
                <w:color w:val="auto"/>
                <w:w w:val="96"/>
              </w:rPr>
              <w:t> </w:t>
            </w:r>
          </w:p>
        </w:tc>
        <w:tc>
          <w:tcPr>
            <w:tcW w:w="200" w:type="dxa"/>
            <w:vAlign w:val="bottom"/>
            <w:shd w:val="clear" w:color="auto" w:fill="C8102E"/>
          </w:tcPr>
          <w:p>
            <w:pPr>
              <w:spacing w:after="0"/>
              <w:rPr>
                <w:sz w:val="24"/>
                <w:szCs w:val="24"/>
                <w:color w:val="auto"/>
              </w:rPr>
            </w:pPr>
          </w:p>
        </w:tc>
        <w:tc>
          <w:tcPr>
            <w:tcW w:w="420" w:type="dxa"/>
            <w:vAlign w:val="bottom"/>
            <w:shd w:val="clear" w:color="auto" w:fill="C8102E"/>
          </w:tcPr>
          <w:p>
            <w:pPr>
              <w:ind w:left="40"/>
              <w:spacing w:after="0"/>
              <w:rPr>
                <w:sz w:val="20"/>
                <w:szCs w:val="20"/>
                <w:color w:val="auto"/>
              </w:rPr>
            </w:pPr>
            <w:r>
              <w:rPr>
                <w:rFonts w:ascii="Arial" w:cs="Arial" w:eastAsia="Arial" w:hAnsi="Arial"/>
                <w:sz w:val="27"/>
                <w:szCs w:val="27"/>
                <w:b w:val="1"/>
                <w:bCs w:val="1"/>
                <w:color w:val="auto"/>
              </w:rPr>
              <w:t> </w:t>
            </w:r>
          </w:p>
        </w:tc>
        <w:tc>
          <w:tcPr>
            <w:tcW w:w="100" w:type="dxa"/>
            <w:vAlign w:val="bottom"/>
            <w:shd w:val="clear" w:color="auto" w:fill="C80F2D"/>
          </w:tcPr>
          <w:p>
            <w:pPr>
              <w:spacing w:after="0"/>
              <w:rPr>
                <w:sz w:val="24"/>
                <w:szCs w:val="24"/>
                <w:color w:val="auto"/>
              </w:rPr>
            </w:pPr>
          </w:p>
        </w:tc>
        <w:tc>
          <w:tcPr>
            <w:tcW w:w="300" w:type="dxa"/>
            <w:vAlign w:val="bottom"/>
            <w:shd w:val="clear" w:color="auto" w:fill="C80F2D"/>
          </w:tcPr>
          <w:p>
            <w:pPr>
              <w:ind w:left="20"/>
              <w:spacing w:after="0"/>
              <w:rPr>
                <w:sz w:val="20"/>
                <w:szCs w:val="20"/>
                <w:color w:val="auto"/>
              </w:rPr>
            </w:pPr>
            <w:r>
              <w:rPr>
                <w:rFonts w:ascii="Arial" w:cs="Arial" w:eastAsia="Arial" w:hAnsi="Arial"/>
                <w:sz w:val="27"/>
                <w:szCs w:val="27"/>
                <w:b w:val="1"/>
                <w:bCs w:val="1"/>
                <w:color w:val="auto"/>
                <w:w w:val="96"/>
              </w:rPr>
              <w:t> </w:t>
            </w:r>
          </w:p>
        </w:tc>
        <w:tc>
          <w:tcPr>
            <w:tcW w:w="520" w:type="dxa"/>
            <w:vAlign w:val="bottom"/>
            <w:shd w:val="clear" w:color="auto" w:fill="C8102E"/>
          </w:tcPr>
          <w:p>
            <w:pPr>
              <w:ind w:left="240"/>
              <w:spacing w:after="0"/>
              <w:rPr>
                <w:sz w:val="20"/>
                <w:szCs w:val="20"/>
                <w:color w:val="auto"/>
              </w:rPr>
            </w:pPr>
            <w:r>
              <w:rPr>
                <w:rFonts w:ascii="Arial" w:cs="Arial" w:eastAsia="Arial" w:hAnsi="Arial"/>
                <w:sz w:val="27"/>
                <w:szCs w:val="27"/>
                <w:b w:val="1"/>
                <w:bCs w:val="1"/>
                <w:color w:val="auto"/>
                <w:w w:val="96"/>
              </w:rPr>
              <w:t> </w:t>
            </w:r>
          </w:p>
        </w:tc>
        <w:tc>
          <w:tcPr>
            <w:tcW w:w="1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436880</wp:posOffset>
            </wp:positionV>
            <wp:extent cx="69951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2">
            <w:col w:w="4180" w:space="660"/>
            <w:col w:w="6160"/>
          </w:cols>
          <w:pgMar w:left="440" w:top="679" w:right="459" w:bottom="919" w:gutter="0" w:footer="0" w:header="0"/>
          <w:type w:val="continuous"/>
        </w:sectPr>
      </w:pPr>
    </w:p>
    <w:bookmarkStart w:id="10" w:name="page11"/>
    <w:bookmarkEnd w:id="10"/>
    <w:p>
      <w:pPr>
        <w:jc w:val="both"/>
        <w:ind w:left="4"/>
        <w:spacing w:after="0" w:line="222" w:lineRule="auto"/>
        <w:rPr>
          <w:sz w:val="20"/>
          <w:szCs w:val="20"/>
          <w:color w:val="auto"/>
        </w:rPr>
      </w:pPr>
      <w:r>
        <w:rPr>
          <w:rFonts w:ascii="Arial" w:cs="Arial" w:eastAsia="Arial" w:hAnsi="Arial"/>
          <w:sz w:val="16"/>
          <w:szCs w:val="16"/>
          <w:color w:val="auto"/>
        </w:rPr>
        <w:t>In accordance with the Company’s Amended and Restated Bylaws (the “Bylaws”), to be elected each director nominee must receive a majority of the votes cast with respect to that director’s election. Incumbent directors nominated for election by the Board are required, as a condition to such nomination, to submit a conditional letter of resignation to the Chair of the Board. In the event that a nominee for director does not receive a majority of the votes cast at the Annual Meeting with respect to his or her election, the Board will promptly consider whether to accept or reject the conditional resignation of that nominee, or whether other action should be taken. The Board will then take action and will publicly disclose its decision and the rationale behind it no later than 90 days following the certification of election results.</w:t>
      </w:r>
    </w:p>
    <w:p>
      <w:pPr>
        <w:spacing w:after="0" w:line="97" w:lineRule="exact"/>
        <w:rPr>
          <w:sz w:val="20"/>
          <w:szCs w:val="20"/>
          <w:color w:val="auto"/>
        </w:rPr>
      </w:pPr>
    </w:p>
    <w:p>
      <w:pPr>
        <w:ind w:left="4"/>
        <w:spacing w:after="0"/>
        <w:rPr>
          <w:sz w:val="20"/>
          <w:szCs w:val="20"/>
          <w:color w:val="auto"/>
        </w:rPr>
      </w:pPr>
      <w:r>
        <w:rPr>
          <w:rFonts w:ascii="Arial" w:cs="Arial" w:eastAsia="Arial" w:hAnsi="Arial"/>
          <w:sz w:val="32"/>
          <w:szCs w:val="32"/>
          <w:b w:val="1"/>
          <w:bCs w:val="1"/>
          <w:color w:val="C8102E"/>
        </w:rPr>
        <w:t>Corporate Social Responsibility and Sustainability</w:t>
      </w:r>
    </w:p>
    <w:p>
      <w:pPr>
        <w:spacing w:after="0" w:line="148" w:lineRule="exact"/>
        <w:rPr>
          <w:sz w:val="20"/>
          <w:szCs w:val="20"/>
          <w:color w:val="auto"/>
        </w:rPr>
      </w:pPr>
    </w:p>
    <w:p>
      <w:pPr>
        <w:jc w:val="both"/>
        <w:ind w:left="4" w:right="20"/>
        <w:spacing w:after="0" w:line="225" w:lineRule="auto"/>
        <w:rPr>
          <w:sz w:val="20"/>
          <w:szCs w:val="20"/>
          <w:color w:val="auto"/>
        </w:rPr>
      </w:pPr>
      <w:r>
        <w:rPr>
          <w:rFonts w:ascii="Arial" w:cs="Arial" w:eastAsia="Arial" w:hAnsi="Arial"/>
          <w:sz w:val="16"/>
          <w:szCs w:val="16"/>
          <w:color w:val="auto"/>
        </w:rPr>
        <w:t>Our corporate social responsibility (“CSR”) and sustainability program is organized around identifying, assessing and managing on an ongoing basis the environmental, social and governance factors that are relevant to our long-term financial performance. Our sustainability program aims to take into account the interests of our key stakeholder constituencies, including our employees, customers, communities and stockholders. Issues that we focus on across the Company include workplace health and safety, energy efficiency, waste management, climate risk, human capital management, supply chain management, business ethics and compliance, and data privacy and protection.</w:t>
      </w:r>
    </w:p>
    <w:p>
      <w:pPr>
        <w:spacing w:after="0" w:line="110" w:lineRule="exact"/>
        <w:rPr>
          <w:sz w:val="20"/>
          <w:szCs w:val="20"/>
          <w:color w:val="auto"/>
        </w:rPr>
      </w:pPr>
    </w:p>
    <w:p>
      <w:pPr>
        <w:jc w:val="both"/>
        <w:ind w:left="4" w:right="20"/>
        <w:spacing w:after="0" w:line="251" w:lineRule="auto"/>
        <w:rPr>
          <w:sz w:val="20"/>
          <w:szCs w:val="20"/>
          <w:color w:val="auto"/>
        </w:rPr>
      </w:pPr>
      <w:r>
        <w:rPr>
          <w:rFonts w:ascii="Arial" w:cs="Arial" w:eastAsia="Arial" w:hAnsi="Arial"/>
          <w:sz w:val="16"/>
          <w:szCs w:val="16"/>
          <w:color w:val="auto"/>
        </w:rPr>
        <w:t>Details regarding our CSR program and initiatives, including our most recent CSR Reports, can be accessed on our website at www.enovis.com on the Investors page under the Corporate Governance Tab.</w:t>
      </w:r>
    </w:p>
    <w:p>
      <w:pPr>
        <w:spacing w:after="0" w:line="101" w:lineRule="exact"/>
        <w:rPr>
          <w:sz w:val="20"/>
          <w:szCs w:val="20"/>
          <w:color w:val="auto"/>
        </w:rPr>
      </w:pPr>
    </w:p>
    <w:p>
      <w:pPr>
        <w:jc w:val="both"/>
        <w:ind w:left="4" w:right="20"/>
        <w:spacing w:after="0" w:line="251" w:lineRule="auto"/>
        <w:rPr>
          <w:sz w:val="20"/>
          <w:szCs w:val="20"/>
          <w:color w:val="auto"/>
        </w:rPr>
      </w:pPr>
      <w:r>
        <w:rPr>
          <w:rFonts w:ascii="Arial" w:cs="Arial" w:eastAsia="Arial" w:hAnsi="Arial"/>
          <w:sz w:val="16"/>
          <w:szCs w:val="16"/>
          <w:color w:val="auto"/>
        </w:rPr>
        <w:t>The information on our website is not, and shall not be deemed to be, a part of this Proxy Statement or incorporated into any other filings we make with the SEC, and any reference to our website is intended to be an inactive textual reference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69951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87" w:lineRule="exact"/>
        <w:rPr>
          <w:sz w:val="20"/>
          <w:szCs w:val="20"/>
          <w:color w:val="auto"/>
        </w:rPr>
      </w:pPr>
    </w:p>
    <w:p>
      <w:pPr>
        <w:ind w:left="444"/>
        <w:spacing w:after="0"/>
        <w:rPr>
          <w:sz w:val="20"/>
          <w:szCs w:val="20"/>
          <w:color w:val="auto"/>
        </w:rPr>
      </w:pPr>
      <w:r>
        <w:rPr>
          <w:rFonts w:ascii="Arial" w:cs="Arial" w:eastAsia="Arial" w:hAnsi="Arial"/>
          <w:sz w:val="25"/>
          <w:szCs w:val="25"/>
          <w:b w:val="1"/>
          <w:bCs w:val="1"/>
          <w:color w:val="auto"/>
        </w:rPr>
        <w:t>Governance; Community Involvement and Corporate Citizenship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-149225</wp:posOffset>
            </wp:positionV>
            <wp:extent cx="205740" cy="265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05740" cy="265430"/>
                    </a:xfrm>
                    <a:prstGeom prst="rect">
                      <a:avLst/>
                    </a:prstGeom>
                    <a:noFill/>
                  </pic:spPr>
                </pic:pic>
              </a:graphicData>
            </a:graphic>
          </wp:anchor>
        </w:drawing>
      </w:r>
    </w:p>
    <w:p>
      <w:pPr>
        <w:spacing w:after="0" w:line="134" w:lineRule="exact"/>
        <w:rPr>
          <w:sz w:val="20"/>
          <w:szCs w:val="20"/>
          <w:color w:val="auto"/>
        </w:rPr>
      </w:pPr>
    </w:p>
    <w:p>
      <w:pPr>
        <w:ind w:left="444" w:right="20"/>
        <w:spacing w:after="0" w:line="247" w:lineRule="auto"/>
        <w:rPr>
          <w:sz w:val="20"/>
          <w:szCs w:val="20"/>
          <w:color w:val="auto"/>
        </w:rPr>
      </w:pPr>
      <w:r>
        <w:rPr>
          <w:rFonts w:ascii="Arial" w:cs="Arial" w:eastAsia="Arial" w:hAnsi="Arial"/>
          <w:sz w:val="22"/>
          <w:szCs w:val="22"/>
          <w:b w:val="1"/>
          <w:bCs w:val="1"/>
          <w:color w:val="C8102E"/>
        </w:rPr>
        <w:t>We take environmental, social and governance risks and opportunities into account in our strategic decision-making, both by the Board and management.</w:t>
      </w:r>
    </w:p>
    <w:p>
      <w:pPr>
        <w:spacing w:after="0" w:line="115" w:lineRule="exact"/>
        <w:rPr>
          <w:sz w:val="20"/>
          <w:szCs w:val="20"/>
          <w:color w:val="auto"/>
        </w:rPr>
      </w:pPr>
    </w:p>
    <w:p>
      <w:pPr>
        <w:ind w:left="324" w:right="20" w:hanging="324"/>
        <w:spacing w:after="0" w:line="190" w:lineRule="auto"/>
        <w:tabs>
          <w:tab w:leader="none" w:pos="324" w:val="left"/>
        </w:tabs>
        <w:numPr>
          <w:ilvl w:val="0"/>
          <w:numId w:val="9"/>
        </w:numPr>
        <w:rPr>
          <w:rFonts w:ascii="MS PGothic" w:cs="MS PGothic" w:eastAsia="MS PGothic" w:hAnsi="MS PGothic"/>
          <w:sz w:val="29"/>
          <w:szCs w:val="29"/>
          <w:color w:val="C8102E"/>
          <w:vertAlign w:val="superscript"/>
        </w:rPr>
      </w:pPr>
      <w:r>
        <w:rPr>
          <w:rFonts w:ascii="Arial" w:cs="Arial" w:eastAsia="Arial" w:hAnsi="Arial"/>
          <w:sz w:val="16"/>
          <w:szCs w:val="16"/>
          <w:color w:val="auto"/>
        </w:rPr>
        <w:t>Environmental, social and governance matters are managed and monitored by senior management throughout the year. The Board exercises oversight over these matters at the full Board level and through our relevant committees.</w:t>
      </w:r>
    </w:p>
    <w:p>
      <w:pPr>
        <w:spacing w:after="0" w:line="124" w:lineRule="exact"/>
        <w:rPr>
          <w:rFonts w:ascii="MS PGothic" w:cs="MS PGothic" w:eastAsia="MS PGothic" w:hAnsi="MS PGothic"/>
          <w:sz w:val="29"/>
          <w:szCs w:val="29"/>
          <w:color w:val="C8102E"/>
          <w:vertAlign w:val="superscript"/>
        </w:rPr>
      </w:pPr>
    </w:p>
    <w:p>
      <w:pPr>
        <w:jc w:val="both"/>
        <w:ind w:left="324" w:right="20" w:hanging="324"/>
        <w:spacing w:after="0" w:line="199" w:lineRule="auto"/>
        <w:tabs>
          <w:tab w:leader="none" w:pos="324" w:val="left"/>
        </w:tabs>
        <w:numPr>
          <w:ilvl w:val="0"/>
          <w:numId w:val="9"/>
        </w:numPr>
        <w:rPr>
          <w:rFonts w:ascii="MS PGothic" w:cs="MS PGothic" w:eastAsia="MS PGothic" w:hAnsi="MS PGothic"/>
          <w:sz w:val="29"/>
          <w:szCs w:val="29"/>
          <w:color w:val="C8102E"/>
          <w:vertAlign w:val="superscript"/>
        </w:rPr>
      </w:pPr>
      <w:r>
        <w:rPr>
          <w:rFonts w:ascii="Arial" w:cs="Arial" w:eastAsia="Arial" w:hAnsi="Arial"/>
          <w:sz w:val="16"/>
          <w:szCs w:val="16"/>
          <w:color w:val="auto"/>
        </w:rPr>
        <w:t>Under its charter, our Nominating and Corporate Governance Committee is expressly tasked with reviewing the Company’s undertakings with respect to environmental, social and governance matters, including our role as a corporate citizen and policies and programs relating to health, safety and sustainability matters. An update on these matters is included as a standing agenda item at each Nominating and Corporate Governance Committee Meeting.</w:t>
      </w:r>
    </w:p>
    <w:p>
      <w:pPr>
        <w:spacing w:after="0" w:line="125" w:lineRule="exact"/>
        <w:rPr>
          <w:rFonts w:ascii="MS PGothic" w:cs="MS PGothic" w:eastAsia="MS PGothic" w:hAnsi="MS PGothic"/>
          <w:sz w:val="29"/>
          <w:szCs w:val="29"/>
          <w:color w:val="C8102E"/>
          <w:vertAlign w:val="superscript"/>
        </w:rPr>
      </w:pPr>
    </w:p>
    <w:p>
      <w:pPr>
        <w:jc w:val="both"/>
        <w:ind w:left="324" w:right="20" w:hanging="324"/>
        <w:spacing w:after="0" w:line="196" w:lineRule="auto"/>
        <w:tabs>
          <w:tab w:leader="none" w:pos="324" w:val="left"/>
        </w:tabs>
        <w:numPr>
          <w:ilvl w:val="0"/>
          <w:numId w:val="9"/>
        </w:numPr>
        <w:rPr>
          <w:rFonts w:ascii="MS PGothic" w:cs="MS PGothic" w:eastAsia="MS PGothic" w:hAnsi="MS PGothic"/>
          <w:sz w:val="29"/>
          <w:szCs w:val="29"/>
          <w:color w:val="C8102E"/>
          <w:vertAlign w:val="superscript"/>
        </w:rPr>
      </w:pPr>
      <w:r>
        <w:rPr>
          <w:rFonts w:ascii="Arial" w:cs="Arial" w:eastAsia="Arial" w:hAnsi="Arial"/>
          <w:sz w:val="16"/>
          <w:szCs w:val="16"/>
          <w:color w:val="auto"/>
        </w:rPr>
        <w:t>Our refreshed Board is comprised of individuals with diverse backgrounds, skills and experiences, and our Nominating and Corporate Governance Committee charter and Corporate Governance Guidelines reflect our commitment to actively seeking out highly qualified candidates with diverse backgrounds, experiences and skills as part of each director search the Company undertakes.</w:t>
      </w:r>
    </w:p>
    <w:p>
      <w:pPr>
        <w:spacing w:after="0" w:line="137" w:lineRule="exact"/>
        <w:rPr>
          <w:rFonts w:ascii="MS PGothic" w:cs="MS PGothic" w:eastAsia="MS PGothic" w:hAnsi="MS PGothic"/>
          <w:sz w:val="29"/>
          <w:szCs w:val="29"/>
          <w:color w:val="C8102E"/>
          <w:vertAlign w:val="superscript"/>
        </w:rPr>
      </w:pPr>
    </w:p>
    <w:p>
      <w:pPr>
        <w:ind w:left="324" w:right="20" w:hanging="324"/>
        <w:spacing w:after="0" w:line="190" w:lineRule="auto"/>
        <w:tabs>
          <w:tab w:leader="none" w:pos="324" w:val="left"/>
        </w:tabs>
        <w:numPr>
          <w:ilvl w:val="0"/>
          <w:numId w:val="9"/>
        </w:numPr>
        <w:rPr>
          <w:rFonts w:ascii="MS PGothic" w:cs="MS PGothic" w:eastAsia="MS PGothic" w:hAnsi="MS PGothic"/>
          <w:sz w:val="29"/>
          <w:szCs w:val="29"/>
          <w:color w:val="C8102E"/>
          <w:vertAlign w:val="superscript"/>
        </w:rPr>
      </w:pPr>
      <w:r>
        <w:rPr>
          <w:rFonts w:ascii="Arial" w:cs="Arial" w:eastAsia="Arial" w:hAnsi="Arial"/>
          <w:sz w:val="16"/>
          <w:szCs w:val="16"/>
          <w:color w:val="auto"/>
        </w:rPr>
        <w:t>Our Audit Committee charter expressly tasks the Audit Committee with the review and oversight of the Company’s policies with respect to risk assessment and risk management related to information technology and cybersecurity.</w:t>
      </w:r>
    </w:p>
    <w:p>
      <w:pPr>
        <w:spacing w:after="0" w:line="48" w:lineRule="exact"/>
        <w:rPr>
          <w:rFonts w:ascii="MS PGothic" w:cs="MS PGothic" w:eastAsia="MS PGothic" w:hAnsi="MS PGothic"/>
          <w:sz w:val="29"/>
          <w:szCs w:val="29"/>
          <w:color w:val="C8102E"/>
          <w:vertAlign w:val="superscript"/>
        </w:rPr>
      </w:pPr>
    </w:p>
    <w:p>
      <w:pPr>
        <w:ind w:left="324" w:hanging="324"/>
        <w:spacing w:after="0"/>
        <w:tabs>
          <w:tab w:leader="none" w:pos="324" w:val="left"/>
        </w:tabs>
        <w:numPr>
          <w:ilvl w:val="0"/>
          <w:numId w:val="9"/>
        </w:numPr>
        <w:rPr>
          <w:rFonts w:ascii="MS PGothic" w:cs="MS PGothic" w:eastAsia="MS PGothic" w:hAnsi="MS PGothic"/>
          <w:sz w:val="29"/>
          <w:szCs w:val="29"/>
          <w:color w:val="C8102E"/>
          <w:vertAlign w:val="superscript"/>
        </w:rPr>
      </w:pPr>
      <w:r>
        <w:rPr>
          <w:rFonts w:ascii="Arial" w:cs="Arial" w:eastAsia="Arial" w:hAnsi="Arial"/>
          <w:sz w:val="16"/>
          <w:szCs w:val="16"/>
          <w:color w:val="auto"/>
        </w:rPr>
        <w:t>At least once a quarter, management provides the Audit Committee with an update on cybersecurity.</w:t>
      </w:r>
    </w:p>
    <w:p>
      <w:pPr>
        <w:spacing w:after="0" w:line="138" w:lineRule="exact"/>
        <w:rPr>
          <w:rFonts w:ascii="MS PGothic" w:cs="MS PGothic" w:eastAsia="MS PGothic" w:hAnsi="MS PGothic"/>
          <w:sz w:val="29"/>
          <w:szCs w:val="29"/>
          <w:color w:val="C8102E"/>
          <w:vertAlign w:val="superscript"/>
        </w:rPr>
      </w:pPr>
    </w:p>
    <w:p>
      <w:pPr>
        <w:ind w:left="324" w:right="20" w:hanging="324"/>
        <w:spacing w:after="0" w:line="182" w:lineRule="auto"/>
        <w:tabs>
          <w:tab w:leader="none" w:pos="324" w:val="left"/>
        </w:tabs>
        <w:numPr>
          <w:ilvl w:val="0"/>
          <w:numId w:val="9"/>
        </w:numPr>
        <w:rPr>
          <w:rFonts w:ascii="MS PGothic" w:cs="MS PGothic" w:eastAsia="MS PGothic" w:hAnsi="MS PGothic"/>
          <w:sz w:val="29"/>
          <w:szCs w:val="29"/>
          <w:color w:val="C8102E"/>
          <w:vertAlign w:val="superscript"/>
        </w:rPr>
      </w:pPr>
      <w:r>
        <w:rPr>
          <w:rFonts w:ascii="Arial" w:cs="Arial" w:eastAsia="Arial" w:hAnsi="Arial"/>
          <w:sz w:val="16"/>
          <w:szCs w:val="16"/>
          <w:color w:val="auto"/>
        </w:rPr>
        <w:t>The Company maintains a robust information security training and compliance program, which includes, among other things, regular phishing awareness training.</w:t>
      </w:r>
    </w:p>
    <w:p>
      <w:pPr>
        <w:spacing w:after="0" w:line="137" w:lineRule="exact"/>
        <w:rPr>
          <w:rFonts w:ascii="MS PGothic" w:cs="MS PGothic" w:eastAsia="MS PGothic" w:hAnsi="MS PGothic"/>
          <w:sz w:val="29"/>
          <w:szCs w:val="29"/>
          <w:color w:val="C8102E"/>
          <w:vertAlign w:val="superscript"/>
        </w:rPr>
      </w:pPr>
    </w:p>
    <w:p>
      <w:pPr>
        <w:ind w:left="324" w:right="20" w:hanging="324"/>
        <w:spacing w:after="0" w:line="190" w:lineRule="auto"/>
        <w:tabs>
          <w:tab w:leader="none" w:pos="324" w:val="left"/>
        </w:tabs>
        <w:numPr>
          <w:ilvl w:val="0"/>
          <w:numId w:val="9"/>
        </w:numPr>
        <w:rPr>
          <w:rFonts w:ascii="MS PGothic" w:cs="MS PGothic" w:eastAsia="MS PGothic" w:hAnsi="MS PGothic"/>
          <w:sz w:val="29"/>
          <w:szCs w:val="29"/>
          <w:color w:val="C8102E"/>
          <w:vertAlign w:val="superscript"/>
        </w:rPr>
      </w:pPr>
      <w:r>
        <w:rPr>
          <w:rFonts w:ascii="Arial" w:cs="Arial" w:eastAsia="Arial" w:hAnsi="Arial"/>
          <w:sz w:val="16"/>
          <w:szCs w:val="16"/>
          <w:color w:val="auto"/>
        </w:rPr>
        <w:t>We also maintain a global data privacy program, which is overseen by our global privacy officer and sets out a framework for compliance with the EU General Data Protection Regulation and other relevant privacy laws and regulations.</w:t>
      </w:r>
    </w:p>
    <w:p>
      <w:pPr>
        <w:spacing w:after="0" w:line="152" w:lineRule="exact"/>
        <w:rPr>
          <w:sz w:val="20"/>
          <w:szCs w:val="20"/>
          <w:color w:val="auto"/>
        </w:rPr>
      </w:pPr>
    </w:p>
    <w:p>
      <w:pPr>
        <w:ind w:left="7564"/>
        <w:spacing w:after="0"/>
        <w:tabs>
          <w:tab w:leader="none" w:pos="10844" w:val="left"/>
        </w:tabs>
        <w:rPr>
          <w:sz w:val="20"/>
          <w:szCs w:val="20"/>
          <w:color w:val="auto"/>
        </w:rPr>
      </w:pPr>
      <w:r>
        <w:rPr>
          <w:sz w:val="1"/>
          <w:szCs w:val="1"/>
          <w:color w:val="auto"/>
        </w:rPr>
        <w:drawing>
          <wp:inline distT="0" distB="0" distL="0" distR="0">
            <wp:extent cx="685800" cy="16256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0" cy="162560"/>
                    </a:xfrm>
                    <a:prstGeom prst="rect">
                      <a:avLst/>
                    </a:prstGeom>
                    <a:noFill/>
                    <a:ln>
                      <a:noFill/>
                    </a:ln>
                  </pic:spPr>
                </pic:pic>
              </a:graphicData>
            </a:graphic>
          </wp:inline>
        </w:drawing>
      </w:r>
      <w:r>
        <w:rPr>
          <w:rFonts w:ascii="Arial" w:cs="Arial" w:eastAsia="Arial" w:hAnsi="Arial"/>
          <w:sz w:val="18"/>
          <w:szCs w:val="18"/>
          <w:color w:val="auto"/>
        </w:rPr>
        <w:t xml:space="preserve"> - 2026 Proxy Statement</w:t>
      </w:r>
      <w:r>
        <w:rPr>
          <w:sz w:val="20"/>
          <w:szCs w:val="20"/>
          <w:color w:val="auto"/>
        </w:rPr>
        <w:tab/>
      </w: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-186690</wp:posOffset>
            </wp:positionV>
            <wp:extent cx="6995160" cy="3257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325755"/>
                    </a:xfrm>
                    <a:prstGeom prst="rect">
                      <a:avLst/>
                    </a:prstGeom>
                    <a:noFill/>
                  </pic:spPr>
                </pic:pic>
              </a:graphicData>
            </a:graphic>
          </wp:anchor>
        </w:drawing>
      </w:r>
    </w:p>
    <w:p>
      <w:pPr>
        <w:sectPr>
          <w:pgSz w:w="11900" w:h="16838" w:orient="portrait"/>
          <w:cols w:equalWidth="0" w:num="1">
            <w:col w:w="11024"/>
          </w:cols>
          <w:pgMar w:left="436" w:top="679" w:right="439" w:bottom="1440" w:gutter="0" w:footer="0" w:header="0"/>
        </w:sectPr>
      </w:pPr>
    </w:p>
    <w:bookmarkStart w:id="11" w:name="page12"/>
    <w:bookmarkEnd w:id="11"/>
    <w:p>
      <w:pPr>
        <w:ind w:left="664"/>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276860</wp:posOffset>
            </wp:positionH>
            <wp:positionV relativeFrom="page">
              <wp:posOffset>414655</wp:posOffset>
            </wp:positionV>
            <wp:extent cx="6995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8255"/>
                    </a:xfrm>
                    <a:prstGeom prst="rect">
                      <a:avLst/>
                    </a:prstGeom>
                    <a:noFill/>
                  </pic:spPr>
                </pic:pic>
              </a:graphicData>
            </a:graphic>
          </wp:anchor>
        </w:drawing>
        <w:t>Health, Safety and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-149225</wp:posOffset>
            </wp:positionV>
            <wp:extent cx="274320" cy="2482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4320" cy="248285"/>
                    </a:xfrm>
                    <a:prstGeom prst="rect">
                      <a:avLst/>
                    </a:prstGeom>
                    <a:noFill/>
                  </pic:spPr>
                </pic:pic>
              </a:graphicData>
            </a:graphic>
          </wp:anchor>
        </w:drawing>
      </w:r>
    </w:p>
    <w:p>
      <w:pPr>
        <w:spacing w:after="0" w:line="134" w:lineRule="exact"/>
        <w:rPr>
          <w:sz w:val="20"/>
          <w:szCs w:val="20"/>
          <w:color w:val="auto"/>
        </w:rPr>
      </w:pPr>
    </w:p>
    <w:p>
      <w:pPr>
        <w:ind w:left="664" w:right="180"/>
        <w:spacing w:after="0" w:line="247" w:lineRule="auto"/>
        <w:rPr>
          <w:sz w:val="20"/>
          <w:szCs w:val="20"/>
          <w:color w:val="auto"/>
        </w:rPr>
      </w:pPr>
      <w:r>
        <w:rPr>
          <w:rFonts w:ascii="Arial" w:cs="Arial" w:eastAsia="Arial" w:hAnsi="Arial"/>
          <w:sz w:val="22"/>
          <w:szCs w:val="22"/>
          <w:b w:val="1"/>
          <w:bCs w:val="1"/>
          <w:color w:val="C8102E"/>
        </w:rPr>
        <w:t>The protection of human health, personal safety and environmental quality rank at the highest level of importance to Enovis.</w:t>
      </w:r>
    </w:p>
    <w:p>
      <w:pPr>
        <w:spacing w:after="0" w:line="26" w:lineRule="exact"/>
        <w:rPr>
          <w:sz w:val="20"/>
          <w:szCs w:val="20"/>
          <w:color w:val="auto"/>
        </w:rPr>
      </w:pPr>
    </w:p>
    <w:p>
      <w:pPr>
        <w:ind w:left="324" w:hanging="324"/>
        <w:spacing w:after="0"/>
        <w:tabs>
          <w:tab w:leader="none" w:pos="324" w:val="left"/>
        </w:tabs>
        <w:numPr>
          <w:ilvl w:val="0"/>
          <w:numId w:val="10"/>
        </w:numPr>
        <w:rPr>
          <w:rFonts w:ascii="MS PGothic" w:cs="MS PGothic" w:eastAsia="MS PGothic" w:hAnsi="MS PGothic"/>
          <w:sz w:val="29"/>
          <w:szCs w:val="29"/>
          <w:color w:val="C8102E"/>
          <w:vertAlign w:val="superscript"/>
        </w:rPr>
      </w:pPr>
      <w:r>
        <w:rPr>
          <w:rFonts w:ascii="Arial" w:cs="Arial" w:eastAsia="Arial" w:hAnsi="Arial"/>
          <w:sz w:val="16"/>
          <w:szCs w:val="16"/>
          <w:color w:val="auto"/>
        </w:rPr>
        <w:t>Our full Board reviews our safety initiatives at the start of each regularly scheduled Board meeting.</w:t>
      </w:r>
    </w:p>
    <w:p>
      <w:pPr>
        <w:spacing w:after="0" w:line="138" w:lineRule="exact"/>
        <w:rPr>
          <w:rFonts w:ascii="MS PGothic" w:cs="MS PGothic" w:eastAsia="MS PGothic" w:hAnsi="MS PGothic"/>
          <w:sz w:val="29"/>
          <w:szCs w:val="29"/>
          <w:color w:val="C8102E"/>
          <w:vertAlign w:val="superscript"/>
        </w:rPr>
      </w:pPr>
    </w:p>
    <w:p>
      <w:pPr>
        <w:ind w:left="324" w:right="20" w:hanging="324"/>
        <w:spacing w:after="0" w:line="182" w:lineRule="auto"/>
        <w:tabs>
          <w:tab w:leader="none" w:pos="324" w:val="left"/>
        </w:tabs>
        <w:numPr>
          <w:ilvl w:val="0"/>
          <w:numId w:val="10"/>
        </w:numPr>
        <w:rPr>
          <w:rFonts w:ascii="MS PGothic" w:cs="MS PGothic" w:eastAsia="MS PGothic" w:hAnsi="MS PGothic"/>
          <w:sz w:val="29"/>
          <w:szCs w:val="29"/>
          <w:color w:val="C8102E"/>
          <w:vertAlign w:val="superscript"/>
        </w:rPr>
      </w:pPr>
      <w:r>
        <w:rPr>
          <w:rFonts w:ascii="Arial" w:cs="Arial" w:eastAsia="Arial" w:hAnsi="Arial"/>
          <w:sz w:val="16"/>
          <w:szCs w:val="16"/>
          <w:color w:val="auto"/>
        </w:rPr>
        <w:t>In addition, our executive leadership team reviews safety matters with our site leaders on a regular and ongoing basis, and our safety initiatives and safety performance are discussed and highlighted with all Enovis team members at each quarterly town hall meeting.</w:t>
      </w:r>
    </w:p>
    <w:p>
      <w:pPr>
        <w:spacing w:after="0" w:line="137" w:lineRule="exact"/>
        <w:rPr>
          <w:rFonts w:ascii="MS PGothic" w:cs="MS PGothic" w:eastAsia="MS PGothic" w:hAnsi="MS PGothic"/>
          <w:sz w:val="29"/>
          <w:szCs w:val="29"/>
          <w:color w:val="C8102E"/>
          <w:vertAlign w:val="superscript"/>
        </w:rPr>
      </w:pPr>
    </w:p>
    <w:p>
      <w:pPr>
        <w:ind w:left="324" w:right="20" w:hanging="324"/>
        <w:spacing w:after="0" w:line="190" w:lineRule="auto"/>
        <w:tabs>
          <w:tab w:leader="none" w:pos="324" w:val="left"/>
        </w:tabs>
        <w:numPr>
          <w:ilvl w:val="0"/>
          <w:numId w:val="10"/>
        </w:numPr>
        <w:rPr>
          <w:rFonts w:ascii="MS PGothic" w:cs="MS PGothic" w:eastAsia="MS PGothic" w:hAnsi="MS PGothic"/>
          <w:sz w:val="29"/>
          <w:szCs w:val="29"/>
          <w:color w:val="C8102E"/>
          <w:vertAlign w:val="superscript"/>
        </w:rPr>
      </w:pPr>
      <w:r>
        <w:rPr>
          <w:rFonts w:ascii="Arial" w:cs="Arial" w:eastAsia="Arial" w:hAnsi="Arial"/>
          <w:sz w:val="16"/>
          <w:szCs w:val="16"/>
          <w:color w:val="auto"/>
        </w:rPr>
        <w:t>As part of our continuous improvement culture, we maintain an active and robust environmental, health and safety (“EHS”) audit program, and our team members participate in EHS training on an ongoing basis.</w:t>
      </w:r>
    </w:p>
    <w:p>
      <w:pPr>
        <w:spacing w:after="0" w:line="124" w:lineRule="exact"/>
        <w:rPr>
          <w:rFonts w:ascii="MS PGothic" w:cs="MS PGothic" w:eastAsia="MS PGothic" w:hAnsi="MS PGothic"/>
          <w:sz w:val="29"/>
          <w:szCs w:val="29"/>
          <w:color w:val="C8102E"/>
          <w:vertAlign w:val="superscript"/>
        </w:rPr>
      </w:pPr>
    </w:p>
    <w:p>
      <w:pPr>
        <w:ind w:left="324" w:right="20" w:hanging="324"/>
        <w:spacing w:after="0" w:line="190" w:lineRule="auto"/>
        <w:tabs>
          <w:tab w:leader="none" w:pos="324" w:val="left"/>
        </w:tabs>
        <w:numPr>
          <w:ilvl w:val="0"/>
          <w:numId w:val="10"/>
        </w:numPr>
        <w:rPr>
          <w:rFonts w:ascii="MS PGothic" w:cs="MS PGothic" w:eastAsia="MS PGothic" w:hAnsi="MS PGothic"/>
          <w:sz w:val="29"/>
          <w:szCs w:val="29"/>
          <w:color w:val="C8102E"/>
          <w:vertAlign w:val="superscript"/>
        </w:rPr>
      </w:pPr>
      <w:r>
        <w:rPr>
          <w:rFonts w:ascii="Arial" w:cs="Arial" w:eastAsia="Arial" w:hAnsi="Arial"/>
          <w:sz w:val="16"/>
          <w:szCs w:val="16"/>
          <w:color w:val="auto"/>
        </w:rPr>
        <w:t>We collect and analyze our energy usage on an enterprise-wide basis, including an enterprise-wide inventory of our Scope 1 and Scope 2 greenhouse gas (GHG) emissions, and other key metrics, which we publish in our CSR Reports.</w:t>
      </w:r>
    </w:p>
    <w:p>
      <w:pPr>
        <w:spacing w:after="0" w:line="195" w:lineRule="exact"/>
        <w:rPr>
          <w:sz w:val="20"/>
          <w:szCs w:val="20"/>
          <w:color w:val="auto"/>
        </w:rPr>
      </w:pPr>
    </w:p>
    <w:p>
      <w:pPr>
        <w:ind w:left="664"/>
        <w:spacing w:after="0"/>
        <w:rPr>
          <w:sz w:val="20"/>
          <w:szCs w:val="20"/>
          <w:color w:val="auto"/>
        </w:rPr>
      </w:pPr>
      <w:r>
        <w:rPr>
          <w:rFonts w:ascii="Arial" w:cs="Arial" w:eastAsia="Arial" w:hAnsi="Arial"/>
          <w:sz w:val="25"/>
          <w:szCs w:val="25"/>
          <w:b w:val="1"/>
          <w:bCs w:val="1"/>
          <w:color w:val="auto"/>
        </w:rPr>
        <w:t>Human Capital; Human Rights and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-166370</wp:posOffset>
            </wp:positionV>
            <wp:extent cx="6995160" cy="3340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334010"/>
                    </a:xfrm>
                    <a:prstGeom prst="rect">
                      <a:avLst/>
                    </a:prstGeom>
                    <a:noFill/>
                  </pic:spPr>
                </pic:pic>
              </a:graphicData>
            </a:graphic>
          </wp:anchor>
        </w:drawing>
      </w:r>
    </w:p>
    <w:p>
      <w:pPr>
        <w:spacing w:after="0" w:line="134" w:lineRule="exact"/>
        <w:rPr>
          <w:sz w:val="20"/>
          <w:szCs w:val="20"/>
          <w:color w:val="auto"/>
        </w:rPr>
      </w:pPr>
    </w:p>
    <w:p>
      <w:pPr>
        <w:ind w:left="664" w:right="100"/>
        <w:spacing w:after="0" w:line="247" w:lineRule="auto"/>
        <w:rPr>
          <w:sz w:val="20"/>
          <w:szCs w:val="20"/>
          <w:color w:val="auto"/>
        </w:rPr>
      </w:pPr>
      <w:r>
        <w:rPr>
          <w:rFonts w:ascii="Arial" w:cs="Arial" w:eastAsia="Arial" w:hAnsi="Arial"/>
          <w:sz w:val="22"/>
          <w:szCs w:val="22"/>
          <w:b w:val="1"/>
          <w:bCs w:val="1"/>
          <w:color w:val="C8102E"/>
        </w:rPr>
        <w:t>As an equal opportunity employer, we are committed to building and maintaining a workforce where all individuals can have opportunities to grow and succeed.</w:t>
      </w:r>
    </w:p>
    <w:p>
      <w:pPr>
        <w:spacing w:after="0" w:line="101" w:lineRule="exact"/>
        <w:rPr>
          <w:sz w:val="20"/>
          <w:szCs w:val="20"/>
          <w:color w:val="auto"/>
        </w:rPr>
      </w:pPr>
    </w:p>
    <w:p>
      <w:pPr>
        <w:ind w:left="324" w:hanging="324"/>
        <w:spacing w:after="0" w:line="190" w:lineRule="auto"/>
        <w:tabs>
          <w:tab w:leader="none" w:pos="324" w:val="left"/>
        </w:tabs>
        <w:numPr>
          <w:ilvl w:val="0"/>
          <w:numId w:val="11"/>
        </w:numPr>
        <w:rPr>
          <w:rFonts w:ascii="MS PGothic" w:cs="MS PGothic" w:eastAsia="MS PGothic" w:hAnsi="MS PGothic"/>
          <w:sz w:val="29"/>
          <w:szCs w:val="29"/>
          <w:color w:val="C8102E"/>
          <w:vertAlign w:val="superscript"/>
        </w:rPr>
      </w:pPr>
      <w:r>
        <w:rPr>
          <w:rFonts w:ascii="Arial" w:cs="Arial" w:eastAsia="Arial" w:hAnsi="Arial"/>
          <w:sz w:val="16"/>
          <w:szCs w:val="16"/>
          <w:color w:val="auto"/>
        </w:rPr>
        <w:t>Our Compensation and Human Capital Management Committee’s responsibilities include oversight of the Company’s strategies and policies related to human capital management, including matters such as pay for performance, pay equity, corporate culture, talent development and retention.</w:t>
      </w:r>
    </w:p>
    <w:p>
      <w:pPr>
        <w:spacing w:after="0" w:line="137" w:lineRule="exact"/>
        <w:rPr>
          <w:rFonts w:ascii="MS PGothic" w:cs="MS PGothic" w:eastAsia="MS PGothic" w:hAnsi="MS PGothic"/>
          <w:sz w:val="29"/>
          <w:szCs w:val="29"/>
          <w:color w:val="C8102E"/>
          <w:vertAlign w:val="superscript"/>
        </w:rPr>
      </w:pPr>
    </w:p>
    <w:p>
      <w:pPr>
        <w:ind w:left="324" w:right="20" w:hanging="324"/>
        <w:spacing w:after="0" w:line="190" w:lineRule="auto"/>
        <w:tabs>
          <w:tab w:leader="none" w:pos="324" w:val="left"/>
        </w:tabs>
        <w:numPr>
          <w:ilvl w:val="0"/>
          <w:numId w:val="11"/>
        </w:numPr>
        <w:rPr>
          <w:rFonts w:ascii="MS PGothic" w:cs="MS PGothic" w:eastAsia="MS PGothic" w:hAnsi="MS PGothic"/>
          <w:sz w:val="29"/>
          <w:szCs w:val="29"/>
          <w:color w:val="C8102E"/>
          <w:vertAlign w:val="superscript"/>
        </w:rPr>
      </w:pPr>
      <w:r>
        <w:rPr>
          <w:rFonts w:ascii="Arial" w:cs="Arial" w:eastAsia="Arial" w:hAnsi="Arial"/>
          <w:sz w:val="16"/>
          <w:szCs w:val="16"/>
          <w:color w:val="auto"/>
        </w:rPr>
        <w:t>We conduct an annual global associate engagement survey to gather associate feedback. We share the survey results with all team members, and managers conduct formal focus groups and discussions with their teams to implement action plans to address key areas for improvement.</w:t>
      </w:r>
    </w:p>
    <w:p>
      <w:pPr>
        <w:spacing w:after="0" w:line="124" w:lineRule="exact"/>
        <w:rPr>
          <w:rFonts w:ascii="MS PGothic" w:cs="MS PGothic" w:eastAsia="MS PGothic" w:hAnsi="MS PGothic"/>
          <w:sz w:val="29"/>
          <w:szCs w:val="29"/>
          <w:color w:val="C8102E"/>
          <w:vertAlign w:val="superscript"/>
        </w:rPr>
      </w:pPr>
    </w:p>
    <w:p>
      <w:pPr>
        <w:jc w:val="both"/>
        <w:ind w:left="324" w:right="20" w:hanging="324"/>
        <w:spacing w:after="0"/>
        <w:tabs>
          <w:tab w:leader="none" w:pos="324" w:val="left"/>
        </w:tabs>
        <w:numPr>
          <w:ilvl w:val="0"/>
          <w:numId w:val="11"/>
        </w:numPr>
        <w:rPr>
          <w:rFonts w:ascii="MS PGothic" w:cs="MS PGothic" w:eastAsia="MS PGothic" w:hAnsi="MS PGothic"/>
          <w:sz w:val="29"/>
          <w:szCs w:val="29"/>
          <w:color w:val="C8102E"/>
          <w:vertAlign w:val="superscript"/>
        </w:rPr>
      </w:pPr>
      <w:r>
        <w:rPr>
          <w:rFonts w:ascii="Arial" w:cs="Arial" w:eastAsia="Arial" w:hAnsi="Arial"/>
          <w:sz w:val="16"/>
          <w:szCs w:val="16"/>
          <w:color w:val="auto"/>
        </w:rPr>
        <w:t>We have publicly stated our commitment to respecting human rights across all of our business operations in accordance with the Universal Declaration of Human Rights, the UN Guiding Principles on Business and Human Rights and the ILO Declaration on Fundamental Principles and Rights at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6995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137160</wp:posOffset>
            </wp:positionH>
            <wp:positionV relativeFrom="paragraph">
              <wp:posOffset>325120</wp:posOffset>
            </wp:positionV>
            <wp:extent cx="428625" cy="4286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28625" cy="42862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ind w:left="1004"/>
        <w:spacing w:after="0"/>
        <w:rPr>
          <w:sz w:val="20"/>
          <w:szCs w:val="20"/>
          <w:color w:val="auto"/>
        </w:rPr>
      </w:pPr>
      <w:r>
        <w:rPr>
          <w:rFonts w:ascii="Arial" w:cs="Arial" w:eastAsia="Arial" w:hAnsi="Arial"/>
          <w:sz w:val="16"/>
          <w:szCs w:val="16"/>
          <w:b w:val="1"/>
          <w:bCs w:val="1"/>
          <w:color w:val="auto"/>
        </w:rPr>
        <w:t>Without limiting the foregoing, we do not utilize or permit:</w:t>
      </w:r>
    </w:p>
    <w:p>
      <w:pPr>
        <w:ind w:left="1004"/>
        <w:spacing w:after="0" w:line="211" w:lineRule="auto"/>
        <w:rPr>
          <w:sz w:val="20"/>
          <w:szCs w:val="20"/>
          <w:color w:val="auto"/>
        </w:rPr>
      </w:pPr>
      <w:r>
        <w:rPr>
          <w:rFonts w:ascii="Arial" w:cs="Arial" w:eastAsia="Arial" w:hAnsi="Arial"/>
          <w:sz w:val="16"/>
          <w:szCs w:val="16"/>
          <w:color w:val="auto"/>
        </w:rPr>
        <w:t>Child labor,</w:t>
      </w:r>
    </w:p>
    <w:p>
      <w:pPr>
        <w:ind w:left="1004"/>
        <w:spacing w:after="0" w:line="211" w:lineRule="auto"/>
        <w:rPr>
          <w:sz w:val="20"/>
          <w:szCs w:val="20"/>
          <w:color w:val="auto"/>
        </w:rPr>
      </w:pPr>
      <w:r>
        <w:rPr>
          <w:rFonts w:ascii="Arial" w:cs="Arial" w:eastAsia="Arial" w:hAnsi="Arial"/>
          <w:sz w:val="16"/>
          <w:szCs w:val="16"/>
          <w:color w:val="auto"/>
        </w:rPr>
        <w:t>Forced labor, or</w:t>
      </w:r>
    </w:p>
    <w:p>
      <w:pPr>
        <w:ind w:left="1004"/>
        <w:spacing w:after="0"/>
        <w:rPr>
          <w:sz w:val="20"/>
          <w:szCs w:val="20"/>
          <w:color w:val="auto"/>
        </w:rPr>
      </w:pPr>
      <w:r>
        <w:rPr>
          <w:rFonts w:ascii="Arial" w:cs="Arial" w:eastAsia="Arial" w:hAnsi="Arial"/>
          <w:sz w:val="16"/>
          <w:szCs w:val="16"/>
          <w:color w:val="auto"/>
        </w:rPr>
        <w:t>Other abusive or unsafe working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69951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61" w:lineRule="exact"/>
        <w:rPr>
          <w:sz w:val="20"/>
          <w:szCs w:val="20"/>
          <w:color w:val="auto"/>
        </w:rPr>
      </w:pPr>
    </w:p>
    <w:p>
      <w:pPr>
        <w:ind w:left="324" w:right="20" w:hanging="324"/>
        <w:spacing w:after="0" w:line="190" w:lineRule="auto"/>
        <w:tabs>
          <w:tab w:leader="none" w:pos="324" w:val="left"/>
        </w:tabs>
        <w:numPr>
          <w:ilvl w:val="0"/>
          <w:numId w:val="12"/>
        </w:numPr>
        <w:rPr>
          <w:rFonts w:ascii="MS PGothic" w:cs="MS PGothic" w:eastAsia="MS PGothic" w:hAnsi="MS PGothic"/>
          <w:sz w:val="29"/>
          <w:szCs w:val="29"/>
          <w:color w:val="C8102E"/>
          <w:vertAlign w:val="superscript"/>
        </w:rPr>
      </w:pPr>
      <w:r>
        <w:rPr>
          <w:rFonts w:ascii="Arial" w:cs="Arial" w:eastAsia="Arial" w:hAnsi="Arial"/>
          <w:sz w:val="16"/>
          <w:szCs w:val="16"/>
          <w:color w:val="auto"/>
        </w:rPr>
        <w:t>To further emphasize our commitment to human rights, we have adopted a Global Human Rights Policy, which is available on our website at www.enovis.com on the Investors page under the Corporate Governance tab.</w:t>
      </w:r>
    </w:p>
    <w:p>
      <w:pPr>
        <w:spacing w:after="0" w:line="73" w:lineRule="exact"/>
        <w:rPr>
          <w:sz w:val="20"/>
          <w:szCs w:val="20"/>
          <w:color w:val="auto"/>
        </w:rPr>
      </w:pPr>
    </w:p>
    <w:p>
      <w:pPr>
        <w:ind w:left="4"/>
        <w:spacing w:after="0"/>
        <w:tabs>
          <w:tab w:leader="none" w:pos="303" w:val="left"/>
        </w:tabs>
        <w:rPr>
          <w:sz w:val="20"/>
          <w:szCs w:val="20"/>
          <w:color w:val="auto"/>
        </w:rPr>
      </w:pPr>
      <w:r>
        <w:rPr>
          <w:rFonts w:ascii="Arial" w:cs="Arial" w:eastAsia="Arial" w:hAnsi="Arial"/>
          <w:sz w:val="18"/>
          <w:szCs w:val="18"/>
          <w:color w:val="auto"/>
        </w:rPr>
        <w:t>6</w:t>
      </w:r>
      <w:r>
        <w:rPr>
          <w:sz w:val="20"/>
          <w:szCs w:val="20"/>
          <w:color w:val="auto"/>
        </w:rPr>
        <w:tab/>
      </w:r>
      <w:r>
        <w:rPr>
          <w:sz w:val="1"/>
          <w:szCs w:val="1"/>
          <w:color w:val="auto"/>
        </w:rPr>
        <w:drawing>
          <wp:inline distT="0" distB="0" distL="0" distR="0">
            <wp:extent cx="17145" cy="32575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145" cy="325755"/>
                    </a:xfrm>
                    <a:prstGeom prst="rect">
                      <a:avLst/>
                    </a:prstGeom>
                    <a:noFill/>
                    <a:ln>
                      <a:noFill/>
                    </a:ln>
                  </pic:spPr>
                </pic:pic>
              </a:graphicData>
            </a:graphic>
          </wp:inline>
        </w:drawing>
        <w:drawing>
          <wp:inline distT="0" distB="0" distL="0" distR="0">
            <wp:extent cx="548640" cy="17145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8640" cy="171450"/>
                    </a:xfrm>
                    <a:prstGeom prst="rect">
                      <a:avLst/>
                    </a:prstGeom>
                    <a:noFill/>
                    <a:ln>
                      <a:noFill/>
                    </a:ln>
                  </pic:spPr>
                </pic:pic>
              </a:graphicData>
            </a:graphic>
          </wp:inline>
        </w:drawing>
      </w:r>
      <w:r>
        <w:rPr>
          <w:rFonts w:ascii="Arial" w:cs="Arial" w:eastAsia="Arial" w:hAnsi="Arial"/>
          <w:sz w:val="18"/>
          <w:szCs w:val="18"/>
          <w:color w:val="auto"/>
        </w:rPr>
        <w:t xml:space="preserve">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69951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723" w:right="439" w:bottom="1440" w:gutter="0" w:footer="0" w:header="0"/>
        </w:sectPr>
      </w:pPr>
    </w:p>
    <w:bookmarkStart w:id="12" w:name="page13"/>
    <w:bookmarkEnd w:id="12"/>
    <w:p>
      <w:pPr>
        <w:ind w:left="4"/>
        <w:spacing w:after="0"/>
        <w:rPr>
          <w:sz w:val="20"/>
          <w:szCs w:val="20"/>
          <w:color w:val="auto"/>
        </w:rPr>
      </w:pPr>
      <w:r>
        <w:rPr>
          <w:rFonts w:ascii="Arial" w:cs="Arial" w:eastAsia="Arial" w:hAnsi="Arial"/>
          <w:sz w:val="25"/>
          <w:szCs w:val="25"/>
          <w:b w:val="1"/>
          <w:bCs w:val="1"/>
          <w:color w:val="auto"/>
        </w:rPr>
        <w:t>Auditor Ratification (page 24)</w:t>
      </w:r>
    </w:p>
    <w:p>
      <w:pPr>
        <w:spacing w:after="0" w:line="149" w:lineRule="exact"/>
        <w:rPr>
          <w:sz w:val="20"/>
          <w:szCs w:val="20"/>
          <w:color w:val="auto"/>
        </w:rPr>
      </w:pPr>
    </w:p>
    <w:p>
      <w:pPr>
        <w:ind w:left="4"/>
        <w:spacing w:after="0"/>
        <w:rPr>
          <w:sz w:val="20"/>
          <w:szCs w:val="20"/>
          <w:color w:val="auto"/>
        </w:rPr>
      </w:pPr>
      <w:r>
        <w:rPr>
          <w:rFonts w:ascii="Arial" w:cs="Arial" w:eastAsia="Arial" w:hAnsi="Arial"/>
          <w:sz w:val="16"/>
          <w:szCs w:val="16"/>
          <w:color w:val="auto"/>
        </w:rPr>
        <w:t>We ask our stockholders to approve the selection of Ernst &amp; Young LLP as our independent registered public accounting firm for the year ending</w:t>
      </w:r>
    </w:p>
    <w:p>
      <w:pPr>
        <w:ind w:left="4"/>
        <w:spacing w:after="0"/>
        <w:rPr>
          <w:sz w:val="20"/>
          <w:szCs w:val="20"/>
          <w:color w:val="auto"/>
        </w:rPr>
      </w:pPr>
      <w:r>
        <w:rPr>
          <w:rFonts w:ascii="Arial" w:cs="Arial" w:eastAsia="Arial" w:hAnsi="Arial"/>
          <w:sz w:val="16"/>
          <w:szCs w:val="16"/>
          <w:color w:val="auto"/>
        </w:rPr>
        <w:t>December 31, 2026. Below is summary information about fees paid or due to be paid to Ernst &amp; Young LLP for services provided in 2025 and 2024:</w:t>
      </w:r>
    </w:p>
    <w:p>
      <w:pPr>
        <w:spacing w:after="0" w:line="138" w:lineRule="exact"/>
        <w:rPr>
          <w:sz w:val="20"/>
          <w:szCs w:val="20"/>
          <w:color w:val="auto"/>
        </w:rPr>
      </w:pPr>
    </w:p>
    <w:tbl>
      <w:tblPr>
        <w:tblLayout w:type="fixed"/>
        <w:tblInd w:w="4" w:type="dxa"/>
        <w:tblCellMar>
          <w:top w:w="0" w:type="dxa"/>
          <w:left w:w="0" w:type="dxa"/>
          <w:bottom w:w="0" w:type="dxa"/>
          <w:right w:w="0" w:type="dxa"/>
        </w:tblCellMar>
      </w:tblPr>
      <w:tr>
        <w:trPr>
          <w:trHeight w:val="190"/>
        </w:trPr>
        <w:tc>
          <w:tcPr>
            <w:tcW w:w="53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C8102E"/>
              </w:rPr>
              <w:t>Fee Category (fees in thousands)</w:t>
            </w:r>
          </w:p>
        </w:tc>
        <w:tc>
          <w:tcPr>
            <w:tcW w:w="3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C8102E"/>
              </w:rPr>
              <w:t>2025</w:t>
            </w: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C8102E"/>
              </w:rPr>
              <w:t>2024</w:t>
            </w:r>
          </w:p>
        </w:tc>
      </w:tr>
      <w:tr>
        <w:trPr>
          <w:trHeight w:val="230"/>
        </w:trPr>
        <w:tc>
          <w:tcPr>
            <w:tcW w:w="5360" w:type="dxa"/>
            <w:vAlign w:val="bottom"/>
            <w:tcBorders>
              <w:bottom w:val="single" w:sz="8" w:color="EDEDEE"/>
            </w:tcBorders>
            <w:shd w:val="clear" w:color="auto" w:fill="EDEDEE"/>
          </w:tcPr>
          <w:p>
            <w:pPr>
              <w:spacing w:after="0"/>
              <w:rPr>
                <w:sz w:val="20"/>
                <w:szCs w:val="20"/>
                <w:color w:val="auto"/>
              </w:rPr>
            </w:pPr>
            <w:r>
              <w:rPr>
                <w:rFonts w:ascii="Arial" w:cs="Arial" w:eastAsia="Arial" w:hAnsi="Arial"/>
                <w:sz w:val="16"/>
                <w:szCs w:val="16"/>
                <w:color w:val="auto"/>
              </w:rPr>
              <w:t> Audit Fees</w:t>
            </w:r>
          </w:p>
        </w:tc>
        <w:tc>
          <w:tcPr>
            <w:tcW w:w="3280" w:type="dxa"/>
            <w:vAlign w:val="bottom"/>
            <w:tcBorders>
              <w:bottom w:val="single" w:sz="8" w:color="EDEDEE"/>
            </w:tcBorders>
            <w:shd w:val="clear" w:color="auto" w:fill="EDEDEE"/>
          </w:tcPr>
          <w:p>
            <w:pPr>
              <w:jc w:val="right"/>
              <w:ind w:right="2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EDEDEE"/>
            </w:tcBorders>
            <w:shd w:val="clear" w:color="auto" w:fill="EDEDEE"/>
          </w:tcPr>
          <w:p>
            <w:pPr>
              <w:jc w:val="right"/>
              <w:ind w:right="79"/>
              <w:spacing w:after="0"/>
              <w:rPr>
                <w:sz w:val="20"/>
                <w:szCs w:val="20"/>
                <w:color w:val="auto"/>
              </w:rPr>
            </w:pPr>
            <w:r>
              <w:rPr>
                <w:rFonts w:ascii="Times New Roman" w:cs="Times New Roman" w:eastAsia="Times New Roman" w:hAnsi="Times New Roman"/>
                <w:sz w:val="16"/>
                <w:szCs w:val="16"/>
                <w:color w:val="auto"/>
              </w:rPr>
              <w:t>5,437</w:t>
            </w:r>
          </w:p>
        </w:tc>
        <w:tc>
          <w:tcPr>
            <w:tcW w:w="600" w:type="dxa"/>
            <w:vAlign w:val="bottom"/>
            <w:tcBorders>
              <w:bottom w:val="single" w:sz="8" w:color="EDEDEE"/>
            </w:tcBorders>
            <w:shd w:val="clear" w:color="auto" w:fill="EDEDEE"/>
          </w:tcPr>
          <w:p>
            <w:pPr>
              <w:jc w:val="right"/>
              <w:ind w:right="2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EDEDEE"/>
            </w:tcBorders>
            <w:shd w:val="clear" w:color="auto" w:fill="EDEDEE"/>
          </w:tcPr>
          <w:p>
            <w:pPr>
              <w:jc w:val="right"/>
              <w:ind w:right="39"/>
              <w:spacing w:after="0"/>
              <w:rPr>
                <w:sz w:val="20"/>
                <w:szCs w:val="20"/>
                <w:color w:val="auto"/>
              </w:rPr>
            </w:pPr>
            <w:r>
              <w:rPr>
                <w:rFonts w:ascii="Arial" w:cs="Arial" w:eastAsia="Arial" w:hAnsi="Arial"/>
                <w:sz w:val="16"/>
                <w:szCs w:val="16"/>
                <w:color w:val="auto"/>
              </w:rPr>
              <w:t>5,721</w:t>
            </w:r>
          </w:p>
        </w:tc>
      </w:tr>
      <w:tr>
        <w:trPr>
          <w:trHeight w:val="215"/>
        </w:trPr>
        <w:tc>
          <w:tcPr>
            <w:tcW w:w="5360" w:type="dxa"/>
            <w:vAlign w:val="bottom"/>
          </w:tcPr>
          <w:p>
            <w:pPr>
              <w:spacing w:after="0"/>
              <w:rPr>
                <w:sz w:val="20"/>
                <w:szCs w:val="20"/>
                <w:color w:val="auto"/>
              </w:rPr>
            </w:pPr>
            <w:r>
              <w:rPr>
                <w:rFonts w:ascii="Arial" w:cs="Arial" w:eastAsia="Arial" w:hAnsi="Arial"/>
                <w:sz w:val="16"/>
                <w:szCs w:val="16"/>
                <w:color w:val="auto"/>
              </w:rPr>
              <w:t> Audit-Related Fees</w:t>
            </w:r>
          </w:p>
        </w:tc>
        <w:tc>
          <w:tcPr>
            <w:tcW w:w="328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5360" w:type="dxa"/>
            <w:vAlign w:val="bottom"/>
            <w:tcBorders>
              <w:bottom w:val="single" w:sz="8" w:color="EDEDEE"/>
            </w:tcBorders>
            <w:shd w:val="clear" w:color="auto" w:fill="EDEDEE"/>
          </w:tcPr>
          <w:p>
            <w:pPr>
              <w:spacing w:after="0"/>
              <w:rPr>
                <w:sz w:val="20"/>
                <w:szCs w:val="20"/>
                <w:color w:val="auto"/>
              </w:rPr>
            </w:pPr>
            <w:r>
              <w:rPr>
                <w:rFonts w:ascii="Arial" w:cs="Arial" w:eastAsia="Arial" w:hAnsi="Arial"/>
                <w:sz w:val="16"/>
                <w:szCs w:val="16"/>
                <w:color w:val="auto"/>
              </w:rPr>
              <w:t> Tax Fees</w:t>
            </w:r>
          </w:p>
        </w:tc>
        <w:tc>
          <w:tcPr>
            <w:tcW w:w="3280" w:type="dxa"/>
            <w:vAlign w:val="bottom"/>
            <w:tcBorders>
              <w:bottom w:val="single" w:sz="8" w:color="EDEDEE"/>
            </w:tcBorders>
            <w:shd w:val="clear" w:color="auto" w:fill="EDEDEE"/>
          </w:tcPr>
          <w:p>
            <w:pPr>
              <w:spacing w:after="0"/>
              <w:rPr>
                <w:sz w:val="20"/>
                <w:szCs w:val="20"/>
                <w:color w:val="auto"/>
              </w:rPr>
            </w:pPr>
          </w:p>
        </w:tc>
        <w:tc>
          <w:tcPr>
            <w:tcW w:w="900" w:type="dxa"/>
            <w:vAlign w:val="bottom"/>
            <w:tcBorders>
              <w:bottom w:val="single" w:sz="8" w:color="EDEDEE"/>
            </w:tcBorders>
            <w:shd w:val="clear" w:color="auto" w:fill="EDEDEE"/>
          </w:tcPr>
          <w:p>
            <w:pPr>
              <w:jc w:val="right"/>
              <w:ind w:right="79"/>
              <w:spacing w:after="0"/>
              <w:rPr>
                <w:sz w:val="20"/>
                <w:szCs w:val="20"/>
                <w:color w:val="auto"/>
              </w:rPr>
            </w:pPr>
            <w:r>
              <w:rPr>
                <w:rFonts w:ascii="Times New Roman" w:cs="Times New Roman" w:eastAsia="Times New Roman" w:hAnsi="Times New Roman"/>
                <w:sz w:val="16"/>
                <w:szCs w:val="16"/>
                <w:color w:val="auto"/>
              </w:rPr>
              <w:t>2,475</w:t>
            </w:r>
          </w:p>
        </w:tc>
        <w:tc>
          <w:tcPr>
            <w:tcW w:w="600" w:type="dxa"/>
            <w:vAlign w:val="bottom"/>
            <w:tcBorders>
              <w:bottom w:val="single" w:sz="8" w:color="EDEDEE"/>
            </w:tcBorders>
            <w:shd w:val="clear" w:color="auto" w:fill="EDEDEE"/>
          </w:tcPr>
          <w:p>
            <w:pPr>
              <w:spacing w:after="0"/>
              <w:rPr>
                <w:sz w:val="20"/>
                <w:szCs w:val="20"/>
                <w:color w:val="auto"/>
              </w:rPr>
            </w:pPr>
          </w:p>
        </w:tc>
        <w:tc>
          <w:tcPr>
            <w:tcW w:w="880" w:type="dxa"/>
            <w:vAlign w:val="bottom"/>
            <w:tcBorders>
              <w:bottom w:val="single" w:sz="8" w:color="EDEDEE"/>
            </w:tcBorders>
            <w:shd w:val="clear" w:color="auto" w:fill="EDEDEE"/>
          </w:tcPr>
          <w:p>
            <w:pPr>
              <w:jc w:val="right"/>
              <w:ind w:right="39"/>
              <w:spacing w:after="0"/>
              <w:rPr>
                <w:sz w:val="20"/>
                <w:szCs w:val="20"/>
                <w:color w:val="auto"/>
              </w:rPr>
            </w:pPr>
            <w:r>
              <w:rPr>
                <w:rFonts w:ascii="Arial" w:cs="Arial" w:eastAsia="Arial" w:hAnsi="Arial"/>
                <w:sz w:val="16"/>
                <w:szCs w:val="16"/>
                <w:color w:val="auto"/>
              </w:rPr>
              <w:t>1,292</w:t>
            </w:r>
          </w:p>
        </w:tc>
      </w:tr>
      <w:tr>
        <w:trPr>
          <w:trHeight w:val="215"/>
        </w:trPr>
        <w:tc>
          <w:tcPr>
            <w:tcW w:w="53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 All Other Fees</w:t>
            </w:r>
          </w:p>
        </w:tc>
        <w:tc>
          <w:tcPr>
            <w:tcW w:w="3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156"/>
        </w:trPr>
        <w:tc>
          <w:tcPr>
            <w:tcW w:w="5360" w:type="dxa"/>
            <w:vAlign w:val="bottom"/>
            <w:shd w:val="clear" w:color="auto" w:fill="EDEDEE"/>
          </w:tcPr>
          <w:p>
            <w:pPr>
              <w:spacing w:after="0"/>
              <w:rPr>
                <w:sz w:val="13"/>
                <w:szCs w:val="13"/>
                <w:color w:val="auto"/>
              </w:rPr>
            </w:pPr>
          </w:p>
        </w:tc>
        <w:tc>
          <w:tcPr>
            <w:tcW w:w="3280" w:type="dxa"/>
            <w:vAlign w:val="bottom"/>
            <w:shd w:val="clear" w:color="auto" w:fill="EDEDEE"/>
          </w:tcPr>
          <w:p>
            <w:pPr>
              <w:spacing w:after="0"/>
              <w:rPr>
                <w:sz w:val="13"/>
                <w:szCs w:val="13"/>
                <w:color w:val="auto"/>
              </w:rPr>
            </w:pPr>
          </w:p>
        </w:tc>
        <w:tc>
          <w:tcPr>
            <w:tcW w:w="900" w:type="dxa"/>
            <w:vAlign w:val="bottom"/>
            <w:shd w:val="clear" w:color="auto" w:fill="EDEDEE"/>
          </w:tcPr>
          <w:p>
            <w:pPr>
              <w:spacing w:after="0"/>
              <w:rPr>
                <w:sz w:val="13"/>
                <w:szCs w:val="13"/>
                <w:color w:val="auto"/>
              </w:rPr>
            </w:pPr>
          </w:p>
        </w:tc>
        <w:tc>
          <w:tcPr>
            <w:tcW w:w="600" w:type="dxa"/>
            <w:vAlign w:val="bottom"/>
            <w:shd w:val="clear" w:color="auto" w:fill="EDEDEE"/>
          </w:tcPr>
          <w:p>
            <w:pPr>
              <w:spacing w:after="0"/>
              <w:rPr>
                <w:sz w:val="13"/>
                <w:szCs w:val="13"/>
                <w:color w:val="auto"/>
              </w:rPr>
            </w:pPr>
          </w:p>
        </w:tc>
        <w:tc>
          <w:tcPr>
            <w:tcW w:w="880" w:type="dxa"/>
            <w:vAlign w:val="bottom"/>
            <w:shd w:val="clear" w:color="auto" w:fill="EDEDEE"/>
          </w:tcPr>
          <w:p>
            <w:pPr>
              <w:spacing w:after="0"/>
              <w:rPr>
                <w:sz w:val="13"/>
                <w:szCs w:val="13"/>
                <w:color w:val="auto"/>
              </w:rPr>
            </w:pPr>
          </w:p>
        </w:tc>
      </w:tr>
      <w:tr>
        <w:trPr>
          <w:trHeight w:val="236"/>
        </w:trPr>
        <w:tc>
          <w:tcPr>
            <w:tcW w:w="5360" w:type="dxa"/>
            <w:vAlign w:val="bottom"/>
          </w:tcPr>
          <w:p>
            <w:pPr>
              <w:spacing w:after="0"/>
              <w:rPr>
                <w:sz w:val="20"/>
                <w:szCs w:val="20"/>
                <w:color w:val="auto"/>
              </w:rPr>
            </w:pPr>
            <w:r>
              <w:rPr>
                <w:rFonts w:ascii="Arial" w:cs="Arial" w:eastAsia="Arial" w:hAnsi="Arial"/>
                <w:sz w:val="16"/>
                <w:szCs w:val="16"/>
                <w:b w:val="1"/>
                <w:bCs w:val="1"/>
                <w:color w:val="auto"/>
              </w:rPr>
              <w:t> TOTAL</w:t>
            </w:r>
          </w:p>
        </w:tc>
        <w:tc>
          <w:tcPr>
            <w:tcW w:w="3280" w:type="dxa"/>
            <w:vAlign w:val="bottom"/>
          </w:tcPr>
          <w:p>
            <w:pPr>
              <w:jc w:val="right"/>
              <w:ind w:right="29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7,912</w:t>
            </w:r>
          </w:p>
        </w:tc>
        <w:tc>
          <w:tcPr>
            <w:tcW w:w="60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7,013</w:t>
            </w:r>
          </w:p>
        </w:tc>
      </w:tr>
      <w:tr>
        <w:trPr>
          <w:trHeight w:val="21"/>
        </w:trPr>
        <w:tc>
          <w:tcPr>
            <w:tcW w:w="5360" w:type="dxa"/>
            <w:vAlign w:val="bottom"/>
            <w:tcBorders>
              <w:bottom w:val="single" w:sz="8" w:color="auto"/>
            </w:tcBorders>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left="4"/>
        <w:spacing w:after="0"/>
        <w:rPr>
          <w:sz w:val="20"/>
          <w:szCs w:val="20"/>
          <w:color w:val="auto"/>
        </w:rPr>
      </w:pPr>
      <w:r>
        <w:rPr>
          <w:rFonts w:ascii="Arial" w:cs="Arial" w:eastAsia="Arial" w:hAnsi="Arial"/>
          <w:sz w:val="25"/>
          <w:szCs w:val="25"/>
          <w:b w:val="1"/>
          <w:bCs w:val="1"/>
          <w:color w:val="auto"/>
        </w:rPr>
        <w:t>Executive Compensation (page 41)</w:t>
      </w:r>
    </w:p>
    <w:p>
      <w:pPr>
        <w:spacing w:after="0" w:line="155" w:lineRule="exact"/>
        <w:rPr>
          <w:sz w:val="20"/>
          <w:szCs w:val="20"/>
          <w:color w:val="auto"/>
        </w:rPr>
      </w:pPr>
    </w:p>
    <w:p>
      <w:pPr>
        <w:jc w:val="both"/>
        <w:ind w:left="4" w:right="20"/>
        <w:spacing w:after="0" w:line="234" w:lineRule="auto"/>
        <w:rPr>
          <w:sz w:val="20"/>
          <w:szCs w:val="20"/>
          <w:color w:val="auto"/>
        </w:rPr>
      </w:pPr>
      <w:r>
        <w:rPr>
          <w:rFonts w:ascii="Arial" w:cs="Arial" w:eastAsia="Arial" w:hAnsi="Arial"/>
          <w:sz w:val="16"/>
          <w:szCs w:val="16"/>
          <w:color w:val="auto"/>
        </w:rPr>
        <w:t>We strive to create a compensation program for our team members, including our executives, that provides a compelling and engaging opportunity to attract, retain and motivate the best talent. We believe this results in performance-driven leadership that is aligned to achieve our financial and strategic objectives with the intention to deliver superior long-term returns to our stockholders. Our compensation program includes the following key features:</w:t>
      </w:r>
    </w:p>
    <w:p>
      <w:pPr>
        <w:spacing w:after="0" w:line="48" w:lineRule="exact"/>
        <w:rPr>
          <w:sz w:val="20"/>
          <w:szCs w:val="20"/>
          <w:color w:val="auto"/>
        </w:rPr>
      </w:pPr>
    </w:p>
    <w:p>
      <w:pPr>
        <w:ind w:left="324" w:hanging="324"/>
        <w:spacing w:after="0"/>
        <w:tabs>
          <w:tab w:leader="none" w:pos="324" w:val="left"/>
        </w:tabs>
        <w:numPr>
          <w:ilvl w:val="0"/>
          <w:numId w:val="13"/>
        </w:numPr>
        <w:rPr>
          <w:rFonts w:ascii="MS PGothic" w:cs="MS PGothic" w:eastAsia="MS PGothic" w:hAnsi="MS PGothic"/>
          <w:sz w:val="29"/>
          <w:szCs w:val="29"/>
          <w:color w:val="C8102E"/>
          <w:vertAlign w:val="superscript"/>
        </w:rPr>
      </w:pPr>
      <w:r>
        <w:rPr>
          <w:rFonts w:ascii="Arial" w:cs="Arial" w:eastAsia="Arial" w:hAnsi="Arial"/>
          <w:sz w:val="16"/>
          <w:szCs w:val="16"/>
          <w:color w:val="auto"/>
        </w:rPr>
        <w:t>We link rewards to performance and foster a team-based approach by setting clear objectives that, if achieved, will contribute to our overall success;</w:t>
      </w:r>
    </w:p>
    <w:p>
      <w:pPr>
        <w:spacing w:after="0" w:line="152" w:lineRule="exact"/>
        <w:rPr>
          <w:rFonts w:ascii="MS PGothic" w:cs="MS PGothic" w:eastAsia="MS PGothic" w:hAnsi="MS PGothic"/>
          <w:sz w:val="29"/>
          <w:szCs w:val="29"/>
          <w:color w:val="C8102E"/>
          <w:vertAlign w:val="superscript"/>
        </w:rPr>
      </w:pPr>
    </w:p>
    <w:p>
      <w:pPr>
        <w:ind w:left="324" w:right="20" w:hanging="324"/>
        <w:spacing w:after="0" w:line="182" w:lineRule="auto"/>
        <w:tabs>
          <w:tab w:leader="none" w:pos="324" w:val="left"/>
        </w:tabs>
        <w:numPr>
          <w:ilvl w:val="0"/>
          <w:numId w:val="13"/>
        </w:numPr>
        <w:rPr>
          <w:rFonts w:ascii="MS PGothic" w:cs="MS PGothic" w:eastAsia="MS PGothic" w:hAnsi="MS PGothic"/>
          <w:sz w:val="29"/>
          <w:szCs w:val="29"/>
          <w:color w:val="C8102E"/>
          <w:vertAlign w:val="superscript"/>
        </w:rPr>
      </w:pPr>
      <w:r>
        <w:rPr>
          <w:rFonts w:ascii="Arial" w:cs="Arial" w:eastAsia="Arial" w:hAnsi="Arial"/>
          <w:sz w:val="16"/>
          <w:szCs w:val="16"/>
          <w:color w:val="auto"/>
        </w:rPr>
        <w:t>We emphasize long-term stockholder value creation by using performance-based restricted stock units (“PRSUs”), and time-based restricted stock units (“RSUs”), in combination with a robust stock ownership policy, to deliver long-term compensation incentives;</w:t>
      </w:r>
    </w:p>
    <w:p>
      <w:pPr>
        <w:spacing w:after="0" w:line="124" w:lineRule="exact"/>
        <w:rPr>
          <w:rFonts w:ascii="MS PGothic" w:cs="MS PGothic" w:eastAsia="MS PGothic" w:hAnsi="MS PGothic"/>
          <w:sz w:val="29"/>
          <w:szCs w:val="29"/>
          <w:color w:val="C8102E"/>
          <w:vertAlign w:val="superscript"/>
        </w:rPr>
      </w:pPr>
    </w:p>
    <w:p>
      <w:pPr>
        <w:ind w:left="324" w:right="20" w:hanging="324"/>
        <w:spacing w:after="0" w:line="190" w:lineRule="auto"/>
        <w:tabs>
          <w:tab w:leader="none" w:pos="324" w:val="left"/>
        </w:tabs>
        <w:numPr>
          <w:ilvl w:val="0"/>
          <w:numId w:val="13"/>
        </w:numPr>
        <w:rPr>
          <w:rFonts w:ascii="MS PGothic" w:cs="MS PGothic" w:eastAsia="MS PGothic" w:hAnsi="MS PGothic"/>
          <w:sz w:val="29"/>
          <w:szCs w:val="29"/>
          <w:color w:val="C8102E"/>
          <w:vertAlign w:val="superscript"/>
        </w:rPr>
      </w:pPr>
      <w:r>
        <w:rPr>
          <w:rFonts w:ascii="Arial" w:cs="Arial" w:eastAsia="Arial" w:hAnsi="Arial"/>
          <w:sz w:val="16"/>
          <w:szCs w:val="16"/>
          <w:color w:val="auto"/>
        </w:rPr>
        <w:t>We set Annual Incentive Plan operational and financial performance targets based on the results of our Board’s strategic planning process and corporate budget, and provide payouts that may vary significantly from year-to-year based on the achievement of those targets; and</w:t>
      </w:r>
    </w:p>
    <w:p>
      <w:pPr>
        <w:spacing w:after="0" w:line="124" w:lineRule="exact"/>
        <w:rPr>
          <w:rFonts w:ascii="MS PGothic" w:cs="MS PGothic" w:eastAsia="MS PGothic" w:hAnsi="MS PGothic"/>
          <w:sz w:val="29"/>
          <w:szCs w:val="29"/>
          <w:color w:val="C8102E"/>
          <w:vertAlign w:val="superscript"/>
        </w:rPr>
      </w:pPr>
    </w:p>
    <w:p>
      <w:pPr>
        <w:ind w:left="324" w:right="20" w:hanging="324"/>
        <w:spacing w:after="0" w:line="190" w:lineRule="auto"/>
        <w:tabs>
          <w:tab w:leader="none" w:pos="324" w:val="left"/>
        </w:tabs>
        <w:numPr>
          <w:ilvl w:val="0"/>
          <w:numId w:val="13"/>
        </w:numPr>
        <w:rPr>
          <w:rFonts w:ascii="MS PGothic" w:cs="MS PGothic" w:eastAsia="MS PGothic" w:hAnsi="MS PGothic"/>
          <w:sz w:val="29"/>
          <w:szCs w:val="29"/>
          <w:color w:val="C8102E"/>
          <w:vertAlign w:val="superscript"/>
        </w:rPr>
      </w:pPr>
      <w:r>
        <w:rPr>
          <w:rFonts w:ascii="Arial" w:cs="Arial" w:eastAsia="Arial" w:hAnsi="Arial"/>
          <w:sz w:val="16"/>
          <w:szCs w:val="16"/>
          <w:color w:val="auto"/>
        </w:rPr>
        <w:t>We believe the design of our overall compensation program, as well as our internal controls and policies, serve to limit excessive risk-taking behavior, as described further on page 38.</w:t>
      </w:r>
    </w:p>
    <w:p>
      <w:pPr>
        <w:spacing w:after="0" w:line="181" w:lineRule="exact"/>
        <w:rPr>
          <w:sz w:val="20"/>
          <w:szCs w:val="20"/>
          <w:color w:val="auto"/>
        </w:rPr>
      </w:pPr>
    </w:p>
    <w:p>
      <w:pPr>
        <w:jc w:val="both"/>
        <w:ind w:left="4" w:right="20"/>
        <w:spacing w:after="0" w:line="264" w:lineRule="auto"/>
        <w:rPr>
          <w:sz w:val="20"/>
          <w:szCs w:val="20"/>
          <w:color w:val="auto"/>
        </w:rPr>
      </w:pPr>
      <w:r>
        <w:rPr>
          <w:rFonts w:ascii="Arial" w:cs="Arial" w:eastAsia="Arial" w:hAnsi="Arial"/>
          <w:sz w:val="25"/>
          <w:szCs w:val="25"/>
          <w:b w:val="1"/>
          <w:bCs w:val="1"/>
          <w:color w:val="auto"/>
        </w:rPr>
        <w:t>Say-on-Pay: Advisory Vote to Approve the Compensation of our Named Executive Officers (page 58)</w:t>
      </w:r>
    </w:p>
    <w:p>
      <w:pPr>
        <w:spacing w:after="0" w:line="53" w:lineRule="exact"/>
        <w:rPr>
          <w:sz w:val="20"/>
          <w:szCs w:val="20"/>
          <w:color w:val="auto"/>
        </w:rPr>
      </w:pPr>
    </w:p>
    <w:p>
      <w:pPr>
        <w:jc w:val="both"/>
        <w:ind w:left="4"/>
        <w:spacing w:after="0" w:line="228" w:lineRule="auto"/>
        <w:rPr>
          <w:sz w:val="20"/>
          <w:szCs w:val="20"/>
          <w:color w:val="auto"/>
        </w:rPr>
      </w:pPr>
      <w:r>
        <w:rPr>
          <w:rFonts w:ascii="Arial" w:cs="Arial" w:eastAsia="Arial" w:hAnsi="Arial"/>
          <w:sz w:val="16"/>
          <w:szCs w:val="16"/>
          <w:color w:val="auto"/>
        </w:rPr>
        <w:t>We are asking our stockholders to approve, on an advisory basis, the compensation of our named executive officers. We believe our compensation programs and practices are appropriate and effective in implementing our compensation philosophy, and our focus remains on linking compensation to performance while aligning the interests of management with those of our stockholders. Our Board of Directors has unanimously recommended that stockholders vote FOR the approval of the compensation of our named executive officers on an advisory basis.</w:t>
      </w:r>
    </w:p>
    <w:p>
      <w:pPr>
        <w:spacing w:after="0" w:line="138" w:lineRule="exact"/>
        <w:rPr>
          <w:sz w:val="20"/>
          <w:szCs w:val="20"/>
          <w:color w:val="auto"/>
        </w:rPr>
      </w:pPr>
    </w:p>
    <w:p>
      <w:pPr>
        <w:ind w:left="7564"/>
        <w:spacing w:after="0"/>
        <w:tabs>
          <w:tab w:leader="none" w:pos="10844" w:val="left"/>
        </w:tabs>
        <w:rPr>
          <w:sz w:val="20"/>
          <w:szCs w:val="20"/>
          <w:color w:val="auto"/>
        </w:rPr>
      </w:pPr>
      <w:r>
        <w:rPr>
          <w:sz w:val="1"/>
          <w:szCs w:val="1"/>
          <w:color w:val="auto"/>
        </w:rPr>
        <w:drawing>
          <wp:inline distT="0" distB="0" distL="0" distR="0">
            <wp:extent cx="685800" cy="16319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0" cy="163195"/>
                    </a:xfrm>
                    <a:prstGeom prst="rect">
                      <a:avLst/>
                    </a:prstGeom>
                    <a:noFill/>
                    <a:ln>
                      <a:noFill/>
                    </a:ln>
                  </pic:spPr>
                </pic:pic>
              </a:graphicData>
            </a:graphic>
          </wp:inline>
        </w:drawing>
      </w:r>
      <w:r>
        <w:rPr>
          <w:rFonts w:ascii="Arial" w:cs="Arial" w:eastAsia="Arial" w:hAnsi="Arial"/>
          <w:sz w:val="18"/>
          <w:szCs w:val="18"/>
          <w:color w:val="auto"/>
        </w:rPr>
        <w:t xml:space="preserve"> - 2026 Proxy Statement</w:t>
      </w:r>
      <w:r>
        <w:rPr>
          <w:sz w:val="20"/>
          <w:szCs w:val="20"/>
          <w:color w:val="auto"/>
        </w:rPr>
        <w:tab/>
      </w: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-186690</wp:posOffset>
            </wp:positionV>
            <wp:extent cx="6995160" cy="3340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334010"/>
                    </a:xfrm>
                    <a:prstGeom prst="rect">
                      <a:avLst/>
                    </a:prstGeom>
                    <a:noFill/>
                  </pic:spPr>
                </pic:pic>
              </a:graphicData>
            </a:graphic>
          </wp:anchor>
        </w:drawing>
      </w:r>
    </w:p>
    <w:p>
      <w:pPr>
        <w:sectPr>
          <w:pgSz w:w="11900" w:h="16838" w:orient="portrait"/>
          <w:cols w:equalWidth="0" w:num="1">
            <w:col w:w="11024"/>
          </w:cols>
          <w:pgMar w:left="436" w:top="588" w:right="439" w:bottom="1440" w:gutter="0" w:footer="0" w:header="0"/>
        </w:sectPr>
      </w:pPr>
    </w:p>
    <w:bookmarkStart w:id="13" w:name="page14"/>
    <w:bookmarkEnd w:id="13"/>
    <w:p>
      <w:pPr>
        <w:spacing w:after="0"/>
        <w:rPr>
          <w:sz w:val="20"/>
          <w:szCs w:val="20"/>
          <w:color w:val="auto"/>
        </w:rPr>
      </w:pPr>
      <w:r>
        <w:rPr>
          <w:rFonts w:ascii="Arial" w:cs="Arial" w:eastAsia="Arial" w:hAnsi="Arial"/>
          <w:sz w:val="32"/>
          <w:szCs w:val="32"/>
          <w:b w:val="1"/>
          <w:bCs w:val="1"/>
          <w:color w:val="C8102E"/>
        </w:rPr>
        <w:t>Proxy Statement for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6995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23"/>
          <w:szCs w:val="23"/>
          <w:color w:val="auto"/>
        </w:rPr>
        <w:t>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95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2" w:lineRule="exact"/>
        <w:rPr>
          <w:sz w:val="20"/>
          <w:szCs w:val="20"/>
          <w:color w:val="auto"/>
        </w:rPr>
      </w:pPr>
    </w:p>
    <w:p>
      <w:pPr>
        <w:jc w:val="both"/>
        <w:spacing w:after="0" w:line="225" w:lineRule="auto"/>
        <w:rPr>
          <w:sz w:val="20"/>
          <w:szCs w:val="20"/>
          <w:color w:val="auto"/>
        </w:rPr>
      </w:pPr>
      <w:r>
        <w:rPr>
          <w:rFonts w:ascii="Arial" w:cs="Arial" w:eastAsia="Arial" w:hAnsi="Arial"/>
          <w:sz w:val="16"/>
          <w:szCs w:val="16"/>
          <w:color w:val="auto"/>
        </w:rPr>
        <w:t>We are furnishing this Proxy Statement (the “Proxy Statement”) in connection with the solicitation by the Board of Directors (the “Board”) of Enovis Corporation (hereinafter, “Enovis,” “we,” “us” and the “Company”) of proxies for use at the 2026 Annual Meeting of Stockholders (the “Annual Meeting”) to be held on Tuesday, May 19, 2026, at 12:00 p.m. Eastern Time, and at any adjournments or postponements thereof. The Board has made this Proxy Statement and the accompanying Notice of Annual Meeting available on the Internet. We first made these materials available to the Company’s stockholders entitled to vote at the Annual Meeting on or about April 6, 2026.</w:t>
      </w:r>
    </w:p>
    <w:p>
      <w:pPr>
        <w:spacing w:after="0" w:line="146" w:lineRule="exact"/>
        <w:rPr>
          <w:sz w:val="20"/>
          <w:szCs w:val="20"/>
          <w:color w:val="auto"/>
        </w:rPr>
      </w:pPr>
    </w:p>
    <w:p>
      <w:pPr>
        <w:spacing w:after="0"/>
        <w:rPr>
          <w:sz w:val="20"/>
          <w:szCs w:val="20"/>
          <w:color w:val="auto"/>
        </w:rPr>
      </w:pPr>
      <w:r>
        <w:rPr>
          <w:rFonts w:ascii="Arial" w:cs="Arial" w:eastAsia="Arial" w:hAnsi="Arial"/>
          <w:sz w:val="23"/>
          <w:szCs w:val="23"/>
          <w:color w:val="auto"/>
        </w:rPr>
        <w:t>About Enovis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-164465</wp:posOffset>
            </wp:positionV>
            <wp:extent cx="6995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23495</wp:posOffset>
            </wp:positionV>
            <wp:extent cx="6995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9"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Enovis Corporation (NYSE: ENOV) is an innovation-driven medical technology growth company dedicated to developing clinically differentiated solutions that generate measurably better patient outcomes and transform workflows. Powered by a culture of continuous improvement, global talent and innovation, the Company’s extensive range of products, services and integrated technologies fuel active lifestyles in orthopedics and beyond.</w:t>
      </w:r>
    </w:p>
    <w:p>
      <w:pPr>
        <w:spacing w:after="0" w:line="123"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Our principal executive office is located at 2711 Centerville Road, Suite 400, Wilmington, DE 19808. Our telephone number is (302) 252-9160 and our website is located at enovis.com.</w:t>
      </w:r>
    </w:p>
    <w:p>
      <w:pPr>
        <w:spacing w:after="0" w:line="104" w:lineRule="exact"/>
        <w:rPr>
          <w:sz w:val="20"/>
          <w:szCs w:val="20"/>
          <w:color w:val="auto"/>
        </w:rPr>
      </w:pPr>
    </w:p>
    <w:p>
      <w:pPr>
        <w:spacing w:after="0"/>
        <w:tabs>
          <w:tab w:leader="none" w:pos="299" w:val="left"/>
        </w:tabs>
        <w:rPr>
          <w:sz w:val="20"/>
          <w:szCs w:val="20"/>
          <w:color w:val="auto"/>
        </w:rPr>
      </w:pPr>
      <w:r>
        <w:rPr>
          <w:rFonts w:ascii="Arial" w:cs="Arial" w:eastAsia="Arial" w:hAnsi="Arial"/>
          <w:sz w:val="18"/>
          <w:szCs w:val="18"/>
          <w:color w:val="auto"/>
        </w:rPr>
        <w:t>8</w:t>
      </w:r>
      <w:r>
        <w:rPr>
          <w:sz w:val="20"/>
          <w:szCs w:val="20"/>
          <w:color w:val="auto"/>
        </w:rPr>
        <w:tab/>
      </w:r>
      <w:r>
        <w:rPr>
          <w:sz w:val="1"/>
          <w:szCs w:val="1"/>
          <w:color w:val="auto"/>
        </w:rPr>
        <w:drawing>
          <wp:inline distT="0" distB="0" distL="0" distR="0">
            <wp:extent cx="17145" cy="31686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145" cy="316865"/>
                    </a:xfrm>
                    <a:prstGeom prst="rect">
                      <a:avLst/>
                    </a:prstGeom>
                    <a:noFill/>
                    <a:ln>
                      <a:noFill/>
                    </a:ln>
                  </pic:spPr>
                </pic:pic>
              </a:graphicData>
            </a:graphic>
          </wp:inline>
        </w:drawing>
        <w:drawing>
          <wp:inline distT="0" distB="0" distL="0" distR="0">
            <wp:extent cx="685800" cy="16319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0" cy="163195"/>
                    </a:xfrm>
                    <a:prstGeom prst="rect">
                      <a:avLst/>
                    </a:prstGeom>
                    <a:noFill/>
                    <a:ln>
                      <a:noFill/>
                    </a:ln>
                  </pic:spPr>
                </pic:pic>
              </a:graphicData>
            </a:graphic>
          </wp:inline>
        </w:drawing>
      </w:r>
      <w:r>
        <w:rPr>
          <w:rFonts w:ascii="Arial" w:cs="Arial" w:eastAsia="Arial" w:hAnsi="Arial"/>
          <w:sz w:val="18"/>
          <w:szCs w:val="18"/>
          <w:color w:val="auto"/>
        </w:rPr>
        <w:t xml:space="preserve">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995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649" w:right="439" w:bottom="1440" w:gutter="0" w:footer="0" w:header="0"/>
        </w:sectPr>
      </w:pPr>
    </w:p>
    <w:bookmarkStart w:id="14" w:name="page15"/>
    <w:bookmarkEnd w:id="14"/>
    <w:p>
      <w:pPr>
        <w:ind w:left="4"/>
        <w:spacing w:after="0"/>
        <w:tabs>
          <w:tab w:leader="none" w:pos="3524" w:val="left"/>
        </w:tabs>
        <w:rPr>
          <w:sz w:val="20"/>
          <w:szCs w:val="20"/>
          <w:color w:val="auto"/>
        </w:rPr>
      </w:pPr>
      <w:r>
        <w:rPr>
          <w:rFonts w:ascii="Arial" w:cs="Arial" w:eastAsia="Arial" w:hAnsi="Arial"/>
          <w:sz w:val="47"/>
          <w:szCs w:val="47"/>
          <w:b w:val="1"/>
          <w:bCs w:val="1"/>
          <w:color w:val="C8102E"/>
        </w:rPr>
        <w:t>Proposal 1</w:t>
      </w:r>
      <w:r>
        <w:rPr>
          <w:sz w:val="20"/>
          <w:szCs w:val="20"/>
          <w:color w:val="auto"/>
        </w:rPr>
        <w:tab/>
      </w:r>
      <w:r>
        <w:rPr>
          <w:rFonts w:ascii="Arial" w:cs="Arial" w:eastAsia="Arial" w:hAnsi="Arial"/>
          <w:sz w:val="46"/>
          <w:szCs w:val="46"/>
          <w:color w:val="auto"/>
        </w:rPr>
        <w:t>Election of Directors</w:t>
      </w:r>
    </w:p>
    <w:p>
      <w:pPr>
        <w:spacing w:after="0" w:line="146" w:lineRule="exact"/>
        <w:rPr>
          <w:sz w:val="20"/>
          <w:szCs w:val="20"/>
          <w:color w:val="auto"/>
        </w:rPr>
      </w:pPr>
    </w:p>
    <w:p>
      <w:pPr>
        <w:jc w:val="both"/>
        <w:ind w:left="4" w:right="20"/>
        <w:spacing w:after="0" w:line="225" w:lineRule="auto"/>
        <w:rPr>
          <w:sz w:val="20"/>
          <w:szCs w:val="20"/>
          <w:color w:val="auto"/>
        </w:rPr>
      </w:pPr>
      <w:r>
        <w:rPr>
          <w:rFonts w:ascii="Arial" w:cs="Arial" w:eastAsia="Arial" w:hAnsi="Arial"/>
          <w:sz w:val="16"/>
          <w:szCs w:val="16"/>
          <w:color w:val="auto"/>
        </w:rPr>
        <w:t>Ten director nominees will be elected at the Annual Meeting, each to serve until the next annual meeting of the Company and until his or her successor is duly elected and qualified. At the recommendation of the Nominating and Corporate Governance Committee, the Board has nominated the following persons to serve as directors for the term beginning at the Annual Meeting on May 19, 2026: Sharon Wienbar, Damien McDonald, Barbara W. Bodem, Liam J. Kelly, Angela S. Lalor, Philip A. Okala, Christine Ortiz, A. Clayton Perfall, Brady R. Shirley, and Rajiv Vinnakota. All nominees are currently serving on the Board.</w:t>
      </w:r>
    </w:p>
    <w:p>
      <w:pPr>
        <w:spacing w:after="0" w:line="93" w:lineRule="exact"/>
        <w:rPr>
          <w:sz w:val="20"/>
          <w:szCs w:val="20"/>
          <w:color w:val="auto"/>
        </w:rPr>
      </w:pPr>
    </w:p>
    <w:p>
      <w:pPr>
        <w:ind w:left="4"/>
        <w:spacing w:after="0"/>
        <w:rPr>
          <w:sz w:val="20"/>
          <w:szCs w:val="20"/>
          <w:color w:val="auto"/>
        </w:rPr>
      </w:pPr>
      <w:r>
        <w:rPr>
          <w:rFonts w:ascii="Arial" w:cs="Arial" w:eastAsia="Arial" w:hAnsi="Arial"/>
          <w:sz w:val="32"/>
          <w:szCs w:val="32"/>
          <w:b w:val="1"/>
          <w:bCs w:val="1"/>
          <w:color w:val="C8102E"/>
        </w:rPr>
        <w:t>Director Qualifications</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23"/>
          <w:szCs w:val="23"/>
          <w:color w:val="auto"/>
        </w:rPr>
        <w:t> Nominating Committee Criteria for Board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-164465</wp:posOffset>
            </wp:positionV>
            <wp:extent cx="6995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23495</wp:posOffset>
            </wp:positionV>
            <wp:extent cx="6995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Nominating and Corporate Governance Committee considers, among other things, the following criteria in selecting and reviewing director nominees:</w:t>
      </w:r>
    </w:p>
    <w:p>
      <w:pPr>
        <w:spacing w:after="0" w:line="78" w:lineRule="exact"/>
        <w:rPr>
          <w:sz w:val="20"/>
          <w:szCs w:val="20"/>
          <w:color w:val="auto"/>
        </w:rPr>
      </w:pPr>
    </w:p>
    <w:p>
      <w:pPr>
        <w:ind w:left="324" w:hanging="324"/>
        <w:spacing w:after="0"/>
        <w:tabs>
          <w:tab w:leader="none" w:pos="324" w:val="left"/>
        </w:tabs>
        <w:numPr>
          <w:ilvl w:val="0"/>
          <w:numId w:val="14"/>
        </w:numPr>
        <w:rPr>
          <w:rFonts w:ascii="MS PGothic" w:cs="MS PGothic" w:eastAsia="MS PGothic" w:hAnsi="MS PGothic"/>
          <w:sz w:val="29"/>
          <w:szCs w:val="29"/>
          <w:color w:val="C8102E"/>
          <w:vertAlign w:val="superscript"/>
        </w:rPr>
      </w:pPr>
      <w:r>
        <w:rPr>
          <w:rFonts w:ascii="Arial" w:cs="Arial" w:eastAsia="Arial" w:hAnsi="Arial"/>
          <w:sz w:val="16"/>
          <w:szCs w:val="16"/>
          <w:color w:val="auto"/>
        </w:rPr>
        <w:t>personal and professional integrity;</w:t>
      </w:r>
    </w:p>
    <w:p>
      <w:pPr>
        <w:spacing w:after="0" w:line="152" w:lineRule="exact"/>
        <w:rPr>
          <w:rFonts w:ascii="MS PGothic" w:cs="MS PGothic" w:eastAsia="MS PGothic" w:hAnsi="MS PGothic"/>
          <w:sz w:val="29"/>
          <w:szCs w:val="29"/>
          <w:color w:val="C8102E"/>
          <w:vertAlign w:val="superscript"/>
        </w:rPr>
      </w:pPr>
    </w:p>
    <w:p>
      <w:pPr>
        <w:ind w:left="324" w:right="20" w:hanging="324"/>
        <w:spacing w:after="0" w:line="182" w:lineRule="auto"/>
        <w:tabs>
          <w:tab w:leader="none" w:pos="324" w:val="left"/>
        </w:tabs>
        <w:numPr>
          <w:ilvl w:val="0"/>
          <w:numId w:val="14"/>
        </w:numPr>
        <w:rPr>
          <w:rFonts w:ascii="MS PGothic" w:cs="MS PGothic" w:eastAsia="MS PGothic" w:hAnsi="MS PGothic"/>
          <w:sz w:val="29"/>
          <w:szCs w:val="29"/>
          <w:color w:val="C8102E"/>
          <w:vertAlign w:val="superscript"/>
        </w:rPr>
      </w:pPr>
      <w:r>
        <w:rPr>
          <w:rFonts w:ascii="Arial" w:cs="Arial" w:eastAsia="Arial" w:hAnsi="Arial"/>
          <w:sz w:val="16"/>
          <w:szCs w:val="16"/>
          <w:color w:val="auto"/>
        </w:rPr>
        <w:t>skills, business experience and industry knowledge useful to the oversight of the Company based on the perceived needs of the Company and the Board at any given time;</w:t>
      </w:r>
    </w:p>
    <w:p>
      <w:pPr>
        <w:spacing w:after="0" w:line="48" w:lineRule="exact"/>
        <w:rPr>
          <w:rFonts w:ascii="MS PGothic" w:cs="MS PGothic" w:eastAsia="MS PGothic" w:hAnsi="MS PGothic"/>
          <w:sz w:val="29"/>
          <w:szCs w:val="29"/>
          <w:color w:val="C8102E"/>
          <w:vertAlign w:val="superscript"/>
        </w:rPr>
      </w:pPr>
    </w:p>
    <w:p>
      <w:pPr>
        <w:ind w:left="324" w:hanging="324"/>
        <w:spacing w:after="0"/>
        <w:tabs>
          <w:tab w:leader="none" w:pos="324" w:val="left"/>
        </w:tabs>
        <w:numPr>
          <w:ilvl w:val="0"/>
          <w:numId w:val="14"/>
        </w:numPr>
        <w:rPr>
          <w:rFonts w:ascii="MS PGothic" w:cs="MS PGothic" w:eastAsia="MS PGothic" w:hAnsi="MS PGothic"/>
          <w:sz w:val="29"/>
          <w:szCs w:val="29"/>
          <w:color w:val="C8102E"/>
          <w:vertAlign w:val="superscript"/>
        </w:rPr>
      </w:pPr>
      <w:r>
        <w:rPr>
          <w:rFonts w:ascii="Arial" w:cs="Arial" w:eastAsia="Arial" w:hAnsi="Arial"/>
          <w:sz w:val="16"/>
          <w:szCs w:val="16"/>
          <w:color w:val="auto"/>
        </w:rPr>
        <w:t>the ability and willingness to devote the required amount of time to the Company’s affairs, including attendance at Board and committee meetings;</w:t>
      </w:r>
    </w:p>
    <w:p>
      <w:pPr>
        <w:spacing w:after="0" w:line="138" w:lineRule="exact"/>
        <w:rPr>
          <w:rFonts w:ascii="MS PGothic" w:cs="MS PGothic" w:eastAsia="MS PGothic" w:hAnsi="MS PGothic"/>
          <w:sz w:val="29"/>
          <w:szCs w:val="29"/>
          <w:color w:val="C8102E"/>
          <w:vertAlign w:val="superscript"/>
        </w:rPr>
      </w:pPr>
    </w:p>
    <w:p>
      <w:pPr>
        <w:ind w:left="324" w:hanging="324"/>
        <w:spacing w:after="0" w:line="183" w:lineRule="auto"/>
        <w:tabs>
          <w:tab w:leader="none" w:pos="324" w:val="left"/>
        </w:tabs>
        <w:numPr>
          <w:ilvl w:val="0"/>
          <w:numId w:val="14"/>
        </w:numPr>
        <w:rPr>
          <w:rFonts w:ascii="MS PGothic" w:cs="MS PGothic" w:eastAsia="MS PGothic" w:hAnsi="MS PGothic"/>
          <w:sz w:val="26"/>
          <w:szCs w:val="26"/>
          <w:color w:val="C8102E"/>
          <w:vertAlign w:val="superscript"/>
        </w:rPr>
      </w:pPr>
      <w:r>
        <w:rPr>
          <w:rFonts w:ascii="Arial" w:cs="Arial" w:eastAsia="Arial" w:hAnsi="Arial"/>
          <w:sz w:val="15"/>
          <w:szCs w:val="15"/>
          <w:color w:val="auto"/>
        </w:rPr>
        <w:t>the interest, capacity and willingness to serve the long-term interests of the Company and its stockholders; and</w:t>
      </w:r>
    </w:p>
    <w:p>
      <w:pPr>
        <w:spacing w:after="0" w:line="152" w:lineRule="exact"/>
        <w:rPr>
          <w:rFonts w:ascii="MS PGothic" w:cs="MS PGothic" w:eastAsia="MS PGothic" w:hAnsi="MS PGothic"/>
          <w:sz w:val="26"/>
          <w:szCs w:val="26"/>
          <w:color w:val="C8102E"/>
          <w:vertAlign w:val="superscript"/>
        </w:rPr>
      </w:pPr>
    </w:p>
    <w:p>
      <w:pPr>
        <w:ind w:left="324" w:right="20" w:hanging="324"/>
        <w:spacing w:after="0" w:line="182" w:lineRule="auto"/>
        <w:tabs>
          <w:tab w:leader="none" w:pos="324" w:val="left"/>
        </w:tabs>
        <w:numPr>
          <w:ilvl w:val="0"/>
          <w:numId w:val="14"/>
        </w:numPr>
        <w:rPr>
          <w:rFonts w:ascii="MS PGothic" w:cs="MS PGothic" w:eastAsia="MS PGothic" w:hAnsi="MS PGothic"/>
          <w:sz w:val="29"/>
          <w:szCs w:val="29"/>
          <w:color w:val="C8102E"/>
          <w:vertAlign w:val="superscript"/>
        </w:rPr>
      </w:pPr>
      <w:r>
        <w:rPr>
          <w:rFonts w:ascii="Arial" w:cs="Arial" w:eastAsia="Arial" w:hAnsi="Arial"/>
          <w:sz w:val="16"/>
          <w:szCs w:val="16"/>
          <w:color w:val="auto"/>
        </w:rPr>
        <w:t>the lack of any personal or professional relationships that would adversely affect a candidate’s ability to serve the best interests of the Company and its stockholders.</w:t>
      </w:r>
    </w:p>
    <w:p>
      <w:pPr>
        <w:spacing w:after="0" w:line="111" w:lineRule="exact"/>
        <w:rPr>
          <w:sz w:val="20"/>
          <w:szCs w:val="20"/>
          <w:color w:val="auto"/>
        </w:rPr>
      </w:pPr>
    </w:p>
    <w:p>
      <w:pPr>
        <w:jc w:val="both"/>
        <w:ind w:left="4" w:right="20"/>
        <w:spacing w:after="0" w:line="228" w:lineRule="auto"/>
        <w:rPr>
          <w:sz w:val="20"/>
          <w:szCs w:val="20"/>
          <w:color w:val="auto"/>
        </w:rPr>
      </w:pPr>
      <w:r>
        <w:rPr>
          <w:rFonts w:ascii="Arial" w:cs="Arial" w:eastAsia="Arial" w:hAnsi="Arial"/>
          <w:sz w:val="16"/>
          <w:szCs w:val="16"/>
          <w:color w:val="auto"/>
        </w:rPr>
        <w:t>Pursuant to its charter, the Nominating and Corporate Governance Committee also reviews, among other qualifications, the perspective, broad business judgment and leadership, business creativity and vision, and the backgrounds, experiences and skills of potential directors, all in the context of the needs of the Board at that time. We believe that Board membership should reflect diversity in its broadest sense, and we seek independent directors who represent a mix of backgrounds and experiences that will enhance the quality of the Board’s deliberations and decisions.</w:t>
      </w:r>
    </w:p>
    <w:p>
      <w:pPr>
        <w:spacing w:after="0" w:line="111" w:lineRule="exact"/>
        <w:rPr>
          <w:sz w:val="20"/>
          <w:szCs w:val="20"/>
          <w:color w:val="auto"/>
        </w:rPr>
      </w:pPr>
    </w:p>
    <w:p>
      <w:pPr>
        <w:jc w:val="both"/>
        <w:ind w:left="4"/>
        <w:spacing w:after="0" w:line="221" w:lineRule="auto"/>
        <w:rPr>
          <w:sz w:val="20"/>
          <w:szCs w:val="20"/>
          <w:color w:val="auto"/>
        </w:rPr>
      </w:pPr>
      <w:r>
        <w:rPr>
          <w:rFonts w:ascii="Arial" w:cs="Arial" w:eastAsia="Arial" w:hAnsi="Arial"/>
          <w:sz w:val="16"/>
          <w:szCs w:val="16"/>
          <w:color w:val="auto"/>
        </w:rPr>
        <w:t>The Nominating and Corporate Governance Committee is committed to actively seeking out highly qualified candidates with diverse experiences, backgrounds and perspectives as part of each director search that our Company undertakes. In addition, the Nominating and Corporate Governance Committee annually considers its effectiveness in achieving these objectives as a part of its assessment of the overall composition of the Board and as part of the annual Board evaluation process described further below, which includes a director skills matrix to identify areas of director knowledge and experience that may benefit the Board in the future. That information is used as a part of the director search and nomination process. The Nominating and Corporate Governance Committee looks for candidates with the expertise, skills, knowledge and experience that, when taken together with that of other members of the Board, will lead to a Board that is effective, collegial and responsive to the needs of the Company.</w:t>
      </w:r>
    </w:p>
    <w:p>
      <w:pPr>
        <w:spacing w:after="0" w:line="147" w:lineRule="exact"/>
        <w:rPr>
          <w:sz w:val="20"/>
          <w:szCs w:val="20"/>
          <w:color w:val="auto"/>
        </w:rPr>
      </w:pPr>
    </w:p>
    <w:p>
      <w:pPr>
        <w:ind w:left="4"/>
        <w:spacing w:after="0"/>
        <w:rPr>
          <w:sz w:val="20"/>
          <w:szCs w:val="20"/>
          <w:color w:val="auto"/>
        </w:rPr>
      </w:pPr>
      <w:r>
        <w:rPr>
          <w:rFonts w:ascii="Arial" w:cs="Arial" w:eastAsia="Arial" w:hAnsi="Arial"/>
          <w:sz w:val="23"/>
          <w:szCs w:val="23"/>
          <w:color w:val="auto"/>
        </w:rPr>
        <w:t> Board Member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-164465</wp:posOffset>
            </wp:positionV>
            <wp:extent cx="69951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23495</wp:posOffset>
            </wp:positionV>
            <wp:extent cx="6995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2" w:lineRule="exact"/>
        <w:rPr>
          <w:sz w:val="20"/>
          <w:szCs w:val="20"/>
          <w:color w:val="auto"/>
        </w:rPr>
      </w:pPr>
    </w:p>
    <w:p>
      <w:pPr>
        <w:jc w:val="both"/>
        <w:ind w:left="4" w:right="20"/>
        <w:spacing w:after="0" w:line="225" w:lineRule="auto"/>
        <w:rPr>
          <w:sz w:val="20"/>
          <w:szCs w:val="20"/>
          <w:color w:val="auto"/>
        </w:rPr>
      </w:pPr>
      <w:r>
        <w:rPr>
          <w:rFonts w:ascii="Arial" w:cs="Arial" w:eastAsia="Arial" w:hAnsi="Arial"/>
          <w:sz w:val="16"/>
          <w:szCs w:val="16"/>
          <w:color w:val="auto"/>
        </w:rPr>
        <w:t>The biographies of each of the nominees below contain information regarding the experiences, qualifications, attributes or skills that the Nominating and Corporate Governance Committee and the Board considered in determining that the person should serve as a director of the Company. The Board has been informed that all of the nominees listed below are willing to serve as directors, but if any of them should decline or be unable to act as a director, the individuals named in the proxies may vote for a substitute designated by the Board, or the Board may determine to reduce the size of the Board. The Company has no reason to believe that any nominee will be unable or unwilling to serve.</w:t>
      </w:r>
    </w:p>
    <w:p>
      <w:pPr>
        <w:spacing w:after="0" w:line="124" w:lineRule="exact"/>
        <w:rPr>
          <w:sz w:val="20"/>
          <w:szCs w:val="20"/>
          <w:color w:val="auto"/>
        </w:rPr>
      </w:pPr>
    </w:p>
    <w:p>
      <w:pPr>
        <w:ind w:left="7564"/>
        <w:spacing w:after="0"/>
        <w:tabs>
          <w:tab w:leader="none" w:pos="10844" w:val="left"/>
        </w:tabs>
        <w:rPr>
          <w:sz w:val="20"/>
          <w:szCs w:val="20"/>
          <w:color w:val="auto"/>
        </w:rPr>
      </w:pPr>
      <w:r>
        <w:rPr>
          <w:sz w:val="1"/>
          <w:szCs w:val="1"/>
          <w:color w:val="auto"/>
        </w:rPr>
        <w:drawing>
          <wp:inline distT="0" distB="0" distL="0" distR="0">
            <wp:extent cx="685800" cy="16256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0" cy="162560"/>
                    </a:xfrm>
                    <a:prstGeom prst="rect">
                      <a:avLst/>
                    </a:prstGeom>
                    <a:noFill/>
                    <a:ln>
                      <a:noFill/>
                    </a:ln>
                  </pic:spPr>
                </pic:pic>
              </a:graphicData>
            </a:graphic>
          </wp:inline>
        </w:drawing>
      </w:r>
      <w:r>
        <w:rPr>
          <w:rFonts w:ascii="Arial" w:cs="Arial" w:eastAsia="Arial" w:hAnsi="Arial"/>
          <w:sz w:val="18"/>
          <w:szCs w:val="18"/>
          <w:color w:val="auto"/>
        </w:rPr>
        <w:t xml:space="preserve"> - 2026 Proxy Statement</w:t>
      </w:r>
      <w:r>
        <w:rPr>
          <w:sz w:val="20"/>
          <w:szCs w:val="20"/>
          <w:color w:val="auto"/>
        </w:rPr>
        <w:tab/>
      </w: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-186690</wp:posOffset>
            </wp:positionV>
            <wp:extent cx="6995160" cy="3257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325755"/>
                    </a:xfrm>
                    <a:prstGeom prst="rect">
                      <a:avLst/>
                    </a:prstGeom>
                    <a:noFill/>
                  </pic:spPr>
                </pic:pic>
              </a:graphicData>
            </a:graphic>
          </wp:anchor>
        </w:drawing>
      </w:r>
    </w:p>
    <w:p>
      <w:pPr>
        <w:sectPr>
          <w:pgSz w:w="11900" w:h="16838" w:orient="portrait"/>
          <w:cols w:equalWidth="0" w:num="1">
            <w:col w:w="11024"/>
          </w:cols>
          <w:pgMar w:left="436" w:top="627" w:right="439" w:bottom="1440" w:gutter="0" w:footer="0" w:header="0"/>
        </w:sectPr>
      </w:pPr>
    </w:p>
    <w:bookmarkStart w:id="15" w:name="page16"/>
    <w:bookmarkEnd w:id="15"/>
    <w:p>
      <w:pPr>
        <w:spacing w:after="0"/>
        <w:rPr>
          <w:sz w:val="20"/>
          <w:szCs w:val="20"/>
          <w:color w:val="auto"/>
        </w:rPr>
      </w:pPr>
      <w:r>
        <w:rPr>
          <w:rFonts w:ascii="Arial" w:cs="Arial" w:eastAsia="Arial" w:hAnsi="Arial"/>
          <w:sz w:val="32"/>
          <w:szCs w:val="32"/>
          <w:b w:val="1"/>
          <w:bCs w:val="1"/>
          <w:color w:val="C8102E"/>
        </w:rPr>
        <w:t>Nominees for Director</w:t>
      </w:r>
    </w:p>
    <w:p>
      <w:pPr>
        <w:spacing w:after="0" w:line="148"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names of the nominees for director, their ages as of April 1, 2026, principal occupations, employment and other public company board service during at least the last five years, periods of service as a director of the Company, and the experiences, qualifications, attributes and skills of each nominee are set forth below:</w:t>
      </w:r>
    </w:p>
    <w:p>
      <w:pPr>
        <w:sectPr>
          <w:pgSz w:w="11900" w:h="16838" w:orient="portrait"/>
          <w:cols w:equalWidth="0" w:num="1">
            <w:col w:w="11020"/>
          </w:cols>
          <w:pgMar w:left="440" w:top="582" w:right="439" w:bottom="727" w:gutter="0" w:footer="0" w:header="0"/>
        </w:sectPr>
      </w:pPr>
    </w:p>
    <w:p>
      <w:pPr>
        <w:spacing w:after="0" w:line="90" w:lineRule="exact"/>
        <w:rPr>
          <w:sz w:val="20"/>
          <w:szCs w:val="20"/>
          <w:color w:val="auto"/>
        </w:rPr>
      </w:pPr>
    </w:p>
    <w:p>
      <w:pPr>
        <w:ind w:left="720"/>
        <w:spacing w:after="0"/>
        <w:rPr>
          <w:sz w:val="20"/>
          <w:szCs w:val="20"/>
          <w:color w:val="auto"/>
        </w:rPr>
      </w:pPr>
      <w:r>
        <w:rPr>
          <w:rFonts w:ascii="Arial" w:cs="Arial" w:eastAsia="Arial" w:hAnsi="Arial"/>
          <w:sz w:val="29"/>
          <w:szCs w:val="29"/>
          <w:b w:val="1"/>
          <w:bCs w:val="1"/>
          <w:color w:val="C8102E"/>
        </w:rPr>
        <w:t>Sharon Wienbar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127000</wp:posOffset>
            </wp:positionV>
            <wp:extent cx="1148715" cy="11226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48715" cy="112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C8102E"/>
        </w:rPr>
        <w:t>Director since 2016</w:t>
      </w:r>
    </w:p>
    <w:p>
      <w:pPr>
        <w:ind w:left="940"/>
        <w:spacing w:after="0"/>
        <w:rPr>
          <w:sz w:val="20"/>
          <w:szCs w:val="20"/>
          <w:color w:val="auto"/>
        </w:rPr>
      </w:pPr>
      <w:r>
        <w:rPr>
          <w:rFonts w:ascii="Arial" w:cs="Arial" w:eastAsia="Arial" w:hAnsi="Arial"/>
          <w:sz w:val="18"/>
          <w:szCs w:val="18"/>
          <w:b w:val="1"/>
          <w:bCs w:val="1"/>
          <w:color w:val="C8102E"/>
        </w:rPr>
        <w:t>Independent | Age 64</w:t>
      </w:r>
    </w:p>
    <w:p>
      <w:pPr>
        <w:spacing w:after="0" w:line="126"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color w:val="C8102E"/>
        </w:rPr>
        <w:t>Committees: Compensation</w:t>
      </w:r>
    </w:p>
    <w:p>
      <w:pPr>
        <w:jc w:val="center"/>
        <w:ind w:left="420"/>
        <w:spacing w:after="0"/>
        <w:rPr>
          <w:sz w:val="20"/>
          <w:szCs w:val="20"/>
          <w:color w:val="auto"/>
        </w:rPr>
      </w:pPr>
      <w:r>
        <w:rPr>
          <w:rFonts w:ascii="Arial" w:cs="Arial" w:eastAsia="Arial" w:hAnsi="Arial"/>
          <w:sz w:val="17"/>
          <w:szCs w:val="17"/>
          <w:b w:val="1"/>
          <w:bCs w:val="1"/>
          <w:color w:val="C8102E"/>
        </w:rPr>
        <w:t>and Human Capital Management</w:t>
      </w:r>
    </w:p>
    <w:p>
      <w:pPr>
        <w:spacing w:after="0" w:line="151"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C8102E"/>
        </w:rPr>
        <w:t>Chair of the Board</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ind w:left="10" w:right="460"/>
        <w:spacing w:after="0" w:line="261" w:lineRule="auto"/>
        <w:rPr>
          <w:sz w:val="20"/>
          <w:szCs w:val="20"/>
          <w:color w:val="auto"/>
        </w:rPr>
      </w:pPr>
      <w:r>
        <w:rPr>
          <w:rFonts w:ascii="Arial" w:cs="Arial" w:eastAsia="Arial" w:hAnsi="Arial"/>
          <w:sz w:val="16"/>
          <w:szCs w:val="16"/>
          <w:b w:val="1"/>
          <w:bCs w:val="1"/>
          <w:color w:val="C8102E"/>
        </w:rPr>
        <w:t>Career Highlights and Recent Business Experience</w:t>
      </w:r>
    </w:p>
    <w:p>
      <w:pPr>
        <w:spacing w:after="0" w:line="104" w:lineRule="exact"/>
        <w:rPr>
          <w:sz w:val="20"/>
          <w:szCs w:val="20"/>
          <w:color w:val="auto"/>
        </w:rPr>
      </w:pPr>
    </w:p>
    <w:p>
      <w:pPr>
        <w:ind w:left="130" w:hanging="130"/>
        <w:spacing w:after="0"/>
        <w:tabs>
          <w:tab w:leader="none" w:pos="130" w:val="left"/>
        </w:tabs>
        <w:numPr>
          <w:ilvl w:val="0"/>
          <w:numId w:val="15"/>
        </w:numPr>
        <w:rPr>
          <w:rFonts w:ascii="MS PGothic" w:cs="MS PGothic" w:eastAsia="MS PGothic" w:hAnsi="MS PGothic"/>
          <w:sz w:val="14"/>
          <w:szCs w:val="14"/>
          <w:color w:val="C8102E"/>
        </w:rPr>
      </w:pPr>
      <w:r>
        <w:rPr>
          <w:rFonts w:ascii="Arial" w:cs="Arial" w:eastAsia="Arial" w:hAnsi="Arial"/>
          <w:sz w:val="14"/>
          <w:szCs w:val="14"/>
          <w:color w:val="auto"/>
        </w:rPr>
        <w:t>Scale Venture Partners</w:t>
      </w:r>
    </w:p>
    <w:p>
      <w:pPr>
        <w:spacing w:after="0" w:line="15" w:lineRule="exact"/>
        <w:rPr>
          <w:rFonts w:ascii="MS PGothic" w:cs="MS PGothic" w:eastAsia="MS PGothic" w:hAnsi="MS PGothic"/>
          <w:sz w:val="14"/>
          <w:szCs w:val="14"/>
          <w:color w:val="C8102E"/>
        </w:rPr>
      </w:pPr>
    </w:p>
    <w:p>
      <w:pPr>
        <w:ind w:left="430" w:right="180" w:hanging="214"/>
        <w:spacing w:after="0" w:line="231" w:lineRule="auto"/>
        <w:tabs>
          <w:tab w:leader="none" w:pos="348" w:val="left"/>
        </w:tabs>
        <w:numPr>
          <w:ilvl w:val="1"/>
          <w:numId w:val="15"/>
        </w:numPr>
        <w:rPr>
          <w:rFonts w:ascii="MS PGothic" w:cs="MS PGothic" w:eastAsia="MS PGothic" w:hAnsi="MS PGothic"/>
          <w:sz w:val="14"/>
          <w:szCs w:val="14"/>
          <w:color w:val="C8102E"/>
        </w:rPr>
      </w:pPr>
      <w:r>
        <w:rPr>
          <w:rFonts w:ascii="Arial" w:cs="Arial" w:eastAsia="Arial" w:hAnsi="Arial"/>
          <w:sz w:val="14"/>
          <w:szCs w:val="14"/>
          <w:color w:val="auto"/>
        </w:rPr>
        <w:t>Partner (2001 – 2018); Led venture capital investments in technology companies and served on the boards of numerous public and private portfolio businesses</w:t>
      </w:r>
    </w:p>
    <w:p>
      <w:pPr>
        <w:spacing w:after="0" w:line="135" w:lineRule="exact"/>
        <w:rPr>
          <w:rFonts w:ascii="MS PGothic" w:cs="MS PGothic" w:eastAsia="MS PGothic" w:hAnsi="MS PGothic"/>
          <w:sz w:val="14"/>
          <w:szCs w:val="14"/>
          <w:color w:val="C8102E"/>
        </w:rPr>
      </w:pPr>
    </w:p>
    <w:p>
      <w:pPr>
        <w:ind w:left="210" w:hanging="210"/>
        <w:spacing w:after="0" w:line="231" w:lineRule="auto"/>
        <w:tabs>
          <w:tab w:leader="none" w:pos="128" w:val="left"/>
        </w:tabs>
        <w:numPr>
          <w:ilvl w:val="0"/>
          <w:numId w:val="15"/>
        </w:numPr>
        <w:rPr>
          <w:rFonts w:ascii="MS PGothic" w:cs="MS PGothic" w:eastAsia="MS PGothic" w:hAnsi="MS PGothic"/>
          <w:sz w:val="14"/>
          <w:szCs w:val="14"/>
          <w:color w:val="C8102E"/>
        </w:rPr>
      </w:pPr>
      <w:r>
        <w:rPr>
          <w:rFonts w:ascii="Arial" w:cs="Arial" w:eastAsia="Arial" w:hAnsi="Arial"/>
          <w:sz w:val="14"/>
          <w:szCs w:val="14"/>
          <w:color w:val="auto"/>
        </w:rPr>
        <w:t>Hackbright Academy, a leading software engineering training company for women</w:t>
      </w:r>
    </w:p>
    <w:p>
      <w:pPr>
        <w:spacing w:after="0" w:line="1" w:lineRule="exact"/>
        <w:rPr>
          <w:rFonts w:ascii="MS PGothic" w:cs="MS PGothic" w:eastAsia="MS PGothic" w:hAnsi="MS PGothic"/>
          <w:sz w:val="14"/>
          <w:szCs w:val="14"/>
          <w:color w:val="C8102E"/>
        </w:rPr>
      </w:pPr>
    </w:p>
    <w:p>
      <w:pPr>
        <w:ind w:left="350" w:hanging="134"/>
        <w:spacing w:after="0"/>
        <w:tabs>
          <w:tab w:leader="none" w:pos="350" w:val="left"/>
        </w:tabs>
        <w:numPr>
          <w:ilvl w:val="1"/>
          <w:numId w:val="15"/>
        </w:numPr>
        <w:rPr>
          <w:rFonts w:ascii="MS PGothic" w:cs="MS PGothic" w:eastAsia="MS PGothic" w:hAnsi="MS PGothic"/>
          <w:sz w:val="14"/>
          <w:szCs w:val="14"/>
          <w:color w:val="C8102E"/>
        </w:rPr>
      </w:pPr>
      <w:r>
        <w:rPr>
          <w:rFonts w:ascii="Arial" w:cs="Arial" w:eastAsia="Arial" w:hAnsi="Arial"/>
          <w:sz w:val="14"/>
          <w:szCs w:val="14"/>
          <w:color w:val="auto"/>
        </w:rPr>
        <w:t>Chief Executive Officer (2015 – 2016)</w:t>
      </w:r>
    </w:p>
    <w:p>
      <w:pPr>
        <w:spacing w:after="0" w:line="162" w:lineRule="exact"/>
        <w:rPr>
          <w:rFonts w:ascii="MS PGothic" w:cs="MS PGothic" w:eastAsia="MS PGothic" w:hAnsi="MS PGothic"/>
          <w:sz w:val="14"/>
          <w:szCs w:val="14"/>
          <w:color w:val="C8102E"/>
        </w:rPr>
      </w:pPr>
    </w:p>
    <w:p>
      <w:pPr>
        <w:ind w:left="210" w:hanging="210"/>
        <w:spacing w:after="0" w:line="228" w:lineRule="auto"/>
        <w:tabs>
          <w:tab w:leader="none" w:pos="128" w:val="left"/>
        </w:tabs>
        <w:numPr>
          <w:ilvl w:val="0"/>
          <w:numId w:val="15"/>
        </w:numPr>
        <w:rPr>
          <w:rFonts w:ascii="MS PGothic" w:cs="MS PGothic" w:eastAsia="MS PGothic" w:hAnsi="MS PGothic"/>
          <w:sz w:val="14"/>
          <w:szCs w:val="14"/>
          <w:color w:val="C8102E"/>
        </w:rPr>
      </w:pPr>
      <w:r>
        <w:rPr>
          <w:rFonts w:ascii="Arial" w:cs="Arial" w:eastAsia="Arial" w:hAnsi="Arial"/>
          <w:sz w:val="14"/>
          <w:szCs w:val="14"/>
          <w:color w:val="auto"/>
        </w:rPr>
        <w:t>Planned Parenthood Direct (formerly Kaleido Health) (private non-profit company), a leading women’s health app</w:t>
      </w:r>
    </w:p>
    <w:p>
      <w:pPr>
        <w:ind w:left="350" w:hanging="134"/>
        <w:spacing w:after="0"/>
        <w:tabs>
          <w:tab w:leader="none" w:pos="350" w:val="left"/>
        </w:tabs>
        <w:numPr>
          <w:ilvl w:val="1"/>
          <w:numId w:val="15"/>
        </w:numPr>
        <w:rPr>
          <w:rFonts w:ascii="MS PGothic" w:cs="MS PGothic" w:eastAsia="MS PGothic" w:hAnsi="MS PGothic"/>
          <w:sz w:val="14"/>
          <w:szCs w:val="14"/>
          <w:color w:val="C8102E"/>
        </w:rPr>
      </w:pPr>
      <w:r>
        <w:rPr>
          <w:rFonts w:ascii="Arial" w:cs="Arial" w:eastAsia="Arial" w:hAnsi="Arial"/>
          <w:sz w:val="14"/>
          <w:szCs w:val="14"/>
          <w:color w:val="auto"/>
        </w:rPr>
        <w:t>Director (2016 – present)</w:t>
      </w:r>
    </w:p>
    <w:p>
      <w:pPr>
        <w:spacing w:after="0" w:line="162" w:lineRule="exact"/>
        <w:rPr>
          <w:rFonts w:ascii="MS PGothic" w:cs="MS PGothic" w:eastAsia="MS PGothic" w:hAnsi="MS PGothic"/>
          <w:sz w:val="14"/>
          <w:szCs w:val="14"/>
          <w:color w:val="C8102E"/>
        </w:rPr>
      </w:pPr>
    </w:p>
    <w:p>
      <w:pPr>
        <w:ind w:left="130" w:hanging="130"/>
        <w:spacing w:after="0"/>
        <w:tabs>
          <w:tab w:leader="none" w:pos="130" w:val="left"/>
        </w:tabs>
        <w:numPr>
          <w:ilvl w:val="0"/>
          <w:numId w:val="15"/>
        </w:numPr>
        <w:rPr>
          <w:rFonts w:ascii="MS PGothic" w:cs="MS PGothic" w:eastAsia="MS PGothic" w:hAnsi="MS PGothic"/>
          <w:sz w:val="14"/>
          <w:szCs w:val="14"/>
          <w:color w:val="C8102E"/>
        </w:rPr>
      </w:pPr>
      <w:r>
        <w:rPr>
          <w:rFonts w:ascii="Arial" w:cs="Arial" w:eastAsia="Arial" w:hAnsi="Arial"/>
          <w:sz w:val="14"/>
          <w:szCs w:val="14"/>
          <w:color w:val="auto"/>
        </w:rPr>
        <w:t>Everyday Health, Inc.</w:t>
      </w:r>
    </w:p>
    <w:p>
      <w:pPr>
        <w:spacing w:after="0" w:line="15" w:lineRule="exact"/>
        <w:rPr>
          <w:rFonts w:ascii="MS PGothic" w:cs="MS PGothic" w:eastAsia="MS PGothic" w:hAnsi="MS PGothic"/>
          <w:sz w:val="14"/>
          <w:szCs w:val="14"/>
          <w:color w:val="C8102E"/>
        </w:rPr>
      </w:pPr>
    </w:p>
    <w:p>
      <w:pPr>
        <w:ind w:left="350" w:hanging="134"/>
        <w:spacing w:after="0"/>
        <w:tabs>
          <w:tab w:leader="none" w:pos="350" w:val="left"/>
        </w:tabs>
        <w:numPr>
          <w:ilvl w:val="1"/>
          <w:numId w:val="15"/>
        </w:numPr>
        <w:rPr>
          <w:rFonts w:ascii="MS PGothic" w:cs="MS PGothic" w:eastAsia="MS PGothic" w:hAnsi="MS PGothic"/>
          <w:sz w:val="14"/>
          <w:szCs w:val="14"/>
          <w:color w:val="C8102E"/>
        </w:rPr>
      </w:pPr>
      <w:r>
        <w:rPr>
          <w:rFonts w:ascii="Arial" w:cs="Arial" w:eastAsia="Arial" w:hAnsi="Arial"/>
          <w:sz w:val="14"/>
          <w:szCs w:val="14"/>
          <w:color w:val="auto"/>
        </w:rPr>
        <w:t>Director (2014 – 2016)</w:t>
      </w:r>
    </w:p>
    <w:p>
      <w:pPr>
        <w:spacing w:after="0" w:line="162" w:lineRule="exact"/>
        <w:rPr>
          <w:rFonts w:ascii="MS PGothic" w:cs="MS PGothic" w:eastAsia="MS PGothic" w:hAnsi="MS PGothic"/>
          <w:sz w:val="14"/>
          <w:szCs w:val="14"/>
          <w:color w:val="C8102E"/>
        </w:rPr>
      </w:pPr>
    </w:p>
    <w:p>
      <w:pPr>
        <w:ind w:left="130" w:hanging="130"/>
        <w:spacing w:after="0"/>
        <w:tabs>
          <w:tab w:leader="none" w:pos="130" w:val="left"/>
        </w:tabs>
        <w:numPr>
          <w:ilvl w:val="0"/>
          <w:numId w:val="15"/>
        </w:numPr>
        <w:rPr>
          <w:rFonts w:ascii="MS PGothic" w:cs="MS PGothic" w:eastAsia="MS PGothic" w:hAnsi="MS PGothic"/>
          <w:sz w:val="14"/>
          <w:szCs w:val="14"/>
          <w:color w:val="C8102E"/>
        </w:rPr>
      </w:pPr>
      <w:r>
        <w:rPr>
          <w:rFonts w:ascii="Arial" w:cs="Arial" w:eastAsia="Arial" w:hAnsi="Arial"/>
          <w:sz w:val="14"/>
          <w:szCs w:val="14"/>
          <w:color w:val="auto"/>
        </w:rPr>
        <w:t>Glu Mobile, Inc.</w:t>
      </w:r>
    </w:p>
    <w:p>
      <w:pPr>
        <w:spacing w:after="0" w:line="1" w:lineRule="exact"/>
        <w:rPr>
          <w:rFonts w:ascii="MS PGothic" w:cs="MS PGothic" w:eastAsia="MS PGothic" w:hAnsi="MS PGothic"/>
          <w:sz w:val="14"/>
          <w:szCs w:val="14"/>
          <w:color w:val="C8102E"/>
        </w:rPr>
      </w:pPr>
    </w:p>
    <w:p>
      <w:pPr>
        <w:ind w:left="350" w:hanging="134"/>
        <w:spacing w:after="0"/>
        <w:tabs>
          <w:tab w:leader="none" w:pos="350" w:val="left"/>
        </w:tabs>
        <w:numPr>
          <w:ilvl w:val="1"/>
          <w:numId w:val="15"/>
        </w:numPr>
        <w:rPr>
          <w:rFonts w:ascii="MS PGothic" w:cs="MS PGothic" w:eastAsia="MS PGothic" w:hAnsi="MS PGothic"/>
          <w:sz w:val="14"/>
          <w:szCs w:val="14"/>
          <w:color w:val="C8102E"/>
        </w:rPr>
      </w:pPr>
      <w:r>
        <w:rPr>
          <w:rFonts w:ascii="Arial" w:cs="Arial" w:eastAsia="Arial" w:hAnsi="Arial"/>
          <w:sz w:val="14"/>
          <w:szCs w:val="14"/>
          <w:color w:val="auto"/>
        </w:rPr>
        <w:t>Director (2007 – 2008)</w:t>
      </w:r>
    </w:p>
    <w:p>
      <w:pPr>
        <w:spacing w:after="0" w:line="162" w:lineRule="exact"/>
        <w:rPr>
          <w:rFonts w:ascii="MS PGothic" w:cs="MS PGothic" w:eastAsia="MS PGothic" w:hAnsi="MS PGothic"/>
          <w:sz w:val="14"/>
          <w:szCs w:val="14"/>
          <w:color w:val="C8102E"/>
        </w:rPr>
      </w:pPr>
    </w:p>
    <w:p>
      <w:pPr>
        <w:ind w:left="210" w:right="40" w:hanging="210"/>
        <w:spacing w:after="0" w:line="236" w:lineRule="auto"/>
        <w:tabs>
          <w:tab w:leader="none" w:pos="128" w:val="left"/>
        </w:tabs>
        <w:numPr>
          <w:ilvl w:val="0"/>
          <w:numId w:val="15"/>
        </w:numPr>
        <w:rPr>
          <w:rFonts w:ascii="MS PGothic" w:cs="MS PGothic" w:eastAsia="MS PGothic" w:hAnsi="MS PGothic"/>
          <w:sz w:val="14"/>
          <w:szCs w:val="14"/>
          <w:color w:val="C8102E"/>
        </w:rPr>
      </w:pPr>
      <w:r>
        <w:rPr>
          <w:rFonts w:ascii="Arial" w:cs="Arial" w:eastAsia="Arial" w:hAnsi="Arial"/>
          <w:sz w:val="14"/>
          <w:szCs w:val="14"/>
          <w:color w:val="auto"/>
        </w:rPr>
        <w:t>Prior to venture capital career, served as an executive at several software companies, including Adobe Systems, and as a consultant at Bain &amp; Company</w:t>
      </w:r>
    </w:p>
    <w:p>
      <w:pPr>
        <w:spacing w:after="0" w:line="136" w:lineRule="exact"/>
        <w:rPr>
          <w:rFonts w:ascii="MS PGothic" w:cs="MS PGothic" w:eastAsia="MS PGothic" w:hAnsi="MS PGothic"/>
          <w:sz w:val="14"/>
          <w:szCs w:val="14"/>
          <w:color w:val="C8102E"/>
        </w:rPr>
      </w:pPr>
    </w:p>
    <w:p>
      <w:pPr>
        <w:ind w:left="210" w:right="600" w:hanging="210"/>
        <w:spacing w:after="0" w:line="285" w:lineRule="auto"/>
        <w:tabs>
          <w:tab w:leader="none" w:pos="128" w:val="left"/>
        </w:tabs>
        <w:numPr>
          <w:ilvl w:val="0"/>
          <w:numId w:val="15"/>
        </w:numPr>
        <w:rPr>
          <w:rFonts w:ascii="MS PGothic" w:cs="MS PGothic" w:eastAsia="MS PGothic" w:hAnsi="MS PGothic"/>
          <w:sz w:val="14"/>
          <w:szCs w:val="14"/>
          <w:color w:val="C8102E"/>
        </w:rPr>
      </w:pPr>
      <w:r>
        <w:rPr>
          <w:rFonts w:ascii="Arial" w:cs="Arial" w:eastAsia="Arial" w:hAnsi="Arial"/>
          <w:sz w:val="14"/>
          <w:szCs w:val="14"/>
          <w:color w:val="auto"/>
        </w:rPr>
        <w:t>Served on Microsoft Inc.’s venture advisory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-2459355</wp:posOffset>
            </wp:positionH>
            <wp:positionV relativeFrom="paragraph">
              <wp:posOffset>80010</wp:posOffset>
            </wp:positionV>
            <wp:extent cx="69951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C8102E"/>
        </w:rPr>
        <w:t>Other Current Public Directorships</w:t>
      </w:r>
    </w:p>
    <w:p>
      <w:pPr>
        <w:spacing w:after="0" w:line="158" w:lineRule="exact"/>
        <w:rPr>
          <w:sz w:val="20"/>
          <w:szCs w:val="20"/>
          <w:color w:val="auto"/>
        </w:rPr>
      </w:pPr>
    </w:p>
    <w:p>
      <w:pPr>
        <w:ind w:left="130" w:hanging="130"/>
        <w:spacing w:after="0"/>
        <w:tabs>
          <w:tab w:leader="none" w:pos="130" w:val="left"/>
        </w:tabs>
        <w:numPr>
          <w:ilvl w:val="0"/>
          <w:numId w:val="16"/>
        </w:numPr>
        <w:rPr>
          <w:rFonts w:ascii="MS PGothic" w:cs="MS PGothic" w:eastAsia="MS PGothic" w:hAnsi="MS PGothic"/>
          <w:sz w:val="14"/>
          <w:szCs w:val="14"/>
          <w:color w:val="C8102E"/>
        </w:rPr>
      </w:pPr>
      <w:r>
        <w:rPr>
          <w:rFonts w:ascii="Arial" w:cs="Arial" w:eastAsia="Arial" w:hAnsi="Arial"/>
          <w:sz w:val="14"/>
          <w:szCs w:val="14"/>
          <w:color w:val="auto"/>
        </w:rPr>
        <w:t>Resideo Technologies, Inc.</w:t>
      </w:r>
    </w:p>
    <w:p>
      <w:pPr>
        <w:spacing w:after="0" w:line="15" w:lineRule="exact"/>
        <w:rPr>
          <w:rFonts w:ascii="MS PGothic" w:cs="MS PGothic" w:eastAsia="MS PGothic" w:hAnsi="MS PGothic"/>
          <w:sz w:val="14"/>
          <w:szCs w:val="14"/>
          <w:color w:val="C8102E"/>
        </w:rPr>
      </w:pPr>
    </w:p>
    <w:p>
      <w:pPr>
        <w:ind w:left="130" w:hanging="130"/>
        <w:spacing w:after="0"/>
        <w:tabs>
          <w:tab w:leader="none" w:pos="130" w:val="left"/>
        </w:tabs>
        <w:numPr>
          <w:ilvl w:val="0"/>
          <w:numId w:val="16"/>
        </w:numPr>
        <w:rPr>
          <w:rFonts w:ascii="MS PGothic" w:cs="MS PGothic" w:eastAsia="MS PGothic" w:hAnsi="MS PGothic"/>
          <w:sz w:val="14"/>
          <w:szCs w:val="14"/>
          <w:color w:val="C8102E"/>
        </w:rPr>
      </w:pPr>
      <w:r>
        <w:rPr>
          <w:rFonts w:ascii="Arial" w:cs="Arial" w:eastAsia="Arial" w:hAnsi="Arial"/>
          <w:sz w:val="14"/>
          <w:szCs w:val="14"/>
          <w:color w:val="auto"/>
        </w:rPr>
        <w:t>Ingram Micro Holding Corporation</w:t>
      </w:r>
    </w:p>
    <w:p>
      <w:pPr>
        <w:spacing w:after="0" w:line="158" w:lineRule="exact"/>
        <w:rPr>
          <w:sz w:val="20"/>
          <w:szCs w:val="20"/>
          <w:color w:val="auto"/>
        </w:rPr>
      </w:pPr>
    </w:p>
    <w:p>
      <w:pPr>
        <w:ind w:left="10" w:right="120"/>
        <w:spacing w:after="0" w:line="261" w:lineRule="auto"/>
        <w:rPr>
          <w:sz w:val="20"/>
          <w:szCs w:val="20"/>
          <w:color w:val="auto"/>
        </w:rPr>
      </w:pPr>
      <w:r>
        <w:rPr>
          <w:rFonts w:ascii="Arial" w:cs="Arial" w:eastAsia="Arial" w:hAnsi="Arial"/>
          <w:sz w:val="16"/>
          <w:szCs w:val="16"/>
          <w:b w:val="1"/>
          <w:bCs w:val="1"/>
          <w:color w:val="C8102E"/>
        </w:rPr>
        <w:t>Other Public Directorships in the Past Five Years</w:t>
      </w:r>
    </w:p>
    <w:p>
      <w:pPr>
        <w:spacing w:after="0" w:line="104" w:lineRule="exact"/>
        <w:rPr>
          <w:sz w:val="20"/>
          <w:szCs w:val="20"/>
          <w:color w:val="auto"/>
        </w:rPr>
      </w:pPr>
    </w:p>
    <w:p>
      <w:pPr>
        <w:ind w:left="130" w:hanging="130"/>
        <w:spacing w:after="0"/>
        <w:tabs>
          <w:tab w:leader="none" w:pos="130" w:val="left"/>
        </w:tabs>
        <w:numPr>
          <w:ilvl w:val="0"/>
          <w:numId w:val="17"/>
        </w:numPr>
        <w:rPr>
          <w:rFonts w:ascii="MS PGothic" w:cs="MS PGothic" w:eastAsia="MS PGothic" w:hAnsi="MS PGothic"/>
          <w:sz w:val="14"/>
          <w:szCs w:val="14"/>
          <w:color w:val="C8102E"/>
        </w:rPr>
      </w:pPr>
      <w:r>
        <w:rPr>
          <w:rFonts w:ascii="Arial" w:cs="Arial" w:eastAsia="Arial" w:hAnsi="Arial"/>
          <w:sz w:val="14"/>
          <w:szCs w:val="14"/>
          <w:color w:val="auto"/>
        </w:rPr>
        <w:t>Covetrus, Inc. (2020 – 2022)</w:t>
      </w:r>
    </w:p>
    <w:p>
      <w:pPr>
        <w:spacing w:after="0" w:line="172" w:lineRule="exact"/>
        <w:rPr>
          <w:sz w:val="20"/>
          <w:szCs w:val="20"/>
          <w:color w:val="auto"/>
        </w:rPr>
      </w:pPr>
    </w:p>
    <w:p>
      <w:pPr>
        <w:ind w:left="10" w:right="200"/>
        <w:spacing w:after="0" w:line="261" w:lineRule="auto"/>
        <w:rPr>
          <w:sz w:val="20"/>
          <w:szCs w:val="20"/>
          <w:color w:val="auto"/>
        </w:rPr>
      </w:pPr>
      <w:r>
        <w:rPr>
          <w:rFonts w:ascii="Arial" w:cs="Arial" w:eastAsia="Arial" w:hAnsi="Arial"/>
          <w:sz w:val="16"/>
          <w:szCs w:val="16"/>
          <w:b w:val="1"/>
          <w:bCs w:val="1"/>
          <w:color w:val="C8102E"/>
        </w:rPr>
        <w:t>Specific Qualifications, Experience, Skills and Expertise</w:t>
      </w:r>
    </w:p>
    <w:p>
      <w:pPr>
        <w:spacing w:after="0" w:line="118" w:lineRule="exact"/>
        <w:rPr>
          <w:sz w:val="20"/>
          <w:szCs w:val="20"/>
          <w:color w:val="auto"/>
        </w:rPr>
      </w:pPr>
    </w:p>
    <w:p>
      <w:pPr>
        <w:ind w:left="210" w:right="160" w:hanging="210"/>
        <w:spacing w:after="0" w:line="231" w:lineRule="auto"/>
        <w:tabs>
          <w:tab w:leader="none" w:pos="128" w:val="left"/>
        </w:tabs>
        <w:numPr>
          <w:ilvl w:val="0"/>
          <w:numId w:val="18"/>
        </w:numPr>
        <w:rPr>
          <w:rFonts w:ascii="MS PGothic" w:cs="MS PGothic" w:eastAsia="MS PGothic" w:hAnsi="MS PGothic"/>
          <w:sz w:val="14"/>
          <w:szCs w:val="14"/>
          <w:color w:val="C8102E"/>
        </w:rPr>
      </w:pPr>
      <w:r>
        <w:rPr>
          <w:rFonts w:ascii="Arial" w:cs="Arial" w:eastAsia="Arial" w:hAnsi="Arial"/>
          <w:sz w:val="14"/>
          <w:szCs w:val="14"/>
          <w:color w:val="auto"/>
        </w:rPr>
        <w:t>Extensive executive leadership experience in the software and technology industries</w:t>
      </w:r>
    </w:p>
    <w:p>
      <w:pPr>
        <w:spacing w:after="0" w:line="1" w:lineRule="exact"/>
        <w:rPr>
          <w:rFonts w:ascii="MS PGothic" w:cs="MS PGothic" w:eastAsia="MS PGothic" w:hAnsi="MS PGothic"/>
          <w:sz w:val="14"/>
          <w:szCs w:val="14"/>
          <w:color w:val="C8102E"/>
        </w:rPr>
      </w:pPr>
    </w:p>
    <w:p>
      <w:pPr>
        <w:ind w:left="210" w:right="40" w:hanging="210"/>
        <w:spacing w:after="0" w:line="221" w:lineRule="auto"/>
        <w:tabs>
          <w:tab w:leader="none" w:pos="128" w:val="left"/>
        </w:tabs>
        <w:numPr>
          <w:ilvl w:val="0"/>
          <w:numId w:val="18"/>
        </w:numPr>
        <w:rPr>
          <w:rFonts w:ascii="MS PGothic" w:cs="MS PGothic" w:eastAsia="MS PGothic" w:hAnsi="MS PGothic"/>
          <w:sz w:val="14"/>
          <w:szCs w:val="14"/>
          <w:color w:val="C8102E"/>
        </w:rPr>
      </w:pPr>
      <w:r>
        <w:rPr>
          <w:rFonts w:ascii="Arial" w:cs="Arial" w:eastAsia="Arial" w:hAnsi="Arial"/>
          <w:sz w:val="14"/>
          <w:szCs w:val="14"/>
          <w:color w:val="auto"/>
        </w:rPr>
        <w:t>Significant M&amp;A experience, with a particular focus on emerging technologies, venture capital investments and strategic partnerships</w:t>
      </w:r>
    </w:p>
    <w:p>
      <w:pPr>
        <w:ind w:left="210" w:right="360" w:hanging="210"/>
        <w:spacing w:after="0" w:line="264" w:lineRule="auto"/>
        <w:tabs>
          <w:tab w:leader="none" w:pos="128" w:val="left"/>
        </w:tabs>
        <w:numPr>
          <w:ilvl w:val="0"/>
          <w:numId w:val="18"/>
        </w:numPr>
        <w:rPr>
          <w:rFonts w:ascii="MS PGothic" w:cs="MS PGothic" w:eastAsia="MS PGothic" w:hAnsi="MS PGothic"/>
          <w:sz w:val="14"/>
          <w:szCs w:val="14"/>
          <w:color w:val="C8102E"/>
        </w:rPr>
      </w:pPr>
      <w:r>
        <w:rPr>
          <w:rFonts w:ascii="Arial" w:cs="Arial" w:eastAsia="Arial" w:hAnsi="Arial"/>
          <w:sz w:val="14"/>
          <w:szCs w:val="14"/>
          <w:color w:val="auto"/>
        </w:rPr>
        <w:t>Public company board leadership experience, including service as a committee chair</w:t>
      </w:r>
    </w:p>
    <w:p>
      <w:pPr>
        <w:spacing w:after="0" w:line="1861" w:lineRule="exact"/>
        <w:rPr>
          <w:sz w:val="20"/>
          <w:szCs w:val="20"/>
          <w:color w:val="auto"/>
        </w:rPr>
      </w:pPr>
    </w:p>
    <w:p>
      <w:pPr>
        <w:sectPr>
          <w:pgSz w:w="11900" w:h="16838" w:orient="portrait"/>
          <w:cols w:equalWidth="0" w:num="3">
            <w:col w:w="3200" w:space="670"/>
            <w:col w:w="3490" w:space="250"/>
            <w:col w:w="3410"/>
          </w:cols>
          <w:pgMar w:left="440" w:top="582" w:right="439" w:bottom="727" w:gutter="0" w:footer="0" w:header="0"/>
          <w:type w:val="continuous"/>
        </w:sectPr>
      </w:pPr>
    </w:p>
    <w:p>
      <w:pPr>
        <w:ind w:left="580"/>
        <w:spacing w:after="0"/>
        <w:rPr>
          <w:sz w:val="20"/>
          <w:szCs w:val="20"/>
          <w:color w:val="auto"/>
        </w:rPr>
      </w:pPr>
      <w:r>
        <w:rPr>
          <w:rFonts w:ascii="Arial" w:cs="Arial" w:eastAsia="Arial" w:hAnsi="Arial"/>
          <w:sz w:val="28"/>
          <w:szCs w:val="28"/>
          <w:b w:val="1"/>
          <w:bCs w:val="1"/>
          <w:color w:val="C8102E"/>
        </w:rPr>
        <w:t>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125730</wp:posOffset>
            </wp:positionV>
            <wp:extent cx="1114425" cy="11144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14425"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left="490"/>
        <w:spacing w:after="0"/>
        <w:rPr>
          <w:sz w:val="20"/>
          <w:szCs w:val="20"/>
          <w:color w:val="auto"/>
        </w:rPr>
      </w:pPr>
      <w:r>
        <w:rPr>
          <w:rFonts w:ascii="Arial" w:cs="Arial" w:eastAsia="Arial" w:hAnsi="Arial"/>
          <w:sz w:val="18"/>
          <w:szCs w:val="18"/>
          <w:b w:val="1"/>
          <w:bCs w:val="1"/>
          <w:color w:val="C8102E"/>
        </w:rPr>
        <w:t>Director since 2025 | Age 61</w:t>
      </w:r>
    </w:p>
    <w:p>
      <w:pPr>
        <w:spacing w:after="0" w:line="144" w:lineRule="exact"/>
        <w:rPr>
          <w:sz w:val="20"/>
          <w:szCs w:val="20"/>
          <w:color w:val="auto"/>
        </w:rPr>
      </w:pPr>
    </w:p>
    <w:p>
      <w:pPr>
        <w:jc w:val="center"/>
        <w:ind w:left="490"/>
        <w:spacing w:after="0"/>
        <w:rPr>
          <w:sz w:val="20"/>
          <w:szCs w:val="20"/>
          <w:color w:val="auto"/>
        </w:rPr>
      </w:pPr>
      <w:r>
        <w:rPr>
          <w:rFonts w:ascii="Arial" w:cs="Arial" w:eastAsia="Arial" w:hAnsi="Arial"/>
          <w:sz w:val="18"/>
          <w:szCs w:val="18"/>
          <w:b w:val="1"/>
          <w:bCs w:val="1"/>
          <w:color w:val="C8102E"/>
        </w:rPr>
        <w:t>Committees: None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10" w:right="220"/>
        <w:spacing w:after="0" w:line="261" w:lineRule="auto"/>
        <w:rPr>
          <w:sz w:val="20"/>
          <w:szCs w:val="20"/>
          <w:color w:val="auto"/>
        </w:rPr>
      </w:pPr>
      <w:r>
        <w:rPr>
          <w:rFonts w:ascii="Arial" w:cs="Arial" w:eastAsia="Arial" w:hAnsi="Arial"/>
          <w:sz w:val="16"/>
          <w:szCs w:val="16"/>
          <w:b w:val="1"/>
          <w:bCs w:val="1"/>
          <w:color w:val="C8102E"/>
        </w:rPr>
        <w:t>Career Highlights and Recent Business Experience</w:t>
      </w:r>
    </w:p>
    <w:p>
      <w:pPr>
        <w:spacing w:after="0" w:line="104" w:lineRule="exact"/>
        <w:rPr>
          <w:sz w:val="20"/>
          <w:szCs w:val="20"/>
          <w:color w:val="auto"/>
        </w:rPr>
      </w:pPr>
    </w:p>
    <w:p>
      <w:pPr>
        <w:ind w:left="130" w:hanging="130"/>
        <w:spacing w:after="0"/>
        <w:tabs>
          <w:tab w:leader="none" w:pos="130" w:val="left"/>
        </w:tabs>
        <w:numPr>
          <w:ilvl w:val="0"/>
          <w:numId w:val="19"/>
        </w:numPr>
        <w:rPr>
          <w:rFonts w:ascii="MS PGothic" w:cs="MS PGothic" w:eastAsia="MS PGothic" w:hAnsi="MS PGothic"/>
          <w:sz w:val="14"/>
          <w:szCs w:val="14"/>
          <w:color w:val="C8102E"/>
        </w:rPr>
      </w:pPr>
      <w:r>
        <w:rPr>
          <w:rFonts w:ascii="Arial" w:cs="Arial" w:eastAsia="Arial" w:hAnsi="Arial"/>
          <w:sz w:val="14"/>
          <w:szCs w:val="14"/>
          <w:color w:val="auto"/>
        </w:rPr>
        <w:t>Enovis Corporation</w:t>
      </w:r>
    </w:p>
    <w:p>
      <w:pPr>
        <w:spacing w:after="0" w:line="15" w:lineRule="exact"/>
        <w:rPr>
          <w:rFonts w:ascii="MS PGothic" w:cs="MS PGothic" w:eastAsia="MS PGothic" w:hAnsi="MS PGothic"/>
          <w:sz w:val="14"/>
          <w:szCs w:val="14"/>
          <w:color w:val="C8102E"/>
        </w:rPr>
      </w:pPr>
    </w:p>
    <w:p>
      <w:pPr>
        <w:ind w:left="350" w:hanging="134"/>
        <w:spacing w:after="0"/>
        <w:tabs>
          <w:tab w:leader="none" w:pos="350" w:val="left"/>
        </w:tabs>
        <w:numPr>
          <w:ilvl w:val="1"/>
          <w:numId w:val="19"/>
        </w:numPr>
        <w:rPr>
          <w:rFonts w:ascii="MS PGothic" w:cs="MS PGothic" w:eastAsia="MS PGothic" w:hAnsi="MS PGothic"/>
          <w:sz w:val="14"/>
          <w:szCs w:val="14"/>
          <w:color w:val="C8102E"/>
        </w:rPr>
      </w:pPr>
      <w:r>
        <w:rPr>
          <w:rFonts w:ascii="Arial" w:cs="Arial" w:eastAsia="Arial" w:hAnsi="Arial"/>
          <w:sz w:val="14"/>
          <w:szCs w:val="14"/>
          <w:color w:val="auto"/>
        </w:rPr>
        <w:t>Chief Executive Officer (2025 – present)</w:t>
      </w:r>
    </w:p>
    <w:p>
      <w:pPr>
        <w:spacing w:after="0" w:line="162" w:lineRule="exact"/>
        <w:rPr>
          <w:rFonts w:ascii="MS PGothic" w:cs="MS PGothic" w:eastAsia="MS PGothic" w:hAnsi="MS PGothic"/>
          <w:sz w:val="14"/>
          <w:szCs w:val="14"/>
          <w:color w:val="C8102E"/>
        </w:rPr>
      </w:pPr>
    </w:p>
    <w:p>
      <w:pPr>
        <w:ind w:left="130" w:hanging="130"/>
        <w:spacing w:after="0"/>
        <w:tabs>
          <w:tab w:leader="none" w:pos="130" w:val="left"/>
        </w:tabs>
        <w:numPr>
          <w:ilvl w:val="0"/>
          <w:numId w:val="19"/>
        </w:numPr>
        <w:rPr>
          <w:rFonts w:ascii="MS PGothic" w:cs="MS PGothic" w:eastAsia="MS PGothic" w:hAnsi="MS PGothic"/>
          <w:sz w:val="14"/>
          <w:szCs w:val="14"/>
          <w:color w:val="C8102E"/>
        </w:rPr>
      </w:pPr>
      <w:r>
        <w:rPr>
          <w:rFonts w:ascii="Arial" w:cs="Arial" w:eastAsia="Arial" w:hAnsi="Arial"/>
          <w:sz w:val="14"/>
          <w:szCs w:val="14"/>
          <w:color w:val="auto"/>
        </w:rPr>
        <w:t>LivaNova PLC</w:t>
      </w:r>
    </w:p>
    <w:p>
      <w:pPr>
        <w:spacing w:after="0" w:line="1" w:lineRule="exact"/>
        <w:rPr>
          <w:rFonts w:ascii="MS PGothic" w:cs="MS PGothic" w:eastAsia="MS PGothic" w:hAnsi="MS PGothic"/>
          <w:sz w:val="14"/>
          <w:szCs w:val="14"/>
          <w:color w:val="C8102E"/>
        </w:rPr>
      </w:pPr>
    </w:p>
    <w:p>
      <w:pPr>
        <w:ind w:left="350" w:hanging="134"/>
        <w:spacing w:after="0"/>
        <w:tabs>
          <w:tab w:leader="none" w:pos="350" w:val="left"/>
        </w:tabs>
        <w:numPr>
          <w:ilvl w:val="1"/>
          <w:numId w:val="19"/>
        </w:numPr>
        <w:rPr>
          <w:rFonts w:ascii="MS PGothic" w:cs="MS PGothic" w:eastAsia="MS PGothic" w:hAnsi="MS PGothic"/>
          <w:sz w:val="14"/>
          <w:szCs w:val="14"/>
          <w:color w:val="C8102E"/>
        </w:rPr>
      </w:pPr>
      <w:r>
        <w:rPr>
          <w:rFonts w:ascii="Arial" w:cs="Arial" w:eastAsia="Arial" w:hAnsi="Arial"/>
          <w:sz w:val="14"/>
          <w:szCs w:val="14"/>
          <w:color w:val="auto"/>
        </w:rPr>
        <w:t>Chief Executive Officer (2017 – 2023)</w:t>
      </w:r>
    </w:p>
    <w:p>
      <w:pPr>
        <w:spacing w:after="0" w:line="1" w:lineRule="exact"/>
        <w:rPr>
          <w:rFonts w:ascii="MS PGothic" w:cs="MS PGothic" w:eastAsia="MS PGothic" w:hAnsi="MS PGothic"/>
          <w:sz w:val="14"/>
          <w:szCs w:val="14"/>
          <w:color w:val="C8102E"/>
        </w:rPr>
      </w:pPr>
    </w:p>
    <w:p>
      <w:pPr>
        <w:ind w:left="350" w:hanging="134"/>
        <w:spacing w:after="0"/>
        <w:tabs>
          <w:tab w:leader="none" w:pos="350" w:val="left"/>
        </w:tabs>
        <w:numPr>
          <w:ilvl w:val="1"/>
          <w:numId w:val="19"/>
        </w:numPr>
        <w:rPr>
          <w:rFonts w:ascii="MS PGothic" w:cs="MS PGothic" w:eastAsia="MS PGothic" w:hAnsi="MS PGothic"/>
          <w:sz w:val="14"/>
          <w:szCs w:val="14"/>
          <w:color w:val="C8102E"/>
        </w:rPr>
      </w:pPr>
      <w:r>
        <w:rPr>
          <w:rFonts w:ascii="Arial" w:cs="Arial" w:eastAsia="Arial" w:hAnsi="Arial"/>
          <w:sz w:val="14"/>
          <w:szCs w:val="14"/>
          <w:color w:val="auto"/>
        </w:rPr>
        <w:t>Chief Operating Officer (2016)</w:t>
      </w:r>
    </w:p>
    <w:p>
      <w:pPr>
        <w:spacing w:after="0" w:line="162" w:lineRule="exact"/>
        <w:rPr>
          <w:rFonts w:ascii="MS PGothic" w:cs="MS PGothic" w:eastAsia="MS PGothic" w:hAnsi="MS PGothic"/>
          <w:sz w:val="14"/>
          <w:szCs w:val="14"/>
          <w:color w:val="C8102E"/>
        </w:rPr>
      </w:pPr>
    </w:p>
    <w:p>
      <w:pPr>
        <w:ind w:left="130" w:hanging="130"/>
        <w:spacing w:after="0"/>
        <w:tabs>
          <w:tab w:leader="none" w:pos="130" w:val="left"/>
        </w:tabs>
        <w:numPr>
          <w:ilvl w:val="0"/>
          <w:numId w:val="19"/>
        </w:numPr>
        <w:rPr>
          <w:rFonts w:ascii="MS PGothic" w:cs="MS PGothic" w:eastAsia="MS PGothic" w:hAnsi="MS PGothic"/>
          <w:sz w:val="14"/>
          <w:szCs w:val="14"/>
          <w:color w:val="C8102E"/>
        </w:rPr>
      </w:pPr>
      <w:r>
        <w:rPr>
          <w:rFonts w:ascii="Arial" w:cs="Arial" w:eastAsia="Arial" w:hAnsi="Arial"/>
          <w:sz w:val="14"/>
          <w:szCs w:val="14"/>
          <w:color w:val="auto"/>
        </w:rPr>
        <w:t>Danaher Corporation</w:t>
      </w:r>
    </w:p>
    <w:p>
      <w:pPr>
        <w:spacing w:after="0" w:line="15" w:lineRule="exact"/>
        <w:rPr>
          <w:rFonts w:ascii="MS PGothic" w:cs="MS PGothic" w:eastAsia="MS PGothic" w:hAnsi="MS PGothic"/>
          <w:sz w:val="14"/>
          <w:szCs w:val="14"/>
          <w:color w:val="C8102E"/>
        </w:rPr>
      </w:pPr>
    </w:p>
    <w:p>
      <w:pPr>
        <w:ind w:left="350" w:hanging="134"/>
        <w:spacing w:after="0" w:line="221" w:lineRule="auto"/>
        <w:tabs>
          <w:tab w:leader="none" w:pos="350" w:val="left"/>
        </w:tabs>
        <w:numPr>
          <w:ilvl w:val="1"/>
          <w:numId w:val="19"/>
        </w:numPr>
        <w:rPr>
          <w:rFonts w:ascii="MS PGothic" w:cs="MS PGothic" w:eastAsia="MS PGothic" w:hAnsi="MS PGothic"/>
          <w:sz w:val="14"/>
          <w:szCs w:val="14"/>
          <w:color w:val="C8102E"/>
        </w:rPr>
      </w:pPr>
      <w:r>
        <w:rPr>
          <w:rFonts w:ascii="Arial" w:cs="Arial" w:eastAsia="Arial" w:hAnsi="Arial"/>
          <w:sz w:val="14"/>
          <w:szCs w:val="14"/>
          <w:color w:val="auto"/>
        </w:rPr>
        <w:t>Vice President and Group Executive,</w:t>
      </w:r>
    </w:p>
    <w:p>
      <w:pPr>
        <w:ind w:left="430"/>
        <w:spacing w:after="0" w:line="216" w:lineRule="auto"/>
        <w:rPr>
          <w:sz w:val="20"/>
          <w:szCs w:val="20"/>
          <w:color w:val="auto"/>
        </w:rPr>
      </w:pPr>
      <w:r>
        <w:rPr>
          <w:rFonts w:ascii="Arial" w:cs="Arial" w:eastAsia="Arial" w:hAnsi="Arial"/>
          <w:sz w:val="14"/>
          <w:szCs w:val="14"/>
          <w:color w:val="auto"/>
        </w:rPr>
        <w:t>Professional Consumables (2013 – 2016)</w:t>
      </w:r>
    </w:p>
    <w:p>
      <w:pPr>
        <w:spacing w:after="0" w:line="1" w:lineRule="exact"/>
        <w:rPr>
          <w:sz w:val="20"/>
          <w:szCs w:val="20"/>
          <w:color w:val="auto"/>
        </w:rPr>
      </w:pPr>
    </w:p>
    <w:p>
      <w:pPr>
        <w:ind w:left="210"/>
        <w:spacing w:after="0" w:line="161" w:lineRule="exact"/>
        <w:rPr>
          <w:sz w:val="20"/>
          <w:szCs w:val="20"/>
          <w:color w:val="auto"/>
        </w:rPr>
      </w:pPr>
      <w:r>
        <w:rPr>
          <w:rFonts w:ascii="MS PGothic" w:cs="MS PGothic" w:eastAsia="MS PGothic" w:hAnsi="MS PGothic"/>
          <w:sz w:val="14"/>
          <w:szCs w:val="14"/>
          <w:color w:val="C8102E"/>
        </w:rPr>
        <w:t>∎</w:t>
      </w:r>
      <w:r>
        <w:rPr>
          <w:rFonts w:ascii="Arial" w:cs="Arial" w:eastAsia="Arial" w:hAnsi="Arial"/>
          <w:sz w:val="14"/>
          <w:szCs w:val="14"/>
          <w:color w:val="auto"/>
        </w:rPr>
        <w:t>Group President of Kerr Corporation (2011 –</w:t>
      </w:r>
    </w:p>
    <w:p>
      <w:pPr>
        <w:ind w:left="430"/>
        <w:spacing w:after="0" w:line="202" w:lineRule="auto"/>
        <w:rPr>
          <w:sz w:val="20"/>
          <w:szCs w:val="20"/>
          <w:color w:val="auto"/>
        </w:rPr>
      </w:pPr>
      <w:r>
        <w:rPr>
          <w:rFonts w:ascii="Arial" w:cs="Arial" w:eastAsia="Arial" w:hAnsi="Arial"/>
          <w:sz w:val="14"/>
          <w:szCs w:val="14"/>
          <w:color w:val="auto"/>
        </w:rPr>
        <w:t>2013)</w:t>
      </w:r>
    </w:p>
    <w:p>
      <w:pPr>
        <w:spacing w:after="0" w:line="1" w:lineRule="exact"/>
        <w:rPr>
          <w:sz w:val="20"/>
          <w:szCs w:val="20"/>
          <w:color w:val="auto"/>
        </w:rPr>
      </w:pPr>
    </w:p>
    <w:p>
      <w:pPr>
        <w:ind w:left="210"/>
        <w:spacing w:after="0" w:line="161" w:lineRule="exact"/>
        <w:rPr>
          <w:sz w:val="20"/>
          <w:szCs w:val="20"/>
          <w:color w:val="auto"/>
        </w:rPr>
      </w:pPr>
      <w:r>
        <w:rPr>
          <w:rFonts w:ascii="MS PGothic" w:cs="MS PGothic" w:eastAsia="MS PGothic" w:hAnsi="MS PGothic"/>
          <w:sz w:val="14"/>
          <w:szCs w:val="14"/>
          <w:color w:val="C8102E"/>
        </w:rPr>
        <w:t>∎</w:t>
      </w:r>
      <w:r>
        <w:rPr>
          <w:rFonts w:ascii="Arial" w:cs="Arial" w:eastAsia="Arial" w:hAnsi="Arial"/>
          <w:sz w:val="14"/>
          <w:szCs w:val="14"/>
          <w:color w:val="auto"/>
        </w:rPr>
        <w:t>Special Projects (2010)</w:t>
      </w:r>
    </w:p>
    <w:p>
      <w:pPr>
        <w:spacing w:after="0" w:line="166" w:lineRule="exact"/>
        <w:rPr>
          <w:sz w:val="20"/>
          <w:szCs w:val="20"/>
          <w:color w:val="auto"/>
        </w:rPr>
      </w:pPr>
    </w:p>
    <w:p>
      <w:pPr>
        <w:ind w:left="130" w:hanging="130"/>
        <w:spacing w:after="0"/>
        <w:tabs>
          <w:tab w:leader="none" w:pos="130" w:val="left"/>
        </w:tabs>
        <w:numPr>
          <w:ilvl w:val="0"/>
          <w:numId w:val="20"/>
        </w:numPr>
        <w:rPr>
          <w:rFonts w:ascii="MS PGothic" w:cs="MS PGothic" w:eastAsia="MS PGothic" w:hAnsi="MS PGothic"/>
          <w:sz w:val="14"/>
          <w:szCs w:val="14"/>
          <w:color w:val="C8102E"/>
        </w:rPr>
      </w:pPr>
      <w:r>
        <w:rPr>
          <w:rFonts w:ascii="Arial" w:cs="Arial" w:eastAsia="Arial" w:hAnsi="Arial"/>
          <w:sz w:val="14"/>
          <w:szCs w:val="14"/>
          <w:color w:val="auto"/>
        </w:rPr>
        <w:t>Zimmer Holdings</w:t>
      </w:r>
    </w:p>
    <w:p>
      <w:pPr>
        <w:spacing w:after="0" w:line="15" w:lineRule="exact"/>
        <w:rPr>
          <w:rFonts w:ascii="MS PGothic" w:cs="MS PGothic" w:eastAsia="MS PGothic" w:hAnsi="MS PGothic"/>
          <w:sz w:val="14"/>
          <w:szCs w:val="14"/>
          <w:color w:val="C8102E"/>
        </w:rPr>
      </w:pPr>
    </w:p>
    <w:p>
      <w:pPr>
        <w:ind w:left="350" w:hanging="134"/>
        <w:spacing w:after="0"/>
        <w:tabs>
          <w:tab w:leader="none" w:pos="350" w:val="left"/>
        </w:tabs>
        <w:numPr>
          <w:ilvl w:val="1"/>
          <w:numId w:val="20"/>
        </w:numPr>
        <w:rPr>
          <w:rFonts w:ascii="MS PGothic" w:cs="MS PGothic" w:eastAsia="MS PGothic" w:hAnsi="MS PGothic"/>
          <w:sz w:val="14"/>
          <w:szCs w:val="14"/>
          <w:color w:val="C8102E"/>
        </w:rPr>
      </w:pPr>
      <w:r>
        <w:rPr>
          <w:rFonts w:ascii="Arial" w:cs="Arial" w:eastAsia="Arial" w:hAnsi="Arial"/>
          <w:sz w:val="14"/>
          <w:szCs w:val="14"/>
          <w:color w:val="auto"/>
        </w:rPr>
        <w:t>President, Zimmer Spine (2007 – 2010)</w:t>
      </w:r>
    </w:p>
    <w:p>
      <w:pPr>
        <w:spacing w:after="0" w:line="162" w:lineRule="exact"/>
        <w:rPr>
          <w:rFonts w:ascii="MS PGothic" w:cs="MS PGothic" w:eastAsia="MS PGothic" w:hAnsi="MS PGothic"/>
          <w:sz w:val="14"/>
          <w:szCs w:val="14"/>
          <w:color w:val="C8102E"/>
        </w:rPr>
      </w:pPr>
    </w:p>
    <w:p>
      <w:pPr>
        <w:ind w:left="130" w:hanging="130"/>
        <w:spacing w:after="0"/>
        <w:tabs>
          <w:tab w:leader="none" w:pos="130" w:val="left"/>
        </w:tabs>
        <w:numPr>
          <w:ilvl w:val="0"/>
          <w:numId w:val="20"/>
        </w:numPr>
        <w:rPr>
          <w:rFonts w:ascii="MS PGothic" w:cs="MS PGothic" w:eastAsia="MS PGothic" w:hAnsi="MS PGothic"/>
          <w:sz w:val="14"/>
          <w:szCs w:val="14"/>
          <w:color w:val="C8102E"/>
        </w:rPr>
      </w:pPr>
      <w:r>
        <w:rPr>
          <w:rFonts w:ascii="Arial" w:cs="Arial" w:eastAsia="Arial" w:hAnsi="Arial"/>
          <w:sz w:val="14"/>
          <w:szCs w:val="14"/>
          <w:color w:val="auto"/>
        </w:rPr>
        <w:t>Johnson and Johnson (1999 – 2007)</w:t>
      </w:r>
    </w:p>
    <w:p>
      <w:pPr>
        <w:spacing w:after="0" w:line="1" w:lineRule="exact"/>
        <w:rPr>
          <w:rFonts w:ascii="MS PGothic" w:cs="MS PGothic" w:eastAsia="MS PGothic" w:hAnsi="MS PGothic"/>
          <w:sz w:val="14"/>
          <w:szCs w:val="14"/>
          <w:color w:val="C8102E"/>
        </w:rPr>
      </w:pPr>
    </w:p>
    <w:p>
      <w:pPr>
        <w:ind w:left="350" w:hanging="134"/>
        <w:spacing w:after="0"/>
        <w:tabs>
          <w:tab w:leader="none" w:pos="350" w:val="left"/>
        </w:tabs>
        <w:numPr>
          <w:ilvl w:val="1"/>
          <w:numId w:val="20"/>
        </w:numPr>
        <w:rPr>
          <w:rFonts w:ascii="MS PGothic" w:cs="MS PGothic" w:eastAsia="MS PGothic" w:hAnsi="MS PGothic"/>
          <w:sz w:val="14"/>
          <w:szCs w:val="14"/>
          <w:color w:val="C8102E"/>
        </w:rPr>
      </w:pPr>
      <w:r>
        <w:rPr>
          <w:rFonts w:ascii="Arial" w:cs="Arial" w:eastAsia="Arial" w:hAnsi="Arial"/>
          <w:sz w:val="14"/>
          <w:szCs w:val="14"/>
          <w:color w:val="auto"/>
        </w:rPr>
        <w:t>Served in various roles, most recently leading</w:t>
      </w:r>
    </w:p>
    <w:p>
      <w:pPr>
        <w:spacing w:after="0" w:line="1" w:lineRule="exact"/>
        <w:rPr>
          <w:sz w:val="20"/>
          <w:szCs w:val="20"/>
          <w:color w:val="auto"/>
        </w:rPr>
      </w:pPr>
    </w:p>
    <w:p>
      <w:pPr>
        <w:ind w:left="430"/>
        <w:spacing w:after="0"/>
        <w:rPr>
          <w:sz w:val="20"/>
          <w:szCs w:val="20"/>
          <w:color w:val="auto"/>
        </w:rPr>
      </w:pPr>
      <w:r>
        <w:rPr>
          <w:rFonts w:ascii="Arial" w:cs="Arial" w:eastAsia="Arial" w:hAnsi="Arial"/>
          <w:sz w:val="14"/>
          <w:szCs w:val="14"/>
          <w:color w:val="auto"/>
        </w:rPr>
        <w:t>global marketing for J&amp;J’s Ethicon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-2459355</wp:posOffset>
            </wp:positionH>
            <wp:positionV relativeFrom="paragraph">
              <wp:posOffset>134620</wp:posOffset>
            </wp:positionV>
            <wp:extent cx="69951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C8102E"/>
        </w:rPr>
        <w:t>Other Current Public Directorships</w:t>
      </w:r>
    </w:p>
    <w:p>
      <w:pPr>
        <w:spacing w:after="0" w:line="158" w:lineRule="exact"/>
        <w:rPr>
          <w:sz w:val="20"/>
          <w:szCs w:val="20"/>
          <w:color w:val="auto"/>
        </w:rPr>
      </w:pPr>
    </w:p>
    <w:p>
      <w:pPr>
        <w:ind w:left="130" w:hanging="130"/>
        <w:spacing w:after="0"/>
        <w:tabs>
          <w:tab w:leader="none" w:pos="130" w:val="left"/>
        </w:tabs>
        <w:numPr>
          <w:ilvl w:val="0"/>
          <w:numId w:val="21"/>
        </w:numPr>
        <w:rPr>
          <w:rFonts w:ascii="MS PGothic" w:cs="MS PGothic" w:eastAsia="MS PGothic" w:hAnsi="MS PGothic"/>
          <w:sz w:val="14"/>
          <w:szCs w:val="14"/>
          <w:color w:val="C8102E"/>
        </w:rPr>
      </w:pPr>
      <w:r>
        <w:rPr>
          <w:rFonts w:ascii="Arial" w:cs="Arial" w:eastAsia="Arial" w:hAnsi="Arial"/>
          <w:sz w:val="14"/>
          <w:szCs w:val="14"/>
          <w:color w:val="auto"/>
        </w:rPr>
        <w:t>None</w:t>
      </w:r>
    </w:p>
    <w:p>
      <w:pPr>
        <w:spacing w:after="0" w:line="172" w:lineRule="exact"/>
        <w:rPr>
          <w:sz w:val="20"/>
          <w:szCs w:val="20"/>
          <w:color w:val="auto"/>
        </w:rPr>
      </w:pPr>
    </w:p>
    <w:p>
      <w:pPr>
        <w:ind w:left="10" w:right="120"/>
        <w:spacing w:after="0" w:line="261" w:lineRule="auto"/>
        <w:rPr>
          <w:sz w:val="20"/>
          <w:szCs w:val="20"/>
          <w:color w:val="auto"/>
        </w:rPr>
      </w:pPr>
      <w:r>
        <w:rPr>
          <w:rFonts w:ascii="Arial" w:cs="Arial" w:eastAsia="Arial" w:hAnsi="Arial"/>
          <w:sz w:val="16"/>
          <w:szCs w:val="16"/>
          <w:b w:val="1"/>
          <w:bCs w:val="1"/>
          <w:color w:val="C8102E"/>
        </w:rPr>
        <w:t>Other Public Directorships in the Past Five Years</w:t>
      </w:r>
    </w:p>
    <w:p>
      <w:pPr>
        <w:spacing w:after="0" w:line="104" w:lineRule="exact"/>
        <w:rPr>
          <w:sz w:val="20"/>
          <w:szCs w:val="20"/>
          <w:color w:val="auto"/>
        </w:rPr>
      </w:pPr>
    </w:p>
    <w:p>
      <w:pPr>
        <w:ind w:left="130" w:hanging="130"/>
        <w:spacing w:after="0"/>
        <w:tabs>
          <w:tab w:leader="none" w:pos="130" w:val="left"/>
        </w:tabs>
        <w:numPr>
          <w:ilvl w:val="0"/>
          <w:numId w:val="22"/>
        </w:numPr>
        <w:rPr>
          <w:rFonts w:ascii="MS PGothic" w:cs="MS PGothic" w:eastAsia="MS PGothic" w:hAnsi="MS PGothic"/>
          <w:sz w:val="14"/>
          <w:szCs w:val="14"/>
          <w:color w:val="C8102E"/>
        </w:rPr>
      </w:pPr>
      <w:r>
        <w:rPr>
          <w:rFonts w:ascii="Arial" w:cs="Arial" w:eastAsia="Arial" w:hAnsi="Arial"/>
          <w:sz w:val="14"/>
          <w:szCs w:val="14"/>
          <w:color w:val="auto"/>
        </w:rPr>
        <w:t>LivaNova PLC (2017 – 2023)</w:t>
      </w:r>
    </w:p>
    <w:p>
      <w:pPr>
        <w:spacing w:after="0" w:line="172" w:lineRule="exact"/>
        <w:rPr>
          <w:sz w:val="20"/>
          <w:szCs w:val="20"/>
          <w:color w:val="auto"/>
        </w:rPr>
      </w:pPr>
    </w:p>
    <w:p>
      <w:pPr>
        <w:ind w:left="10" w:right="200"/>
        <w:spacing w:after="0" w:line="261" w:lineRule="auto"/>
        <w:rPr>
          <w:sz w:val="20"/>
          <w:szCs w:val="20"/>
          <w:color w:val="auto"/>
        </w:rPr>
      </w:pPr>
      <w:r>
        <w:rPr>
          <w:rFonts w:ascii="Arial" w:cs="Arial" w:eastAsia="Arial" w:hAnsi="Arial"/>
          <w:sz w:val="16"/>
          <w:szCs w:val="16"/>
          <w:b w:val="1"/>
          <w:bCs w:val="1"/>
          <w:color w:val="C8102E"/>
        </w:rPr>
        <w:t>Specific Qualifications, Experience, Skills and Expertise</w:t>
      </w:r>
    </w:p>
    <w:p>
      <w:pPr>
        <w:spacing w:after="0" w:line="118" w:lineRule="exact"/>
        <w:rPr>
          <w:sz w:val="20"/>
          <w:szCs w:val="20"/>
          <w:color w:val="auto"/>
        </w:rPr>
      </w:pPr>
    </w:p>
    <w:p>
      <w:pPr>
        <w:ind w:left="210" w:right="160" w:hanging="210"/>
        <w:spacing w:after="0" w:line="231" w:lineRule="auto"/>
        <w:tabs>
          <w:tab w:leader="none" w:pos="128" w:val="left"/>
        </w:tabs>
        <w:numPr>
          <w:ilvl w:val="0"/>
          <w:numId w:val="23"/>
        </w:numPr>
        <w:rPr>
          <w:rFonts w:ascii="MS PGothic" w:cs="MS PGothic" w:eastAsia="MS PGothic" w:hAnsi="MS PGothic"/>
          <w:sz w:val="14"/>
          <w:szCs w:val="14"/>
          <w:color w:val="C8102E"/>
        </w:rPr>
      </w:pPr>
      <w:r>
        <w:rPr>
          <w:rFonts w:ascii="Arial" w:cs="Arial" w:eastAsia="Arial" w:hAnsi="Arial"/>
          <w:sz w:val="14"/>
          <w:szCs w:val="14"/>
          <w:color w:val="auto"/>
        </w:rPr>
        <w:t>35+ years of extensive experience in the medical device, healthcare, and life sciences industries</w:t>
      </w:r>
    </w:p>
    <w:p>
      <w:pPr>
        <w:spacing w:after="0" w:line="1" w:lineRule="exact"/>
        <w:rPr>
          <w:rFonts w:ascii="MS PGothic" w:cs="MS PGothic" w:eastAsia="MS PGothic" w:hAnsi="MS PGothic"/>
          <w:sz w:val="14"/>
          <w:szCs w:val="14"/>
          <w:color w:val="C8102E"/>
        </w:rPr>
      </w:pPr>
    </w:p>
    <w:p>
      <w:pPr>
        <w:ind w:left="130" w:hanging="130"/>
        <w:spacing w:after="0"/>
        <w:tabs>
          <w:tab w:leader="none" w:pos="130" w:val="left"/>
        </w:tabs>
        <w:numPr>
          <w:ilvl w:val="0"/>
          <w:numId w:val="23"/>
        </w:numPr>
        <w:rPr>
          <w:rFonts w:ascii="MS PGothic" w:cs="MS PGothic" w:eastAsia="MS PGothic" w:hAnsi="MS PGothic"/>
          <w:sz w:val="14"/>
          <w:szCs w:val="14"/>
          <w:color w:val="C8102E"/>
        </w:rPr>
      </w:pPr>
      <w:r>
        <w:rPr>
          <w:rFonts w:ascii="Arial" w:cs="Arial" w:eastAsia="Arial" w:hAnsi="Arial"/>
          <w:sz w:val="14"/>
          <w:szCs w:val="14"/>
          <w:color w:val="auto"/>
        </w:rPr>
        <w:t>Significant executive leadership experience with</w:t>
      </w:r>
    </w:p>
    <w:p>
      <w:pPr>
        <w:ind w:left="210"/>
        <w:spacing w:after="0" w:line="197" w:lineRule="auto"/>
        <w:rPr>
          <w:sz w:val="20"/>
          <w:szCs w:val="20"/>
          <w:color w:val="auto"/>
        </w:rPr>
      </w:pPr>
      <w:r>
        <w:rPr>
          <w:rFonts w:ascii="Arial" w:cs="Arial" w:eastAsia="Arial" w:hAnsi="Arial"/>
          <w:sz w:val="14"/>
          <w:szCs w:val="14"/>
          <w:color w:val="auto"/>
        </w:rPr>
        <w:t>global, multinational organizations</w:t>
      </w:r>
    </w:p>
    <w:p>
      <w:pPr>
        <w:spacing w:after="0" w:line="1" w:lineRule="exact"/>
        <w:rPr>
          <w:sz w:val="20"/>
          <w:szCs w:val="20"/>
          <w:color w:val="auto"/>
        </w:rPr>
      </w:pPr>
    </w:p>
    <w:p>
      <w:pPr>
        <w:ind w:left="10"/>
        <w:spacing w:after="0" w:line="161" w:lineRule="exact"/>
        <w:rPr>
          <w:sz w:val="20"/>
          <w:szCs w:val="20"/>
          <w:color w:val="auto"/>
        </w:rPr>
      </w:pPr>
      <w:r>
        <w:rPr>
          <w:rFonts w:ascii="MS PGothic" w:cs="MS PGothic" w:eastAsia="MS PGothic" w:hAnsi="MS PGothic"/>
          <w:sz w:val="14"/>
          <w:szCs w:val="14"/>
          <w:color w:val="C8102E"/>
        </w:rPr>
        <w:t>∎</w:t>
      </w:r>
      <w:r>
        <w:rPr>
          <w:rFonts w:ascii="Arial" w:cs="Arial" w:eastAsia="Arial" w:hAnsi="Arial"/>
          <w:sz w:val="14"/>
          <w:szCs w:val="14"/>
          <w:color w:val="auto"/>
        </w:rPr>
        <w:t>Proven track record of leading medical technology</w:t>
      </w:r>
    </w:p>
    <w:p>
      <w:pPr>
        <w:spacing w:after="0" w:line="4" w:lineRule="exact"/>
        <w:rPr>
          <w:sz w:val="20"/>
          <w:szCs w:val="20"/>
          <w:color w:val="auto"/>
        </w:rPr>
      </w:pPr>
    </w:p>
    <w:p>
      <w:pPr>
        <w:ind w:left="210" w:right="780"/>
        <w:spacing w:after="0" w:line="208" w:lineRule="auto"/>
        <w:rPr>
          <w:sz w:val="20"/>
          <w:szCs w:val="20"/>
          <w:color w:val="auto"/>
        </w:rPr>
      </w:pPr>
      <w:r>
        <w:rPr>
          <w:rFonts w:ascii="Arial" w:cs="Arial" w:eastAsia="Arial" w:hAnsi="Arial"/>
          <w:sz w:val="14"/>
          <w:szCs w:val="14"/>
          <w:color w:val="auto"/>
        </w:rPr>
        <w:t>companies through periods of growth, transformation and value creation</w:t>
      </w:r>
    </w:p>
    <w:p>
      <w:pPr>
        <w:spacing w:after="0" w:line="1" w:lineRule="exact"/>
        <w:rPr>
          <w:sz w:val="20"/>
          <w:szCs w:val="20"/>
          <w:color w:val="auto"/>
        </w:rPr>
      </w:pPr>
    </w:p>
    <w:p>
      <w:pPr>
        <w:ind w:left="210" w:right="300" w:hanging="210"/>
        <w:spacing w:after="0" w:line="245" w:lineRule="auto"/>
        <w:tabs>
          <w:tab w:leader="none" w:pos="128" w:val="left"/>
        </w:tabs>
        <w:numPr>
          <w:ilvl w:val="0"/>
          <w:numId w:val="24"/>
        </w:numPr>
        <w:rPr>
          <w:rFonts w:ascii="MS PGothic" w:cs="MS PGothic" w:eastAsia="MS PGothic" w:hAnsi="MS PGothic"/>
          <w:sz w:val="14"/>
          <w:szCs w:val="14"/>
          <w:color w:val="C8102E"/>
        </w:rPr>
      </w:pPr>
      <w:r>
        <w:rPr>
          <w:rFonts w:ascii="Arial" w:cs="Arial" w:eastAsia="Arial" w:hAnsi="Arial"/>
          <w:sz w:val="14"/>
          <w:szCs w:val="14"/>
          <w:color w:val="auto"/>
        </w:rPr>
        <w:t>Deep expertise in medical device commercialization, product development, and lifecycle management</w:t>
      </w:r>
    </w:p>
    <w:p>
      <w:pPr>
        <w:spacing w:after="0" w:line="357" w:lineRule="exact"/>
        <w:rPr>
          <w:sz w:val="20"/>
          <w:szCs w:val="20"/>
          <w:color w:val="auto"/>
        </w:rPr>
      </w:pPr>
    </w:p>
    <w:p>
      <w:pPr>
        <w:sectPr>
          <w:pgSz w:w="11900" w:h="16838" w:orient="portrait"/>
          <w:cols w:equalWidth="0" w:num="3">
            <w:col w:w="3150" w:space="720"/>
            <w:col w:w="3250" w:space="490"/>
            <w:col w:w="3410"/>
          </w:cols>
          <w:pgMar w:left="440" w:top="582" w:right="439" w:bottom="727" w:gutter="0" w:footer="0" w:header="0"/>
          <w:type w:val="continuous"/>
        </w:sectPr>
      </w:pPr>
    </w:p>
    <w:p>
      <w:pPr>
        <w:spacing w:after="0" w:line="73" w:lineRule="exact"/>
        <w:rPr>
          <w:sz w:val="20"/>
          <w:szCs w:val="20"/>
          <w:color w:val="auto"/>
        </w:rPr>
      </w:pPr>
    </w:p>
    <w:p>
      <w:pPr>
        <w:ind w:left="540"/>
        <w:spacing w:after="0"/>
        <w:rPr>
          <w:sz w:val="20"/>
          <w:szCs w:val="20"/>
          <w:color w:val="auto"/>
        </w:rPr>
      </w:pPr>
      <w:r>
        <w:rPr>
          <w:rFonts w:ascii="Arial" w:cs="Arial" w:eastAsia="Arial" w:hAnsi="Arial"/>
          <w:sz w:val="28"/>
          <w:szCs w:val="28"/>
          <w:b w:val="1"/>
          <w:bCs w:val="1"/>
          <w:color w:val="C8102E"/>
        </w:rPr>
        <w:t>Barbara W. Bodem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125730</wp:posOffset>
            </wp:positionV>
            <wp:extent cx="1114425" cy="11144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14425"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C8102E"/>
        </w:rPr>
        <w:t>Director since 2022</w:t>
      </w:r>
    </w:p>
    <w:p>
      <w:pPr>
        <w:ind w:left="940"/>
        <w:spacing w:after="0"/>
        <w:rPr>
          <w:sz w:val="20"/>
          <w:szCs w:val="20"/>
          <w:color w:val="auto"/>
        </w:rPr>
      </w:pPr>
      <w:r>
        <w:rPr>
          <w:rFonts w:ascii="Arial" w:cs="Arial" w:eastAsia="Arial" w:hAnsi="Arial"/>
          <w:sz w:val="18"/>
          <w:szCs w:val="18"/>
          <w:b w:val="1"/>
          <w:bCs w:val="1"/>
          <w:color w:val="C8102E"/>
        </w:rPr>
        <w:t>Independent | Age 58</w:t>
      </w:r>
    </w:p>
    <w:p>
      <w:pPr>
        <w:spacing w:after="0" w:line="140"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C8102E"/>
        </w:rPr>
        <w:t>Committees: Audit</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ind w:left="10" w:right="460"/>
        <w:spacing w:after="0" w:line="261" w:lineRule="auto"/>
        <w:rPr>
          <w:sz w:val="20"/>
          <w:szCs w:val="20"/>
          <w:color w:val="auto"/>
        </w:rPr>
      </w:pPr>
      <w:r>
        <w:rPr>
          <w:rFonts w:ascii="Arial" w:cs="Arial" w:eastAsia="Arial" w:hAnsi="Arial"/>
          <w:sz w:val="16"/>
          <w:szCs w:val="16"/>
          <w:b w:val="1"/>
          <w:bCs w:val="1"/>
          <w:color w:val="C8102E"/>
        </w:rPr>
        <w:t>Career Highlights and Recent Business Experience</w:t>
      </w:r>
    </w:p>
    <w:p>
      <w:pPr>
        <w:spacing w:after="0" w:line="104" w:lineRule="exact"/>
        <w:rPr>
          <w:sz w:val="20"/>
          <w:szCs w:val="20"/>
          <w:color w:val="auto"/>
        </w:rPr>
      </w:pPr>
    </w:p>
    <w:p>
      <w:pPr>
        <w:ind w:left="130" w:hanging="130"/>
        <w:spacing w:after="0"/>
        <w:tabs>
          <w:tab w:leader="none" w:pos="130" w:val="left"/>
        </w:tabs>
        <w:numPr>
          <w:ilvl w:val="0"/>
          <w:numId w:val="25"/>
        </w:numPr>
        <w:rPr>
          <w:rFonts w:ascii="MS PGothic" w:cs="MS PGothic" w:eastAsia="MS PGothic" w:hAnsi="MS PGothic"/>
          <w:sz w:val="14"/>
          <w:szCs w:val="14"/>
          <w:color w:val="C8102E"/>
        </w:rPr>
      </w:pPr>
      <w:r>
        <w:rPr>
          <w:rFonts w:ascii="Arial" w:cs="Arial" w:eastAsia="Arial" w:hAnsi="Arial"/>
          <w:sz w:val="14"/>
          <w:szCs w:val="14"/>
          <w:color w:val="auto"/>
        </w:rPr>
        <w:t>Dentsply Sirona Inc.</w:t>
      </w:r>
    </w:p>
    <w:p>
      <w:pPr>
        <w:spacing w:after="0" w:line="15" w:lineRule="exact"/>
        <w:rPr>
          <w:rFonts w:ascii="MS PGothic" w:cs="MS PGothic" w:eastAsia="MS PGothic" w:hAnsi="MS PGothic"/>
          <w:sz w:val="14"/>
          <w:szCs w:val="14"/>
          <w:color w:val="C8102E"/>
        </w:rPr>
      </w:pPr>
    </w:p>
    <w:p>
      <w:pPr>
        <w:ind w:left="430" w:right="200" w:hanging="214"/>
        <w:spacing w:after="0" w:line="244" w:lineRule="auto"/>
        <w:tabs>
          <w:tab w:leader="none" w:pos="348" w:val="left"/>
        </w:tabs>
        <w:numPr>
          <w:ilvl w:val="1"/>
          <w:numId w:val="25"/>
        </w:numPr>
        <w:rPr>
          <w:rFonts w:ascii="MS PGothic" w:cs="MS PGothic" w:eastAsia="MS PGothic" w:hAnsi="MS PGothic"/>
          <w:sz w:val="14"/>
          <w:szCs w:val="14"/>
          <w:color w:val="C8102E"/>
        </w:rPr>
      </w:pPr>
      <w:r>
        <w:rPr>
          <w:rFonts w:ascii="Arial" w:cs="Arial" w:eastAsia="Arial" w:hAnsi="Arial"/>
          <w:sz w:val="14"/>
          <w:szCs w:val="14"/>
          <w:color w:val="auto"/>
        </w:rPr>
        <w:t>Interim Chief Financial Officer (April – October 2022)</w:t>
      </w:r>
    </w:p>
    <w:p>
      <w:pPr>
        <w:spacing w:after="0" w:line="131" w:lineRule="exact"/>
        <w:rPr>
          <w:rFonts w:ascii="MS PGothic" w:cs="MS PGothic" w:eastAsia="MS PGothic" w:hAnsi="MS PGothic"/>
          <w:sz w:val="14"/>
          <w:szCs w:val="14"/>
          <w:color w:val="C8102E"/>
        </w:rPr>
      </w:pPr>
    </w:p>
    <w:p>
      <w:pPr>
        <w:ind w:left="130" w:hanging="130"/>
        <w:spacing w:after="0"/>
        <w:tabs>
          <w:tab w:leader="none" w:pos="130" w:val="left"/>
        </w:tabs>
        <w:numPr>
          <w:ilvl w:val="0"/>
          <w:numId w:val="25"/>
        </w:numPr>
        <w:rPr>
          <w:rFonts w:ascii="MS PGothic" w:cs="MS PGothic" w:eastAsia="MS PGothic" w:hAnsi="MS PGothic"/>
          <w:sz w:val="14"/>
          <w:szCs w:val="14"/>
          <w:color w:val="C8102E"/>
        </w:rPr>
      </w:pPr>
      <w:r>
        <w:rPr>
          <w:rFonts w:ascii="Arial" w:cs="Arial" w:eastAsia="Arial" w:hAnsi="Arial"/>
          <w:sz w:val="14"/>
          <w:szCs w:val="14"/>
          <w:color w:val="auto"/>
        </w:rPr>
        <w:t>Hill-Rom Holdings, Inc.</w:t>
      </w:r>
    </w:p>
    <w:p>
      <w:pPr>
        <w:spacing w:after="0" w:line="15" w:lineRule="exact"/>
        <w:rPr>
          <w:rFonts w:ascii="MS PGothic" w:cs="MS PGothic" w:eastAsia="MS PGothic" w:hAnsi="MS PGothic"/>
          <w:sz w:val="14"/>
          <w:szCs w:val="14"/>
          <w:color w:val="C8102E"/>
        </w:rPr>
      </w:pPr>
    </w:p>
    <w:p>
      <w:pPr>
        <w:ind w:left="430" w:right="20" w:hanging="214"/>
        <w:spacing w:after="0" w:line="264" w:lineRule="auto"/>
        <w:tabs>
          <w:tab w:leader="none" w:pos="348" w:val="left"/>
        </w:tabs>
        <w:numPr>
          <w:ilvl w:val="1"/>
          <w:numId w:val="25"/>
        </w:numPr>
        <w:rPr>
          <w:rFonts w:ascii="MS PGothic" w:cs="MS PGothic" w:eastAsia="MS PGothic" w:hAnsi="MS PGothic"/>
          <w:sz w:val="14"/>
          <w:szCs w:val="14"/>
          <w:color w:val="C8102E"/>
        </w:rPr>
      </w:pPr>
      <w:r>
        <w:rPr>
          <w:rFonts w:ascii="Arial" w:cs="Arial" w:eastAsia="Arial" w:hAnsi="Arial"/>
          <w:sz w:val="14"/>
          <w:szCs w:val="14"/>
          <w:color w:val="auto"/>
        </w:rPr>
        <w:t>Senior Vice President and Chief Financial Officer (2018 – 2021)</w:t>
      </w:r>
    </w:p>
    <w:p>
      <w:pPr>
        <w:spacing w:after="0" w:line="117" w:lineRule="exact"/>
        <w:rPr>
          <w:rFonts w:ascii="MS PGothic" w:cs="MS PGothic" w:eastAsia="MS PGothic" w:hAnsi="MS PGothic"/>
          <w:sz w:val="14"/>
          <w:szCs w:val="14"/>
          <w:color w:val="C8102E"/>
        </w:rPr>
      </w:pPr>
    </w:p>
    <w:p>
      <w:pPr>
        <w:ind w:left="130" w:hanging="130"/>
        <w:spacing w:after="0"/>
        <w:tabs>
          <w:tab w:leader="none" w:pos="130" w:val="left"/>
        </w:tabs>
        <w:numPr>
          <w:ilvl w:val="0"/>
          <w:numId w:val="25"/>
        </w:numPr>
        <w:rPr>
          <w:rFonts w:ascii="MS PGothic" w:cs="MS PGothic" w:eastAsia="MS PGothic" w:hAnsi="MS PGothic"/>
          <w:sz w:val="14"/>
          <w:szCs w:val="14"/>
          <w:color w:val="C8102E"/>
        </w:rPr>
      </w:pPr>
      <w:r>
        <w:rPr>
          <w:rFonts w:ascii="Arial" w:cs="Arial" w:eastAsia="Arial" w:hAnsi="Arial"/>
          <w:sz w:val="14"/>
          <w:szCs w:val="14"/>
          <w:color w:val="auto"/>
        </w:rPr>
        <w:t>Mallinckrodt Pharmaceuticals</w:t>
      </w:r>
    </w:p>
    <w:p>
      <w:pPr>
        <w:spacing w:after="0" w:line="176" w:lineRule="exact"/>
        <w:rPr>
          <w:rFonts w:ascii="MS PGothic" w:cs="MS PGothic" w:eastAsia="MS PGothic" w:hAnsi="MS PGothic"/>
          <w:sz w:val="14"/>
          <w:szCs w:val="14"/>
          <w:color w:val="C8102E"/>
        </w:rPr>
      </w:pPr>
    </w:p>
    <w:p>
      <w:pPr>
        <w:ind w:left="130" w:hanging="130"/>
        <w:spacing w:after="0"/>
        <w:tabs>
          <w:tab w:leader="none" w:pos="130" w:val="left"/>
        </w:tabs>
        <w:numPr>
          <w:ilvl w:val="0"/>
          <w:numId w:val="25"/>
        </w:numPr>
        <w:rPr>
          <w:rFonts w:ascii="MS PGothic" w:cs="MS PGothic" w:eastAsia="MS PGothic" w:hAnsi="MS PGothic"/>
          <w:sz w:val="14"/>
          <w:szCs w:val="14"/>
          <w:color w:val="C8102E"/>
        </w:rPr>
      </w:pPr>
      <w:r>
        <w:rPr>
          <w:rFonts w:ascii="Arial" w:cs="Arial" w:eastAsia="Arial" w:hAnsi="Arial"/>
          <w:sz w:val="14"/>
          <w:szCs w:val="14"/>
          <w:color w:val="auto"/>
        </w:rPr>
        <w:t>BiomEdit (private company)</w:t>
      </w:r>
    </w:p>
    <w:p>
      <w:pPr>
        <w:spacing w:after="0" w:line="1" w:lineRule="exact"/>
        <w:rPr>
          <w:rFonts w:ascii="MS PGothic" w:cs="MS PGothic" w:eastAsia="MS PGothic" w:hAnsi="MS PGothic"/>
          <w:sz w:val="14"/>
          <w:szCs w:val="14"/>
          <w:color w:val="C8102E"/>
        </w:rPr>
      </w:pPr>
    </w:p>
    <w:p>
      <w:pPr>
        <w:ind w:left="350" w:hanging="134"/>
        <w:spacing w:after="0"/>
        <w:tabs>
          <w:tab w:leader="none" w:pos="350" w:val="left"/>
        </w:tabs>
        <w:numPr>
          <w:ilvl w:val="1"/>
          <w:numId w:val="25"/>
        </w:numPr>
        <w:rPr>
          <w:rFonts w:ascii="MS PGothic" w:cs="MS PGothic" w:eastAsia="MS PGothic" w:hAnsi="MS PGothic"/>
          <w:sz w:val="14"/>
          <w:szCs w:val="14"/>
          <w:color w:val="C8102E"/>
        </w:rPr>
      </w:pPr>
      <w:r>
        <w:rPr>
          <w:rFonts w:ascii="Arial" w:cs="Arial" w:eastAsia="Arial" w:hAnsi="Arial"/>
          <w:sz w:val="14"/>
          <w:szCs w:val="14"/>
          <w:color w:val="auto"/>
        </w:rPr>
        <w:t>Director (2022 – present)</w:t>
      </w:r>
    </w:p>
    <w:p>
      <w:pPr>
        <w:spacing w:after="0" w:line="162" w:lineRule="exact"/>
        <w:rPr>
          <w:rFonts w:ascii="MS PGothic" w:cs="MS PGothic" w:eastAsia="MS PGothic" w:hAnsi="MS PGothic"/>
          <w:sz w:val="14"/>
          <w:szCs w:val="14"/>
          <w:color w:val="C8102E"/>
        </w:rPr>
      </w:pPr>
    </w:p>
    <w:p>
      <w:pPr>
        <w:ind w:left="130" w:hanging="130"/>
        <w:spacing w:after="0"/>
        <w:tabs>
          <w:tab w:leader="none" w:pos="130" w:val="left"/>
        </w:tabs>
        <w:numPr>
          <w:ilvl w:val="0"/>
          <w:numId w:val="25"/>
        </w:numPr>
        <w:rPr>
          <w:rFonts w:ascii="MS PGothic" w:cs="MS PGothic" w:eastAsia="MS PGothic" w:hAnsi="MS PGothic"/>
          <w:sz w:val="14"/>
          <w:szCs w:val="14"/>
          <w:color w:val="C8102E"/>
        </w:rPr>
      </w:pPr>
      <w:r>
        <w:rPr>
          <w:rFonts w:ascii="Arial" w:cs="Arial" w:eastAsia="Arial" w:hAnsi="Arial"/>
          <w:sz w:val="14"/>
          <w:szCs w:val="14"/>
          <w:color w:val="auto"/>
        </w:rPr>
        <w:t>Northstar Medical Radioisotope (private company)</w:t>
      </w:r>
    </w:p>
    <w:p>
      <w:pPr>
        <w:spacing w:after="0" w:line="15" w:lineRule="exact"/>
        <w:rPr>
          <w:rFonts w:ascii="MS PGothic" w:cs="MS PGothic" w:eastAsia="MS PGothic" w:hAnsi="MS PGothic"/>
          <w:sz w:val="14"/>
          <w:szCs w:val="14"/>
          <w:color w:val="C8102E"/>
        </w:rPr>
      </w:pPr>
    </w:p>
    <w:p>
      <w:pPr>
        <w:ind w:left="350" w:hanging="134"/>
        <w:spacing w:after="0"/>
        <w:tabs>
          <w:tab w:leader="none" w:pos="350" w:val="left"/>
        </w:tabs>
        <w:numPr>
          <w:ilvl w:val="1"/>
          <w:numId w:val="25"/>
        </w:numPr>
        <w:rPr>
          <w:rFonts w:ascii="MS PGothic" w:cs="MS PGothic" w:eastAsia="MS PGothic" w:hAnsi="MS PGothic"/>
          <w:sz w:val="14"/>
          <w:szCs w:val="14"/>
          <w:color w:val="C8102E"/>
        </w:rPr>
      </w:pPr>
      <w:r>
        <w:rPr>
          <w:rFonts w:ascii="Arial" w:cs="Arial" w:eastAsia="Arial" w:hAnsi="Arial"/>
          <w:sz w:val="14"/>
          <w:szCs w:val="14"/>
          <w:color w:val="auto"/>
        </w:rPr>
        <w:t>Director (2024 – present)</w:t>
      </w:r>
    </w:p>
    <w:p>
      <w:pPr>
        <w:spacing w:after="0" w:line="162" w:lineRule="exact"/>
        <w:rPr>
          <w:rFonts w:ascii="MS PGothic" w:cs="MS PGothic" w:eastAsia="MS PGothic" w:hAnsi="MS PGothic"/>
          <w:sz w:val="14"/>
          <w:szCs w:val="14"/>
          <w:color w:val="C8102E"/>
        </w:rPr>
      </w:pPr>
    </w:p>
    <w:p>
      <w:pPr>
        <w:ind w:left="210" w:hanging="210"/>
        <w:spacing w:after="0" w:line="264" w:lineRule="auto"/>
        <w:tabs>
          <w:tab w:leader="none" w:pos="128" w:val="left"/>
        </w:tabs>
        <w:numPr>
          <w:ilvl w:val="0"/>
          <w:numId w:val="25"/>
        </w:numPr>
        <w:rPr>
          <w:rFonts w:ascii="MS PGothic" w:cs="MS PGothic" w:eastAsia="MS PGothic" w:hAnsi="MS PGothic"/>
          <w:sz w:val="14"/>
          <w:szCs w:val="14"/>
          <w:color w:val="C8102E"/>
        </w:rPr>
      </w:pPr>
      <w:r>
        <w:rPr>
          <w:rFonts w:ascii="Arial" w:cs="Arial" w:eastAsia="Arial" w:hAnsi="Arial"/>
          <w:sz w:val="14"/>
          <w:szCs w:val="14"/>
          <w:color w:val="auto"/>
        </w:rPr>
        <w:t>Previously served in senior finance roles for Hospira, Inc. and Eli Lilly &amp;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-2459355</wp:posOffset>
            </wp:positionH>
            <wp:positionV relativeFrom="paragraph">
              <wp:posOffset>252730</wp:posOffset>
            </wp:positionV>
            <wp:extent cx="699516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C8102E"/>
        </w:rPr>
        <w:t>Other Current Public Directorships</w:t>
      </w:r>
    </w:p>
    <w:p>
      <w:pPr>
        <w:spacing w:after="0" w:line="158" w:lineRule="exact"/>
        <w:rPr>
          <w:sz w:val="20"/>
          <w:szCs w:val="20"/>
          <w:color w:val="auto"/>
        </w:rPr>
      </w:pPr>
    </w:p>
    <w:p>
      <w:pPr>
        <w:ind w:left="130" w:hanging="130"/>
        <w:spacing w:after="0"/>
        <w:tabs>
          <w:tab w:leader="none" w:pos="130" w:val="left"/>
        </w:tabs>
        <w:numPr>
          <w:ilvl w:val="0"/>
          <w:numId w:val="26"/>
        </w:numPr>
        <w:rPr>
          <w:rFonts w:ascii="MS PGothic" w:cs="MS PGothic" w:eastAsia="MS PGothic" w:hAnsi="MS PGothic"/>
          <w:sz w:val="14"/>
          <w:szCs w:val="14"/>
          <w:color w:val="C8102E"/>
        </w:rPr>
      </w:pPr>
      <w:r>
        <w:rPr>
          <w:rFonts w:ascii="Arial" w:cs="Arial" w:eastAsia="Arial" w:hAnsi="Arial"/>
          <w:sz w:val="14"/>
          <w:szCs w:val="14"/>
          <w:color w:val="auto"/>
        </w:rPr>
        <w:t>BioMarin Pharmaceutical, Inc. (2023 – present)</w:t>
      </w:r>
    </w:p>
    <w:p>
      <w:pPr>
        <w:spacing w:after="0" w:line="15" w:lineRule="exact"/>
        <w:rPr>
          <w:rFonts w:ascii="MS PGothic" w:cs="MS PGothic" w:eastAsia="MS PGothic" w:hAnsi="MS PGothic"/>
          <w:sz w:val="14"/>
          <w:szCs w:val="14"/>
          <w:color w:val="C8102E"/>
        </w:rPr>
      </w:pPr>
    </w:p>
    <w:p>
      <w:pPr>
        <w:ind w:left="130" w:hanging="130"/>
        <w:spacing w:after="0"/>
        <w:tabs>
          <w:tab w:leader="none" w:pos="130" w:val="left"/>
        </w:tabs>
        <w:numPr>
          <w:ilvl w:val="0"/>
          <w:numId w:val="26"/>
        </w:numPr>
        <w:rPr>
          <w:rFonts w:ascii="MS PGothic" w:cs="MS PGothic" w:eastAsia="MS PGothic" w:hAnsi="MS PGothic"/>
          <w:sz w:val="14"/>
          <w:szCs w:val="14"/>
          <w:color w:val="C8102E"/>
        </w:rPr>
      </w:pPr>
      <w:r>
        <w:rPr>
          <w:rFonts w:ascii="Arial" w:cs="Arial" w:eastAsia="Arial" w:hAnsi="Arial"/>
          <w:sz w:val="14"/>
          <w:szCs w:val="14"/>
          <w:color w:val="auto"/>
        </w:rPr>
        <w:t>Option Care Health, Inc. (2024 – present)</w:t>
      </w:r>
    </w:p>
    <w:p>
      <w:pPr>
        <w:spacing w:after="0" w:line="158" w:lineRule="exact"/>
        <w:rPr>
          <w:sz w:val="20"/>
          <w:szCs w:val="20"/>
          <w:color w:val="auto"/>
        </w:rPr>
      </w:pPr>
    </w:p>
    <w:p>
      <w:pPr>
        <w:ind w:left="10" w:right="120"/>
        <w:spacing w:after="0" w:line="261" w:lineRule="auto"/>
        <w:rPr>
          <w:sz w:val="20"/>
          <w:szCs w:val="20"/>
          <w:color w:val="auto"/>
        </w:rPr>
      </w:pPr>
      <w:r>
        <w:rPr>
          <w:rFonts w:ascii="Arial" w:cs="Arial" w:eastAsia="Arial" w:hAnsi="Arial"/>
          <w:sz w:val="16"/>
          <w:szCs w:val="16"/>
          <w:b w:val="1"/>
          <w:bCs w:val="1"/>
          <w:color w:val="C8102E"/>
        </w:rPr>
        <w:t>Other Public Directorships in the Past Five Years</w:t>
      </w:r>
    </w:p>
    <w:p>
      <w:pPr>
        <w:spacing w:after="0" w:line="104" w:lineRule="exact"/>
        <w:rPr>
          <w:sz w:val="20"/>
          <w:szCs w:val="20"/>
          <w:color w:val="auto"/>
        </w:rPr>
      </w:pPr>
    </w:p>
    <w:p>
      <w:pPr>
        <w:ind w:left="130" w:hanging="130"/>
        <w:spacing w:after="0"/>
        <w:tabs>
          <w:tab w:leader="none" w:pos="130" w:val="left"/>
        </w:tabs>
        <w:numPr>
          <w:ilvl w:val="0"/>
          <w:numId w:val="27"/>
        </w:numPr>
        <w:rPr>
          <w:rFonts w:ascii="MS PGothic" w:cs="MS PGothic" w:eastAsia="MS PGothic" w:hAnsi="MS PGothic"/>
          <w:sz w:val="14"/>
          <w:szCs w:val="14"/>
          <w:color w:val="C8102E"/>
        </w:rPr>
      </w:pPr>
      <w:r>
        <w:rPr>
          <w:rFonts w:ascii="Arial" w:cs="Arial" w:eastAsia="Arial" w:hAnsi="Arial"/>
          <w:sz w:val="14"/>
          <w:szCs w:val="14"/>
          <w:color w:val="auto"/>
        </w:rPr>
        <w:t>Syneos Health, Inc. (2022 – 2023)</w:t>
      </w:r>
    </w:p>
    <w:p>
      <w:pPr>
        <w:spacing w:after="0" w:line="15" w:lineRule="exact"/>
        <w:rPr>
          <w:rFonts w:ascii="MS PGothic" w:cs="MS PGothic" w:eastAsia="MS PGothic" w:hAnsi="MS PGothic"/>
          <w:sz w:val="14"/>
          <w:szCs w:val="14"/>
          <w:color w:val="C8102E"/>
        </w:rPr>
      </w:pPr>
    </w:p>
    <w:p>
      <w:pPr>
        <w:ind w:left="130" w:hanging="130"/>
        <w:spacing w:after="0"/>
        <w:tabs>
          <w:tab w:leader="none" w:pos="130" w:val="left"/>
        </w:tabs>
        <w:numPr>
          <w:ilvl w:val="0"/>
          <w:numId w:val="27"/>
        </w:numPr>
        <w:rPr>
          <w:rFonts w:ascii="MS PGothic" w:cs="MS PGothic" w:eastAsia="MS PGothic" w:hAnsi="MS PGothic"/>
          <w:sz w:val="14"/>
          <w:szCs w:val="14"/>
          <w:color w:val="C8102E"/>
        </w:rPr>
      </w:pPr>
      <w:r>
        <w:rPr>
          <w:rFonts w:ascii="Arial" w:cs="Arial" w:eastAsia="Arial" w:hAnsi="Arial"/>
          <w:sz w:val="14"/>
          <w:szCs w:val="14"/>
          <w:color w:val="auto"/>
        </w:rPr>
        <w:t>Turning Point Therapeutics (2021 – 2022)</w:t>
      </w:r>
    </w:p>
    <w:p>
      <w:pPr>
        <w:spacing w:after="0" w:line="158" w:lineRule="exact"/>
        <w:rPr>
          <w:sz w:val="20"/>
          <w:szCs w:val="20"/>
          <w:color w:val="auto"/>
        </w:rPr>
      </w:pPr>
    </w:p>
    <w:p>
      <w:pPr>
        <w:ind w:left="10" w:right="200"/>
        <w:spacing w:after="0" w:line="261" w:lineRule="auto"/>
        <w:rPr>
          <w:sz w:val="20"/>
          <w:szCs w:val="20"/>
          <w:color w:val="auto"/>
        </w:rPr>
      </w:pPr>
      <w:r>
        <w:rPr>
          <w:rFonts w:ascii="Arial" w:cs="Arial" w:eastAsia="Arial" w:hAnsi="Arial"/>
          <w:sz w:val="16"/>
          <w:szCs w:val="16"/>
          <w:b w:val="1"/>
          <w:bCs w:val="1"/>
          <w:color w:val="C8102E"/>
        </w:rPr>
        <w:t>Specific Qualifications, Experience, Skills and Expertise</w:t>
      </w:r>
    </w:p>
    <w:p>
      <w:pPr>
        <w:spacing w:after="0" w:line="104" w:lineRule="exact"/>
        <w:rPr>
          <w:sz w:val="20"/>
          <w:szCs w:val="20"/>
          <w:color w:val="auto"/>
        </w:rPr>
      </w:pPr>
    </w:p>
    <w:p>
      <w:pPr>
        <w:ind w:left="210" w:right="240" w:hanging="210"/>
        <w:spacing w:after="0" w:line="228" w:lineRule="auto"/>
        <w:tabs>
          <w:tab w:leader="none" w:pos="128" w:val="left"/>
        </w:tabs>
        <w:numPr>
          <w:ilvl w:val="0"/>
          <w:numId w:val="28"/>
        </w:numPr>
        <w:rPr>
          <w:rFonts w:ascii="MS PGothic" w:cs="MS PGothic" w:eastAsia="MS PGothic" w:hAnsi="MS PGothic"/>
          <w:sz w:val="14"/>
          <w:szCs w:val="14"/>
          <w:color w:val="C8102E"/>
        </w:rPr>
      </w:pPr>
      <w:r>
        <w:rPr>
          <w:rFonts w:ascii="Arial" w:cs="Arial" w:eastAsia="Arial" w:hAnsi="Arial"/>
          <w:sz w:val="14"/>
          <w:szCs w:val="14"/>
          <w:color w:val="auto"/>
        </w:rPr>
        <w:t>Extensive finance, accounting and risk management experience, including as a public company chief financial officer</w:t>
      </w:r>
    </w:p>
    <w:p>
      <w:pPr>
        <w:ind w:left="210" w:right="80" w:hanging="210"/>
        <w:spacing w:after="0" w:line="221" w:lineRule="auto"/>
        <w:tabs>
          <w:tab w:leader="none" w:pos="128" w:val="left"/>
        </w:tabs>
        <w:numPr>
          <w:ilvl w:val="0"/>
          <w:numId w:val="28"/>
        </w:numPr>
        <w:rPr>
          <w:rFonts w:ascii="MS PGothic" w:cs="MS PGothic" w:eastAsia="MS PGothic" w:hAnsi="MS PGothic"/>
          <w:sz w:val="14"/>
          <w:szCs w:val="14"/>
          <w:color w:val="C8102E"/>
        </w:rPr>
      </w:pPr>
      <w:r>
        <w:rPr>
          <w:rFonts w:ascii="Arial" w:cs="Arial" w:eastAsia="Arial" w:hAnsi="Arial"/>
          <w:sz w:val="14"/>
          <w:szCs w:val="14"/>
          <w:color w:val="auto"/>
        </w:rPr>
        <w:t>Significant medical device and healthcare industry experience</w:t>
      </w:r>
    </w:p>
    <w:p>
      <w:pPr>
        <w:ind w:left="210" w:right="40" w:hanging="210"/>
        <w:spacing w:after="0"/>
        <w:tabs>
          <w:tab w:leader="none" w:pos="128" w:val="left"/>
        </w:tabs>
        <w:numPr>
          <w:ilvl w:val="0"/>
          <w:numId w:val="28"/>
        </w:numPr>
        <w:rPr>
          <w:rFonts w:ascii="MS PGothic" w:cs="MS PGothic" w:eastAsia="MS PGothic" w:hAnsi="MS PGothic"/>
          <w:sz w:val="14"/>
          <w:szCs w:val="14"/>
          <w:color w:val="C8102E"/>
        </w:rPr>
      </w:pPr>
      <w:r>
        <w:rPr>
          <w:rFonts w:ascii="Arial" w:cs="Arial" w:eastAsia="Arial" w:hAnsi="Arial"/>
          <w:sz w:val="14"/>
          <w:szCs w:val="14"/>
          <w:color w:val="auto"/>
        </w:rPr>
        <w:t>Board leadership experience as an audit committee member and chair, nom/gov committee member and compensation committee member</w:t>
      </w:r>
    </w:p>
    <w:p>
      <w:pPr>
        <w:spacing w:after="0" w:line="200" w:lineRule="exact"/>
        <w:rPr>
          <w:sz w:val="20"/>
          <w:szCs w:val="20"/>
          <w:color w:val="auto"/>
        </w:rPr>
      </w:pPr>
    </w:p>
    <w:p>
      <w:pPr>
        <w:sectPr>
          <w:pgSz w:w="11900" w:h="16838" w:orient="portrait"/>
          <w:cols w:equalWidth="0" w:num="3">
            <w:col w:w="3150" w:space="720"/>
            <w:col w:w="3490" w:space="250"/>
            <w:col w:w="3410"/>
          </w:cols>
          <w:pgMar w:left="440" w:top="582" w:right="439" w:bottom="727" w:gutter="0" w:footer="0" w:header="0"/>
          <w:type w:val="continuous"/>
        </w:sect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-118745</wp:posOffset>
            </wp:positionV>
            <wp:extent cx="762635" cy="3854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2635" cy="385445"/>
                    </a:xfrm>
                    <a:prstGeom prst="rect">
                      <a:avLst/>
                    </a:prstGeom>
                    <a:noFill/>
                  </pic:spPr>
                </pic:pic>
              </a:graphicData>
            </a:graphic>
          </wp:anchor>
        </w:drawing>
      </w:r>
    </w:p>
    <w:p>
      <w:pPr>
        <w:jc w:val="right"/>
        <w:ind w:right="7560"/>
        <w:spacing w:after="0"/>
        <w:rPr>
          <w:sz w:val="20"/>
          <w:szCs w:val="20"/>
          <w:color w:val="auto"/>
        </w:rPr>
      </w:pPr>
      <w:r>
        <w:rPr>
          <w:rFonts w:ascii="Arial" w:cs="Arial" w:eastAsia="Arial" w:hAnsi="Arial"/>
          <w:sz w:val="18"/>
          <w:szCs w:val="18"/>
          <w:color w:val="auto"/>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69951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582" w:right="439" w:bottom="727" w:gutter="0" w:footer="0" w:header="0"/>
          <w:type w:val="continuous"/>
        </w:sectPr>
      </w:pPr>
    </w:p>
    <w:bookmarkStart w:id="16" w:name="page17"/>
    <w:bookmarkEnd w:id="16"/>
    <w:p>
      <w:pPr>
        <w:ind w:left="640"/>
        <w:spacing w:after="0"/>
        <w:rPr>
          <w:sz w:val="20"/>
          <w:szCs w:val="20"/>
          <w:color w:val="auto"/>
        </w:rPr>
      </w:pPr>
      <w:r>
        <w:rPr>
          <w:rFonts w:ascii="Arial" w:cs="Arial" w:eastAsia="Arial" w:hAnsi="Arial"/>
          <w:sz w:val="29"/>
          <w:szCs w:val="29"/>
          <w:b w:val="1"/>
          <w:bCs w:val="1"/>
          <w:color w:val="C8102E"/>
        </w:rPr>
        <w:t>Liam J.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127000</wp:posOffset>
            </wp:positionV>
            <wp:extent cx="1114425" cy="11144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14425"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C8102E"/>
        </w:rPr>
        <w:t>Director since 2020</w:t>
      </w:r>
    </w:p>
    <w:p>
      <w:pPr>
        <w:ind w:left="640"/>
        <w:spacing w:after="0"/>
        <w:rPr>
          <w:sz w:val="20"/>
          <w:szCs w:val="20"/>
          <w:color w:val="auto"/>
        </w:rPr>
      </w:pPr>
      <w:r>
        <w:rPr>
          <w:rFonts w:ascii="Arial" w:cs="Arial" w:eastAsia="Arial" w:hAnsi="Arial"/>
          <w:sz w:val="18"/>
          <w:szCs w:val="18"/>
          <w:b w:val="1"/>
          <w:bCs w:val="1"/>
          <w:color w:val="C8102E"/>
        </w:rPr>
        <w:t>Independent | Age 59</w:t>
      </w:r>
    </w:p>
    <w:p>
      <w:pPr>
        <w:spacing w:after="0" w:line="138" w:lineRule="exact"/>
        <w:rPr>
          <w:sz w:val="20"/>
          <w:szCs w:val="20"/>
          <w:color w:val="auto"/>
        </w:rPr>
      </w:pPr>
    </w:p>
    <w:p>
      <w:pPr>
        <w:jc w:val="center"/>
        <w:ind w:left="170"/>
        <w:spacing w:after="0"/>
        <w:rPr>
          <w:sz w:val="20"/>
          <w:szCs w:val="20"/>
          <w:color w:val="auto"/>
        </w:rPr>
      </w:pPr>
      <w:r>
        <w:rPr>
          <w:rFonts w:ascii="Arial" w:cs="Arial" w:eastAsia="Arial" w:hAnsi="Arial"/>
          <w:sz w:val="17"/>
          <w:szCs w:val="17"/>
          <w:b w:val="1"/>
          <w:bCs w:val="1"/>
          <w:color w:val="C8102E"/>
        </w:rPr>
        <w:t>Committees: Nominating and</w:t>
      </w:r>
    </w:p>
    <w:p>
      <w:pPr>
        <w:jc w:val="center"/>
        <w:ind w:left="170"/>
        <w:spacing w:after="0"/>
        <w:rPr>
          <w:sz w:val="20"/>
          <w:szCs w:val="20"/>
          <w:color w:val="auto"/>
        </w:rPr>
      </w:pPr>
      <w:r>
        <w:rPr>
          <w:rFonts w:ascii="Arial" w:cs="Arial" w:eastAsia="Arial" w:hAnsi="Arial"/>
          <w:sz w:val="18"/>
          <w:szCs w:val="18"/>
          <w:b w:val="1"/>
          <w:bCs w:val="1"/>
          <w:color w:val="C8102E"/>
        </w:rPr>
        <w:t>Corporate Governance</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ind w:left="10" w:right="480"/>
        <w:spacing w:after="0" w:line="261" w:lineRule="auto"/>
        <w:rPr>
          <w:sz w:val="20"/>
          <w:szCs w:val="20"/>
          <w:color w:val="auto"/>
        </w:rPr>
      </w:pPr>
      <w:r>
        <w:rPr>
          <w:rFonts w:ascii="Arial" w:cs="Arial" w:eastAsia="Arial" w:hAnsi="Arial"/>
          <w:sz w:val="16"/>
          <w:szCs w:val="16"/>
          <w:b w:val="1"/>
          <w:bCs w:val="1"/>
          <w:color w:val="C8102E"/>
        </w:rPr>
        <w:t>Career Highlights and Recent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-2459355</wp:posOffset>
            </wp:positionH>
            <wp:positionV relativeFrom="paragraph">
              <wp:posOffset>-287655</wp:posOffset>
            </wp:positionV>
            <wp:extent cx="69951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4" w:lineRule="exact"/>
        <w:rPr>
          <w:sz w:val="20"/>
          <w:szCs w:val="20"/>
          <w:color w:val="auto"/>
        </w:rPr>
      </w:pPr>
    </w:p>
    <w:p>
      <w:pPr>
        <w:ind w:left="130" w:hanging="130"/>
        <w:spacing w:after="0"/>
        <w:tabs>
          <w:tab w:leader="none" w:pos="130" w:val="left"/>
        </w:tabs>
        <w:numPr>
          <w:ilvl w:val="0"/>
          <w:numId w:val="29"/>
        </w:numPr>
        <w:rPr>
          <w:rFonts w:ascii="MS PGothic" w:cs="MS PGothic" w:eastAsia="MS PGothic" w:hAnsi="MS PGothic"/>
          <w:sz w:val="14"/>
          <w:szCs w:val="14"/>
          <w:color w:val="C8102E"/>
        </w:rPr>
      </w:pPr>
      <w:r>
        <w:rPr>
          <w:rFonts w:ascii="Arial" w:cs="Arial" w:eastAsia="Arial" w:hAnsi="Arial"/>
          <w:sz w:val="14"/>
          <w:szCs w:val="14"/>
          <w:color w:val="auto"/>
        </w:rPr>
        <w:t>Teleflex Incorporated</w:t>
      </w:r>
    </w:p>
    <w:p>
      <w:pPr>
        <w:spacing w:after="0" w:line="15" w:lineRule="exact"/>
        <w:rPr>
          <w:rFonts w:ascii="MS PGothic" w:cs="MS PGothic" w:eastAsia="MS PGothic" w:hAnsi="MS PGothic"/>
          <w:sz w:val="14"/>
          <w:szCs w:val="14"/>
          <w:color w:val="C8102E"/>
        </w:rPr>
      </w:pPr>
    </w:p>
    <w:p>
      <w:pPr>
        <w:ind w:left="430" w:right="60" w:hanging="214"/>
        <w:spacing w:after="0" w:line="221" w:lineRule="auto"/>
        <w:tabs>
          <w:tab w:leader="none" w:pos="348" w:val="left"/>
        </w:tabs>
        <w:numPr>
          <w:ilvl w:val="1"/>
          <w:numId w:val="29"/>
        </w:numPr>
        <w:rPr>
          <w:rFonts w:ascii="MS PGothic" w:cs="MS PGothic" w:eastAsia="MS PGothic" w:hAnsi="MS PGothic"/>
          <w:sz w:val="14"/>
          <w:szCs w:val="14"/>
          <w:color w:val="C8102E"/>
        </w:rPr>
      </w:pPr>
      <w:r>
        <w:rPr>
          <w:rFonts w:ascii="Arial" w:cs="Arial" w:eastAsia="Arial" w:hAnsi="Arial"/>
          <w:sz w:val="14"/>
          <w:szCs w:val="14"/>
          <w:color w:val="auto"/>
        </w:rPr>
        <w:t>Chairman, President and Chief Executive Officer (2020 – Jan 2026)</w:t>
      </w:r>
    </w:p>
    <w:p>
      <w:pPr>
        <w:ind w:left="430" w:right="240" w:hanging="214"/>
        <w:spacing w:after="0" w:line="231" w:lineRule="auto"/>
        <w:tabs>
          <w:tab w:leader="none" w:pos="348" w:val="left"/>
        </w:tabs>
        <w:numPr>
          <w:ilvl w:val="1"/>
          <w:numId w:val="29"/>
        </w:numPr>
        <w:rPr>
          <w:rFonts w:ascii="MS PGothic" w:cs="MS PGothic" w:eastAsia="MS PGothic" w:hAnsi="MS PGothic"/>
          <w:sz w:val="14"/>
          <w:szCs w:val="14"/>
          <w:color w:val="C8102E"/>
        </w:rPr>
      </w:pPr>
      <w:r>
        <w:rPr>
          <w:rFonts w:ascii="Arial" w:cs="Arial" w:eastAsia="Arial" w:hAnsi="Arial"/>
          <w:sz w:val="14"/>
          <w:szCs w:val="14"/>
          <w:color w:val="auto"/>
        </w:rPr>
        <w:t>President and Chief Executive Officer (2018 – 2020)</w:t>
      </w:r>
    </w:p>
    <w:p>
      <w:pPr>
        <w:ind w:left="430" w:hanging="214"/>
        <w:spacing w:after="0" w:line="244" w:lineRule="auto"/>
        <w:tabs>
          <w:tab w:leader="none" w:pos="348" w:val="left"/>
        </w:tabs>
        <w:numPr>
          <w:ilvl w:val="1"/>
          <w:numId w:val="29"/>
        </w:numPr>
        <w:rPr>
          <w:rFonts w:ascii="MS PGothic" w:cs="MS PGothic" w:eastAsia="MS PGothic" w:hAnsi="MS PGothic"/>
          <w:sz w:val="14"/>
          <w:szCs w:val="14"/>
          <w:color w:val="C8102E"/>
        </w:rPr>
      </w:pPr>
      <w:r>
        <w:rPr>
          <w:rFonts w:ascii="Arial" w:cs="Arial" w:eastAsia="Arial" w:hAnsi="Arial"/>
          <w:sz w:val="14"/>
          <w:szCs w:val="14"/>
          <w:color w:val="auto"/>
        </w:rPr>
        <w:t>Served in a variety of senior leadership roles from 2009 to 2017</w:t>
      </w:r>
    </w:p>
    <w:p>
      <w:pPr>
        <w:spacing w:after="0" w:line="131" w:lineRule="exact"/>
        <w:rPr>
          <w:rFonts w:ascii="MS PGothic" w:cs="MS PGothic" w:eastAsia="MS PGothic" w:hAnsi="MS PGothic"/>
          <w:sz w:val="14"/>
          <w:szCs w:val="14"/>
          <w:color w:val="C8102E"/>
        </w:rPr>
      </w:pPr>
    </w:p>
    <w:p>
      <w:pPr>
        <w:ind w:left="130" w:hanging="130"/>
        <w:spacing w:after="0"/>
        <w:tabs>
          <w:tab w:leader="none" w:pos="130" w:val="left"/>
        </w:tabs>
        <w:numPr>
          <w:ilvl w:val="0"/>
          <w:numId w:val="29"/>
        </w:numPr>
        <w:rPr>
          <w:rFonts w:ascii="MS PGothic" w:cs="MS PGothic" w:eastAsia="MS PGothic" w:hAnsi="MS PGothic"/>
          <w:sz w:val="14"/>
          <w:szCs w:val="14"/>
          <w:color w:val="C8102E"/>
        </w:rPr>
      </w:pPr>
      <w:r>
        <w:rPr>
          <w:rFonts w:ascii="Arial" w:cs="Arial" w:eastAsia="Arial" w:hAnsi="Arial"/>
          <w:sz w:val="14"/>
          <w:szCs w:val="14"/>
          <w:color w:val="auto"/>
        </w:rPr>
        <w:t>Hill-Rom Holdings, Inc. (2002 – 2009)</w:t>
      </w:r>
    </w:p>
    <w:p>
      <w:pPr>
        <w:spacing w:after="0" w:line="15" w:lineRule="exact"/>
        <w:rPr>
          <w:rFonts w:ascii="MS PGothic" w:cs="MS PGothic" w:eastAsia="MS PGothic" w:hAnsi="MS PGothic"/>
          <w:sz w:val="14"/>
          <w:szCs w:val="14"/>
          <w:color w:val="C8102E"/>
        </w:rPr>
      </w:pPr>
    </w:p>
    <w:p>
      <w:pPr>
        <w:ind w:left="430" w:right="320" w:hanging="214"/>
        <w:spacing w:after="0" w:line="235" w:lineRule="auto"/>
        <w:tabs>
          <w:tab w:leader="none" w:pos="348" w:val="left"/>
        </w:tabs>
        <w:numPr>
          <w:ilvl w:val="1"/>
          <w:numId w:val="29"/>
        </w:numPr>
        <w:rPr>
          <w:rFonts w:ascii="MS PGothic" w:cs="MS PGothic" w:eastAsia="MS PGothic" w:hAnsi="MS PGothic"/>
          <w:sz w:val="14"/>
          <w:szCs w:val="14"/>
          <w:color w:val="C8102E"/>
        </w:rPr>
      </w:pPr>
      <w:r>
        <w:rPr>
          <w:rFonts w:ascii="Arial" w:cs="Arial" w:eastAsia="Arial" w:hAnsi="Arial"/>
          <w:sz w:val="14"/>
          <w:szCs w:val="14"/>
          <w:color w:val="auto"/>
        </w:rPr>
        <w:t>Served in a number of senior level positions, including Vice President of International Marketing and R&amp;D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-2459355</wp:posOffset>
            </wp:positionH>
            <wp:positionV relativeFrom="paragraph">
              <wp:posOffset>785495</wp:posOffset>
            </wp:positionV>
            <wp:extent cx="69951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C8102E"/>
        </w:rPr>
        <w:t>Other Current Public Directorships</w:t>
      </w:r>
    </w:p>
    <w:p>
      <w:pPr>
        <w:spacing w:after="0" w:line="158" w:lineRule="exact"/>
        <w:rPr>
          <w:sz w:val="20"/>
          <w:szCs w:val="20"/>
          <w:color w:val="auto"/>
        </w:rPr>
      </w:pPr>
    </w:p>
    <w:p>
      <w:pPr>
        <w:ind w:left="130" w:hanging="130"/>
        <w:spacing w:after="0"/>
        <w:tabs>
          <w:tab w:leader="none" w:pos="130" w:val="left"/>
        </w:tabs>
        <w:numPr>
          <w:ilvl w:val="0"/>
          <w:numId w:val="30"/>
        </w:numPr>
        <w:rPr>
          <w:rFonts w:ascii="MS PGothic" w:cs="MS PGothic" w:eastAsia="MS PGothic" w:hAnsi="MS PGothic"/>
          <w:sz w:val="14"/>
          <w:szCs w:val="14"/>
          <w:color w:val="C8102E"/>
        </w:rPr>
      </w:pPr>
      <w:r>
        <w:rPr>
          <w:rFonts w:ascii="Arial" w:cs="Arial" w:eastAsia="Arial" w:hAnsi="Arial"/>
          <w:sz w:val="14"/>
          <w:szCs w:val="14"/>
          <w:color w:val="auto"/>
        </w:rPr>
        <w:t>Teleflex Incorporated (2020 – Jan 2026)</w:t>
      </w:r>
    </w:p>
    <w:p>
      <w:pPr>
        <w:spacing w:after="0" w:line="172" w:lineRule="exact"/>
        <w:rPr>
          <w:sz w:val="20"/>
          <w:szCs w:val="20"/>
          <w:color w:val="auto"/>
        </w:rPr>
      </w:pPr>
    </w:p>
    <w:p>
      <w:pPr>
        <w:ind w:left="10" w:right="120"/>
        <w:spacing w:after="0" w:line="261" w:lineRule="auto"/>
        <w:rPr>
          <w:sz w:val="20"/>
          <w:szCs w:val="20"/>
          <w:color w:val="auto"/>
        </w:rPr>
      </w:pPr>
      <w:r>
        <w:rPr>
          <w:rFonts w:ascii="Arial" w:cs="Arial" w:eastAsia="Arial" w:hAnsi="Arial"/>
          <w:sz w:val="16"/>
          <w:szCs w:val="16"/>
          <w:b w:val="1"/>
          <w:bCs w:val="1"/>
          <w:color w:val="C8102E"/>
        </w:rPr>
        <w:t>Other Public Directorships in the Past Five Years</w:t>
      </w:r>
    </w:p>
    <w:p>
      <w:pPr>
        <w:spacing w:after="0" w:line="118" w:lineRule="exact"/>
        <w:rPr>
          <w:sz w:val="20"/>
          <w:szCs w:val="20"/>
          <w:color w:val="auto"/>
        </w:rPr>
      </w:pPr>
    </w:p>
    <w:p>
      <w:pPr>
        <w:ind w:left="130" w:hanging="130"/>
        <w:spacing w:after="0"/>
        <w:tabs>
          <w:tab w:leader="none" w:pos="130" w:val="left"/>
        </w:tabs>
        <w:numPr>
          <w:ilvl w:val="0"/>
          <w:numId w:val="31"/>
        </w:numPr>
        <w:rPr>
          <w:rFonts w:ascii="MS PGothic" w:cs="MS PGothic" w:eastAsia="MS PGothic" w:hAnsi="MS PGothic"/>
          <w:sz w:val="14"/>
          <w:szCs w:val="14"/>
          <w:color w:val="C8102E"/>
        </w:rPr>
      </w:pPr>
      <w:r>
        <w:rPr>
          <w:rFonts w:ascii="Arial" w:cs="Arial" w:eastAsia="Arial" w:hAnsi="Arial"/>
          <w:sz w:val="14"/>
          <w:szCs w:val="14"/>
          <w:color w:val="auto"/>
        </w:rPr>
        <w:t>None</w:t>
      </w:r>
    </w:p>
    <w:p>
      <w:pPr>
        <w:spacing w:after="0" w:line="172" w:lineRule="exact"/>
        <w:rPr>
          <w:sz w:val="20"/>
          <w:szCs w:val="20"/>
          <w:color w:val="auto"/>
        </w:rPr>
      </w:pPr>
    </w:p>
    <w:p>
      <w:pPr>
        <w:ind w:left="10" w:right="200"/>
        <w:spacing w:after="0" w:line="261" w:lineRule="auto"/>
        <w:rPr>
          <w:sz w:val="20"/>
          <w:szCs w:val="20"/>
          <w:color w:val="auto"/>
        </w:rPr>
      </w:pPr>
      <w:r>
        <w:rPr>
          <w:rFonts w:ascii="Arial" w:cs="Arial" w:eastAsia="Arial" w:hAnsi="Arial"/>
          <w:sz w:val="16"/>
          <w:szCs w:val="16"/>
          <w:b w:val="1"/>
          <w:bCs w:val="1"/>
          <w:color w:val="C8102E"/>
        </w:rPr>
        <w:t>Specific Qualifications, Experience, Skills and Expertise</w:t>
      </w:r>
    </w:p>
    <w:p>
      <w:pPr>
        <w:spacing w:after="0" w:line="104" w:lineRule="exact"/>
        <w:rPr>
          <w:sz w:val="20"/>
          <w:szCs w:val="20"/>
          <w:color w:val="auto"/>
        </w:rPr>
      </w:pPr>
    </w:p>
    <w:p>
      <w:pPr>
        <w:ind w:left="210" w:right="360" w:hanging="210"/>
        <w:spacing w:after="0" w:line="228" w:lineRule="auto"/>
        <w:tabs>
          <w:tab w:leader="none" w:pos="128" w:val="left"/>
        </w:tabs>
        <w:numPr>
          <w:ilvl w:val="0"/>
          <w:numId w:val="32"/>
        </w:numPr>
        <w:rPr>
          <w:rFonts w:ascii="MS PGothic" w:cs="MS PGothic" w:eastAsia="MS PGothic" w:hAnsi="MS PGothic"/>
          <w:sz w:val="14"/>
          <w:szCs w:val="14"/>
          <w:color w:val="C8102E"/>
        </w:rPr>
      </w:pPr>
      <w:r>
        <w:rPr>
          <w:rFonts w:ascii="Arial" w:cs="Arial" w:eastAsia="Arial" w:hAnsi="Arial"/>
          <w:sz w:val="14"/>
          <w:szCs w:val="14"/>
          <w:color w:val="auto"/>
        </w:rPr>
        <w:t>Extensive experience in the medical device industry, including as a public company chief executive officer</w:t>
      </w:r>
    </w:p>
    <w:p>
      <w:pPr>
        <w:ind w:left="210" w:right="380" w:hanging="210"/>
        <w:spacing w:after="0" w:line="221" w:lineRule="auto"/>
        <w:tabs>
          <w:tab w:leader="none" w:pos="128" w:val="left"/>
        </w:tabs>
        <w:numPr>
          <w:ilvl w:val="0"/>
          <w:numId w:val="32"/>
        </w:numPr>
        <w:rPr>
          <w:rFonts w:ascii="MS PGothic" w:cs="MS PGothic" w:eastAsia="MS PGothic" w:hAnsi="MS PGothic"/>
          <w:sz w:val="14"/>
          <w:szCs w:val="14"/>
          <w:color w:val="C8102E"/>
        </w:rPr>
      </w:pPr>
      <w:r>
        <w:rPr>
          <w:rFonts w:ascii="Arial" w:cs="Arial" w:eastAsia="Arial" w:hAnsi="Arial"/>
          <w:sz w:val="14"/>
          <w:szCs w:val="14"/>
          <w:color w:val="auto"/>
        </w:rPr>
        <w:t>Significant experience managing international businesses</w:t>
      </w:r>
    </w:p>
    <w:p>
      <w:pPr>
        <w:ind w:left="210" w:right="320" w:hanging="210"/>
        <w:spacing w:after="0" w:line="231" w:lineRule="auto"/>
        <w:tabs>
          <w:tab w:leader="none" w:pos="128" w:val="left"/>
        </w:tabs>
        <w:numPr>
          <w:ilvl w:val="0"/>
          <w:numId w:val="32"/>
        </w:numPr>
        <w:rPr>
          <w:rFonts w:ascii="MS PGothic" w:cs="MS PGothic" w:eastAsia="MS PGothic" w:hAnsi="MS PGothic"/>
          <w:sz w:val="14"/>
          <w:szCs w:val="14"/>
          <w:color w:val="C8102E"/>
        </w:rPr>
      </w:pPr>
      <w:r>
        <w:rPr>
          <w:rFonts w:ascii="Arial" w:cs="Arial" w:eastAsia="Arial" w:hAnsi="Arial"/>
          <w:sz w:val="14"/>
          <w:szCs w:val="14"/>
          <w:color w:val="auto"/>
        </w:rPr>
        <w:t>Extensive healthcare and medical device M&amp;A experience</w:t>
      </w:r>
    </w:p>
    <w:p>
      <w:pPr>
        <w:ind w:left="210" w:right="520" w:hanging="210"/>
        <w:spacing w:after="0" w:line="244" w:lineRule="auto"/>
        <w:tabs>
          <w:tab w:leader="none" w:pos="128" w:val="left"/>
        </w:tabs>
        <w:numPr>
          <w:ilvl w:val="0"/>
          <w:numId w:val="32"/>
        </w:numPr>
        <w:rPr>
          <w:rFonts w:ascii="MS PGothic" w:cs="MS PGothic" w:eastAsia="MS PGothic" w:hAnsi="MS PGothic"/>
          <w:sz w:val="14"/>
          <w:szCs w:val="14"/>
          <w:color w:val="C8102E"/>
        </w:rPr>
      </w:pPr>
      <w:r>
        <w:rPr>
          <w:rFonts w:ascii="Arial" w:cs="Arial" w:eastAsia="Arial" w:hAnsi="Arial"/>
          <w:sz w:val="14"/>
          <w:szCs w:val="14"/>
          <w:color w:val="auto"/>
        </w:rPr>
        <w:t>Significant technology, R&amp;D and innovation experience</w:t>
      </w:r>
    </w:p>
    <w:p>
      <w:pPr>
        <w:spacing w:after="0" w:line="200" w:lineRule="exact"/>
        <w:rPr>
          <w:sz w:val="20"/>
          <w:szCs w:val="20"/>
          <w:color w:val="auto"/>
        </w:rPr>
      </w:pPr>
    </w:p>
    <w:p>
      <w:pPr>
        <w:sectPr>
          <w:pgSz w:w="11900" w:h="16838" w:orient="portrait"/>
          <w:cols w:equalWidth="0" w:num="3">
            <w:col w:w="2850" w:space="720"/>
            <w:col w:w="3510" w:space="230"/>
            <w:col w:w="3410"/>
          </w:cols>
          <w:pgMar w:left="740" w:top="740" w:right="439" w:bottom="1440" w:gutter="0" w:footer="0" w:header="0"/>
        </w:sectPr>
      </w:pPr>
    </w:p>
    <w:p>
      <w:pPr>
        <w:spacing w:after="0" w:line="68" w:lineRule="exact"/>
        <w:rPr>
          <w:sz w:val="20"/>
          <w:szCs w:val="20"/>
          <w:color w:val="auto"/>
        </w:rPr>
      </w:pPr>
    </w:p>
    <w:p>
      <w:pPr>
        <w:ind w:left="480"/>
        <w:spacing w:after="0"/>
        <w:rPr>
          <w:sz w:val="20"/>
          <w:szCs w:val="20"/>
          <w:color w:val="auto"/>
        </w:rPr>
      </w:pPr>
      <w:r>
        <w:rPr>
          <w:rFonts w:ascii="Arial" w:cs="Arial" w:eastAsia="Arial" w:hAnsi="Arial"/>
          <w:sz w:val="29"/>
          <w:szCs w:val="29"/>
          <w:b w:val="1"/>
          <w:bCs w:val="1"/>
          <w:color w:val="C8102E"/>
        </w:rPr>
        <w:t>Angela S. Lalor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118745</wp:posOffset>
            </wp:positionV>
            <wp:extent cx="1114425" cy="11144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14425"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C8102E"/>
        </w:rPr>
        <w:t>Director since 2022</w:t>
      </w:r>
    </w:p>
    <w:p>
      <w:pPr>
        <w:ind w:left="640"/>
        <w:spacing w:after="0"/>
        <w:rPr>
          <w:sz w:val="20"/>
          <w:szCs w:val="20"/>
          <w:color w:val="auto"/>
        </w:rPr>
      </w:pPr>
      <w:r>
        <w:rPr>
          <w:rFonts w:ascii="Arial" w:cs="Arial" w:eastAsia="Arial" w:hAnsi="Arial"/>
          <w:sz w:val="18"/>
          <w:szCs w:val="18"/>
          <w:b w:val="1"/>
          <w:bCs w:val="1"/>
          <w:color w:val="C8102E"/>
        </w:rPr>
        <w:t>Independent | Age 60</w:t>
      </w:r>
    </w:p>
    <w:p>
      <w:pPr>
        <w:spacing w:after="0" w:line="140" w:lineRule="exact"/>
        <w:rPr>
          <w:sz w:val="20"/>
          <w:szCs w:val="20"/>
          <w:color w:val="auto"/>
        </w:rPr>
      </w:pPr>
    </w:p>
    <w:p>
      <w:pPr>
        <w:jc w:val="center"/>
        <w:spacing w:after="0" w:line="278" w:lineRule="auto"/>
        <w:rPr>
          <w:sz w:val="20"/>
          <w:szCs w:val="20"/>
          <w:color w:val="auto"/>
        </w:rPr>
      </w:pPr>
      <w:r>
        <w:rPr>
          <w:rFonts w:ascii="Arial" w:cs="Arial" w:eastAsia="Arial" w:hAnsi="Arial"/>
          <w:sz w:val="17"/>
          <w:szCs w:val="17"/>
          <w:b w:val="1"/>
          <w:bCs w:val="1"/>
          <w:color w:val="C8102E"/>
        </w:rPr>
        <w:t>Committees: Compensation and Human Capital Management (Chair)</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left="10" w:right="480"/>
        <w:spacing w:after="0" w:line="261" w:lineRule="auto"/>
        <w:rPr>
          <w:sz w:val="20"/>
          <w:szCs w:val="20"/>
          <w:color w:val="auto"/>
        </w:rPr>
      </w:pPr>
      <w:r>
        <w:rPr>
          <w:rFonts w:ascii="Arial" w:cs="Arial" w:eastAsia="Arial" w:hAnsi="Arial"/>
          <w:sz w:val="16"/>
          <w:szCs w:val="16"/>
          <w:b w:val="1"/>
          <w:bCs w:val="1"/>
          <w:color w:val="C8102E"/>
        </w:rPr>
        <w:t>Career Highlights and Recent Business Experience</w:t>
      </w:r>
    </w:p>
    <w:p>
      <w:pPr>
        <w:spacing w:after="0" w:line="104" w:lineRule="exact"/>
        <w:rPr>
          <w:sz w:val="20"/>
          <w:szCs w:val="20"/>
          <w:color w:val="auto"/>
        </w:rPr>
      </w:pPr>
    </w:p>
    <w:p>
      <w:pPr>
        <w:ind w:left="130" w:hanging="130"/>
        <w:spacing w:after="0"/>
        <w:tabs>
          <w:tab w:leader="none" w:pos="130" w:val="left"/>
        </w:tabs>
        <w:numPr>
          <w:ilvl w:val="0"/>
          <w:numId w:val="33"/>
        </w:numPr>
        <w:rPr>
          <w:rFonts w:ascii="MS PGothic" w:cs="MS PGothic" w:eastAsia="MS PGothic" w:hAnsi="MS PGothic"/>
          <w:sz w:val="14"/>
          <w:szCs w:val="14"/>
          <w:color w:val="C8102E"/>
        </w:rPr>
      </w:pPr>
      <w:r>
        <w:rPr>
          <w:rFonts w:ascii="Arial" w:cs="Arial" w:eastAsia="Arial" w:hAnsi="Arial"/>
          <w:sz w:val="14"/>
          <w:szCs w:val="14"/>
          <w:color w:val="auto"/>
        </w:rPr>
        <w:t>Danaher Corporation</w:t>
      </w:r>
    </w:p>
    <w:p>
      <w:pPr>
        <w:spacing w:after="0" w:line="15" w:lineRule="exact"/>
        <w:rPr>
          <w:rFonts w:ascii="MS PGothic" w:cs="MS PGothic" w:eastAsia="MS PGothic" w:hAnsi="MS PGothic"/>
          <w:sz w:val="14"/>
          <w:szCs w:val="14"/>
          <w:color w:val="C8102E"/>
        </w:rPr>
      </w:pPr>
    </w:p>
    <w:p>
      <w:pPr>
        <w:ind w:left="350" w:hanging="134"/>
        <w:spacing w:after="0" w:line="221" w:lineRule="auto"/>
        <w:tabs>
          <w:tab w:leader="none" w:pos="350" w:val="left"/>
        </w:tabs>
        <w:numPr>
          <w:ilvl w:val="1"/>
          <w:numId w:val="33"/>
        </w:numPr>
        <w:rPr>
          <w:rFonts w:ascii="MS PGothic" w:cs="MS PGothic" w:eastAsia="MS PGothic" w:hAnsi="MS PGothic"/>
          <w:sz w:val="14"/>
          <w:szCs w:val="14"/>
          <w:color w:val="C8102E"/>
        </w:rPr>
      </w:pPr>
      <w:r>
        <w:rPr>
          <w:rFonts w:ascii="Arial" w:cs="Arial" w:eastAsia="Arial" w:hAnsi="Arial"/>
          <w:sz w:val="14"/>
          <w:szCs w:val="14"/>
          <w:color w:val="auto"/>
        </w:rPr>
        <w:t>Advisor (2022 – 2023)</w:t>
      </w:r>
    </w:p>
    <w:p>
      <w:pPr>
        <w:ind w:left="350" w:hanging="134"/>
        <w:spacing w:after="0"/>
        <w:tabs>
          <w:tab w:leader="none" w:pos="350" w:val="left"/>
        </w:tabs>
        <w:numPr>
          <w:ilvl w:val="1"/>
          <w:numId w:val="33"/>
        </w:numPr>
        <w:rPr>
          <w:rFonts w:ascii="MS PGothic" w:cs="MS PGothic" w:eastAsia="MS PGothic" w:hAnsi="MS PGothic"/>
          <w:sz w:val="14"/>
          <w:szCs w:val="14"/>
          <w:color w:val="C8102E"/>
        </w:rPr>
      </w:pPr>
      <w:r>
        <w:rPr>
          <w:rFonts w:ascii="Arial" w:cs="Arial" w:eastAsia="Arial" w:hAnsi="Arial"/>
          <w:sz w:val="14"/>
          <w:szCs w:val="14"/>
          <w:color w:val="auto"/>
        </w:rPr>
        <w:t>Senior Vice President, Human Resources (2012</w:t>
      </w:r>
    </w:p>
    <w:p>
      <w:pPr>
        <w:spacing w:after="0" w:line="1" w:lineRule="exact"/>
        <w:rPr>
          <w:rFonts w:ascii="MS PGothic" w:cs="MS PGothic" w:eastAsia="MS PGothic" w:hAnsi="MS PGothic"/>
          <w:sz w:val="14"/>
          <w:szCs w:val="14"/>
          <w:color w:val="C8102E"/>
        </w:rPr>
      </w:pPr>
    </w:p>
    <w:p>
      <w:pPr>
        <w:ind w:left="430"/>
        <w:spacing w:after="0"/>
        <w:rPr>
          <w:rFonts w:ascii="MS PGothic" w:cs="MS PGothic" w:eastAsia="MS PGothic" w:hAnsi="MS PGothic"/>
          <w:sz w:val="14"/>
          <w:szCs w:val="14"/>
          <w:color w:val="C8102E"/>
        </w:rPr>
      </w:pPr>
      <w:r>
        <w:rPr>
          <w:rFonts w:ascii="Arial" w:cs="Arial" w:eastAsia="Arial" w:hAnsi="Arial"/>
          <w:sz w:val="14"/>
          <w:szCs w:val="14"/>
          <w:color w:val="auto"/>
        </w:rPr>
        <w:t>– 2022)</w:t>
      </w:r>
    </w:p>
    <w:p>
      <w:pPr>
        <w:spacing w:after="0" w:line="149" w:lineRule="exact"/>
        <w:rPr>
          <w:rFonts w:ascii="MS PGothic" w:cs="MS PGothic" w:eastAsia="MS PGothic" w:hAnsi="MS PGothic"/>
          <w:sz w:val="14"/>
          <w:szCs w:val="14"/>
          <w:color w:val="C8102E"/>
        </w:rPr>
      </w:pPr>
    </w:p>
    <w:p>
      <w:pPr>
        <w:ind w:left="130" w:hanging="130"/>
        <w:spacing w:after="0"/>
        <w:tabs>
          <w:tab w:leader="none" w:pos="130" w:val="left"/>
        </w:tabs>
        <w:numPr>
          <w:ilvl w:val="0"/>
          <w:numId w:val="33"/>
        </w:numPr>
        <w:rPr>
          <w:rFonts w:ascii="MS PGothic" w:cs="MS PGothic" w:eastAsia="MS PGothic" w:hAnsi="MS PGothic"/>
          <w:sz w:val="14"/>
          <w:szCs w:val="14"/>
          <w:color w:val="C8102E"/>
        </w:rPr>
      </w:pPr>
      <w:r>
        <w:rPr>
          <w:rFonts w:ascii="Arial" w:cs="Arial" w:eastAsia="Arial" w:hAnsi="Arial"/>
          <w:sz w:val="14"/>
          <w:szCs w:val="14"/>
          <w:color w:val="auto"/>
        </w:rPr>
        <w:t>3M Company</w:t>
      </w:r>
    </w:p>
    <w:p>
      <w:pPr>
        <w:spacing w:after="0" w:line="15" w:lineRule="exact"/>
        <w:rPr>
          <w:rFonts w:ascii="MS PGothic" w:cs="MS PGothic" w:eastAsia="MS PGothic" w:hAnsi="MS PGothic"/>
          <w:sz w:val="14"/>
          <w:szCs w:val="14"/>
          <w:color w:val="C8102E"/>
        </w:rPr>
      </w:pPr>
    </w:p>
    <w:p>
      <w:pPr>
        <w:ind w:left="350" w:hanging="134"/>
        <w:spacing w:after="0" w:line="221" w:lineRule="auto"/>
        <w:tabs>
          <w:tab w:leader="none" w:pos="350" w:val="left"/>
        </w:tabs>
        <w:numPr>
          <w:ilvl w:val="1"/>
          <w:numId w:val="33"/>
        </w:numPr>
        <w:rPr>
          <w:rFonts w:ascii="MS PGothic" w:cs="MS PGothic" w:eastAsia="MS PGothic" w:hAnsi="MS PGothic"/>
          <w:sz w:val="14"/>
          <w:szCs w:val="14"/>
          <w:color w:val="C8102E"/>
        </w:rPr>
      </w:pPr>
      <w:r>
        <w:rPr>
          <w:rFonts w:ascii="Arial" w:cs="Arial" w:eastAsia="Arial" w:hAnsi="Arial"/>
          <w:sz w:val="14"/>
          <w:szCs w:val="14"/>
          <w:color w:val="auto"/>
        </w:rPr>
        <w:t>Senior Vice President, Human Resources (2005</w:t>
      </w:r>
    </w:p>
    <w:p>
      <w:pPr>
        <w:ind w:left="430"/>
        <w:spacing w:after="0" w:line="221" w:lineRule="auto"/>
        <w:rPr>
          <w:rFonts w:ascii="MS PGothic" w:cs="MS PGothic" w:eastAsia="MS PGothic" w:hAnsi="MS PGothic"/>
          <w:sz w:val="14"/>
          <w:szCs w:val="14"/>
          <w:color w:val="C8102E"/>
        </w:rPr>
      </w:pPr>
      <w:r>
        <w:rPr>
          <w:rFonts w:ascii="Arial" w:cs="Arial" w:eastAsia="Arial" w:hAnsi="Arial"/>
          <w:sz w:val="14"/>
          <w:szCs w:val="14"/>
          <w:color w:val="auto"/>
        </w:rPr>
        <w:t>– 2012)</w:t>
      </w:r>
    </w:p>
    <w:p>
      <w:pPr>
        <w:ind w:left="350" w:hanging="134"/>
        <w:spacing w:after="0"/>
        <w:tabs>
          <w:tab w:leader="none" w:pos="350" w:val="left"/>
        </w:tabs>
        <w:numPr>
          <w:ilvl w:val="1"/>
          <w:numId w:val="33"/>
        </w:numPr>
        <w:rPr>
          <w:rFonts w:ascii="MS PGothic" w:cs="MS PGothic" w:eastAsia="MS PGothic" w:hAnsi="MS PGothic"/>
          <w:sz w:val="14"/>
          <w:szCs w:val="14"/>
          <w:color w:val="C8102E"/>
        </w:rPr>
      </w:pPr>
      <w:r>
        <w:rPr>
          <w:rFonts w:ascii="Arial" w:cs="Arial" w:eastAsia="Arial" w:hAnsi="Arial"/>
          <w:sz w:val="14"/>
          <w:szCs w:val="14"/>
          <w:color w:val="auto"/>
        </w:rPr>
        <w:t>Served in a series of human resources leadership</w:t>
      </w:r>
    </w:p>
    <w:p>
      <w:pPr>
        <w:spacing w:after="0" w:line="1" w:lineRule="exact"/>
        <w:rPr>
          <w:sz w:val="20"/>
          <w:szCs w:val="20"/>
          <w:color w:val="auto"/>
        </w:rPr>
      </w:pPr>
    </w:p>
    <w:p>
      <w:pPr>
        <w:ind w:left="430" w:right="140"/>
        <w:spacing w:after="0" w:line="231" w:lineRule="auto"/>
        <w:rPr>
          <w:sz w:val="20"/>
          <w:szCs w:val="20"/>
          <w:color w:val="auto"/>
        </w:rPr>
      </w:pPr>
      <w:r>
        <w:rPr>
          <w:rFonts w:ascii="Arial" w:cs="Arial" w:eastAsia="Arial" w:hAnsi="Arial"/>
          <w:sz w:val="14"/>
          <w:szCs w:val="14"/>
          <w:color w:val="auto"/>
        </w:rPr>
        <w:t>roles of progressive responsibility from 1990 –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-2459355</wp:posOffset>
            </wp:positionH>
            <wp:positionV relativeFrom="paragraph">
              <wp:posOffset>700405</wp:posOffset>
            </wp:positionV>
            <wp:extent cx="69951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C8102E"/>
        </w:rPr>
        <w:t>Other Current Public Directorships</w:t>
      </w:r>
    </w:p>
    <w:p>
      <w:pPr>
        <w:spacing w:after="0" w:line="158" w:lineRule="exact"/>
        <w:rPr>
          <w:sz w:val="20"/>
          <w:szCs w:val="20"/>
          <w:color w:val="auto"/>
        </w:rPr>
      </w:pPr>
    </w:p>
    <w:p>
      <w:pPr>
        <w:ind w:left="130" w:hanging="130"/>
        <w:spacing w:after="0"/>
        <w:tabs>
          <w:tab w:leader="none" w:pos="130" w:val="left"/>
        </w:tabs>
        <w:numPr>
          <w:ilvl w:val="0"/>
          <w:numId w:val="34"/>
        </w:numPr>
        <w:rPr>
          <w:rFonts w:ascii="MS PGothic" w:cs="MS PGothic" w:eastAsia="MS PGothic" w:hAnsi="MS PGothic"/>
          <w:sz w:val="14"/>
          <w:szCs w:val="14"/>
          <w:color w:val="C8102E"/>
        </w:rPr>
      </w:pPr>
      <w:r>
        <w:rPr>
          <w:rFonts w:ascii="Arial" w:cs="Arial" w:eastAsia="Arial" w:hAnsi="Arial"/>
          <w:sz w:val="14"/>
          <w:szCs w:val="14"/>
          <w:color w:val="auto"/>
        </w:rPr>
        <w:t>None</w:t>
      </w:r>
    </w:p>
    <w:p>
      <w:pPr>
        <w:spacing w:after="0" w:line="172" w:lineRule="exact"/>
        <w:rPr>
          <w:sz w:val="20"/>
          <w:szCs w:val="20"/>
          <w:color w:val="auto"/>
        </w:rPr>
      </w:pPr>
    </w:p>
    <w:p>
      <w:pPr>
        <w:ind w:left="10" w:right="120"/>
        <w:spacing w:after="0" w:line="261" w:lineRule="auto"/>
        <w:rPr>
          <w:sz w:val="20"/>
          <w:szCs w:val="20"/>
          <w:color w:val="auto"/>
        </w:rPr>
      </w:pPr>
      <w:r>
        <w:rPr>
          <w:rFonts w:ascii="Arial" w:cs="Arial" w:eastAsia="Arial" w:hAnsi="Arial"/>
          <w:sz w:val="16"/>
          <w:szCs w:val="16"/>
          <w:b w:val="1"/>
          <w:bCs w:val="1"/>
          <w:color w:val="C8102E"/>
        </w:rPr>
        <w:t>Other Public Directorships in the Past Five Years</w:t>
      </w:r>
    </w:p>
    <w:p>
      <w:pPr>
        <w:spacing w:after="0" w:line="104" w:lineRule="exact"/>
        <w:rPr>
          <w:sz w:val="20"/>
          <w:szCs w:val="20"/>
          <w:color w:val="auto"/>
        </w:rPr>
      </w:pPr>
    </w:p>
    <w:p>
      <w:pPr>
        <w:ind w:left="130" w:hanging="130"/>
        <w:spacing w:after="0"/>
        <w:tabs>
          <w:tab w:leader="none" w:pos="130" w:val="left"/>
        </w:tabs>
        <w:numPr>
          <w:ilvl w:val="0"/>
          <w:numId w:val="35"/>
        </w:numPr>
        <w:rPr>
          <w:rFonts w:ascii="MS PGothic" w:cs="MS PGothic" w:eastAsia="MS PGothic" w:hAnsi="MS PGothic"/>
          <w:sz w:val="14"/>
          <w:szCs w:val="14"/>
          <w:color w:val="C8102E"/>
        </w:rPr>
      </w:pPr>
      <w:r>
        <w:rPr>
          <w:rFonts w:ascii="Arial" w:cs="Arial" w:eastAsia="Arial" w:hAnsi="Arial"/>
          <w:sz w:val="14"/>
          <w:szCs w:val="14"/>
          <w:color w:val="auto"/>
        </w:rPr>
        <w:t>None</w:t>
      </w:r>
    </w:p>
    <w:p>
      <w:pPr>
        <w:spacing w:after="0" w:line="172" w:lineRule="exact"/>
        <w:rPr>
          <w:sz w:val="20"/>
          <w:szCs w:val="20"/>
          <w:color w:val="auto"/>
        </w:rPr>
      </w:pPr>
    </w:p>
    <w:p>
      <w:pPr>
        <w:ind w:left="10" w:right="200"/>
        <w:spacing w:after="0" w:line="261" w:lineRule="auto"/>
        <w:rPr>
          <w:sz w:val="20"/>
          <w:szCs w:val="20"/>
          <w:color w:val="auto"/>
        </w:rPr>
      </w:pPr>
      <w:r>
        <w:rPr>
          <w:rFonts w:ascii="Arial" w:cs="Arial" w:eastAsia="Arial" w:hAnsi="Arial"/>
          <w:sz w:val="16"/>
          <w:szCs w:val="16"/>
          <w:b w:val="1"/>
          <w:bCs w:val="1"/>
          <w:color w:val="C8102E"/>
        </w:rPr>
        <w:t>Specific Qualifications, Experience, Skills and Expertise</w:t>
      </w:r>
    </w:p>
    <w:p>
      <w:pPr>
        <w:spacing w:after="0" w:line="118" w:lineRule="exact"/>
        <w:rPr>
          <w:sz w:val="20"/>
          <w:szCs w:val="20"/>
          <w:color w:val="auto"/>
        </w:rPr>
      </w:pPr>
    </w:p>
    <w:p>
      <w:pPr>
        <w:ind w:left="210" w:right="100" w:hanging="210"/>
        <w:spacing w:after="0" w:line="221" w:lineRule="auto"/>
        <w:tabs>
          <w:tab w:leader="none" w:pos="128" w:val="left"/>
        </w:tabs>
        <w:numPr>
          <w:ilvl w:val="0"/>
          <w:numId w:val="36"/>
        </w:numPr>
        <w:rPr>
          <w:rFonts w:ascii="MS PGothic" w:cs="MS PGothic" w:eastAsia="MS PGothic" w:hAnsi="MS PGothic"/>
          <w:sz w:val="14"/>
          <w:szCs w:val="14"/>
          <w:color w:val="C8102E"/>
        </w:rPr>
      </w:pPr>
      <w:r>
        <w:rPr>
          <w:rFonts w:ascii="Arial" w:cs="Arial" w:eastAsia="Arial" w:hAnsi="Arial"/>
          <w:sz w:val="14"/>
          <w:szCs w:val="14"/>
          <w:color w:val="auto"/>
        </w:rPr>
        <w:t>Extensive leadership development, talent strategy and human capital management experience, including experience leading employee engagement initiatives</w:t>
      </w:r>
    </w:p>
    <w:p>
      <w:pPr>
        <w:spacing w:after="0" w:line="1" w:lineRule="exact"/>
        <w:rPr>
          <w:rFonts w:ascii="MS PGothic" w:cs="MS PGothic" w:eastAsia="MS PGothic" w:hAnsi="MS PGothic"/>
          <w:sz w:val="14"/>
          <w:szCs w:val="14"/>
          <w:color w:val="C8102E"/>
        </w:rPr>
      </w:pPr>
    </w:p>
    <w:p>
      <w:pPr>
        <w:ind w:left="210" w:right="500" w:hanging="210"/>
        <w:spacing w:after="0" w:line="221" w:lineRule="auto"/>
        <w:tabs>
          <w:tab w:leader="none" w:pos="128" w:val="left"/>
        </w:tabs>
        <w:numPr>
          <w:ilvl w:val="0"/>
          <w:numId w:val="36"/>
        </w:numPr>
        <w:rPr>
          <w:rFonts w:ascii="MS PGothic" w:cs="MS PGothic" w:eastAsia="MS PGothic" w:hAnsi="MS PGothic"/>
          <w:sz w:val="14"/>
          <w:szCs w:val="14"/>
          <w:color w:val="C8102E"/>
        </w:rPr>
      </w:pPr>
      <w:r>
        <w:rPr>
          <w:rFonts w:ascii="Arial" w:cs="Arial" w:eastAsia="Arial" w:hAnsi="Arial"/>
          <w:sz w:val="14"/>
          <w:szCs w:val="14"/>
          <w:color w:val="auto"/>
        </w:rPr>
        <w:t>Senior leadership experience for two public companies with significant experience and portfolios of healthcare businesses</w:t>
      </w:r>
    </w:p>
    <w:p>
      <w:pPr>
        <w:ind w:left="130" w:hanging="130"/>
        <w:spacing w:after="0"/>
        <w:tabs>
          <w:tab w:leader="none" w:pos="130" w:val="left"/>
        </w:tabs>
        <w:numPr>
          <w:ilvl w:val="0"/>
          <w:numId w:val="36"/>
        </w:numPr>
        <w:rPr>
          <w:rFonts w:ascii="MS PGothic" w:cs="MS PGothic" w:eastAsia="MS PGothic" w:hAnsi="MS PGothic"/>
          <w:sz w:val="14"/>
          <w:szCs w:val="14"/>
          <w:color w:val="C8102E"/>
        </w:rPr>
      </w:pPr>
      <w:r>
        <w:rPr>
          <w:rFonts w:ascii="Arial" w:cs="Arial" w:eastAsia="Arial" w:hAnsi="Arial"/>
          <w:sz w:val="14"/>
          <w:szCs w:val="14"/>
          <w:color w:val="auto"/>
        </w:rPr>
        <w:t>Extensive international M&amp;A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1928495</wp:posOffset>
            </wp:positionH>
            <wp:positionV relativeFrom="paragraph">
              <wp:posOffset>254635</wp:posOffset>
            </wp:positionV>
            <wp:extent cx="17145" cy="3175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145" cy="317500"/>
                    </a:xfrm>
                    <a:prstGeom prst="rect">
                      <a:avLst/>
                    </a:prstGeom>
                    <a:noFill/>
                  </pic:spPr>
                </pic:pic>
              </a:graphicData>
            </a:graphic>
          </wp:anchor>
        </w:drawing>
      </w:r>
    </w:p>
    <w:p>
      <w:pPr>
        <w:spacing w:after="0" w:line="360" w:lineRule="exact"/>
        <w:rPr>
          <w:sz w:val="20"/>
          <w:szCs w:val="20"/>
          <w:color w:val="auto"/>
        </w:rPr>
      </w:pPr>
    </w:p>
    <w:p>
      <w:pPr>
        <w:sectPr>
          <w:pgSz w:w="11900" w:h="16838" w:orient="portrait"/>
          <w:cols w:equalWidth="0" w:num="3">
            <w:col w:w="3040" w:space="530"/>
            <w:col w:w="3510" w:space="230"/>
            <w:col w:w="3410"/>
          </w:cols>
          <w:pgMar w:left="740" w:top="740" w:right="439" w:bottom="1440" w:gutter="0" w:footer="0" w:header="0"/>
          <w:type w:val="continuous"/>
        </w:sectPr>
      </w:pPr>
    </w:p>
    <w:p>
      <w:pPr>
        <w:spacing w:after="0" w:line="41" w:lineRule="exact"/>
        <w:rPr>
          <w:sz w:val="20"/>
          <w:szCs w:val="20"/>
          <w:color w:val="auto"/>
        </w:rPr>
      </w:pPr>
    </w:p>
    <w:p>
      <w:pPr>
        <w:ind w:left="7220"/>
        <w:spacing w:after="0"/>
        <w:tabs>
          <w:tab w:leader="none" w:pos="10500" w:val="left"/>
        </w:tabs>
        <w:rPr>
          <w:sz w:val="20"/>
          <w:szCs w:val="20"/>
          <w:color w:val="auto"/>
        </w:rPr>
      </w:pPr>
      <w:r>
        <w:rPr>
          <w:sz w:val="1"/>
          <w:szCs w:val="1"/>
          <w:color w:val="auto"/>
        </w:rPr>
        <w:drawing>
          <wp:inline distT="0" distB="0" distL="0" distR="0">
            <wp:extent cx="685800" cy="16256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0" cy="162560"/>
                    </a:xfrm>
                    <a:prstGeom prst="rect">
                      <a:avLst/>
                    </a:prstGeom>
                    <a:noFill/>
                    <a:ln>
                      <a:noFill/>
                    </a:ln>
                  </pic:spPr>
                </pic:pic>
              </a:graphicData>
            </a:graphic>
          </wp:inline>
        </w:drawing>
      </w:r>
      <w:r>
        <w:rPr>
          <w:rFonts w:ascii="Arial" w:cs="Arial" w:eastAsia="Arial" w:hAnsi="Arial"/>
          <w:sz w:val="18"/>
          <w:szCs w:val="18"/>
          <w:color w:val="auto"/>
        </w:rPr>
        <w:t xml:space="preserve"> - 2026 Proxy Statement</w:t>
      </w:r>
      <w:r>
        <w:rPr>
          <w:sz w:val="20"/>
          <w:szCs w:val="20"/>
          <w:color w:val="auto"/>
        </w:rPr>
        <w:tab/>
      </w: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130175</wp:posOffset>
            </wp:positionV>
            <wp:extent cx="69951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20"/>
          </w:cols>
          <w:pgMar w:left="740" w:top="740" w:right="439" w:bottom="1440" w:gutter="0" w:footer="0" w:header="0"/>
          <w:type w:val="continuous"/>
        </w:sectPr>
      </w:pPr>
    </w:p>
    <w:bookmarkStart w:id="17" w:name="page18"/>
    <w:bookmarkEnd w:id="17"/>
    <w:p>
      <w:pPr>
        <w:ind w:left="820"/>
        <w:spacing w:after="0"/>
        <w:rPr>
          <w:sz w:val="20"/>
          <w:szCs w:val="20"/>
          <w:color w:val="auto"/>
        </w:rPr>
      </w:pPr>
      <w:r>
        <w:rPr>
          <w:rFonts w:ascii="Arial" w:cs="Arial" w:eastAsia="Arial" w:hAnsi="Arial"/>
          <w:sz w:val="28"/>
          <w:szCs w:val="28"/>
          <w:b w:val="1"/>
          <w:bCs w:val="1"/>
          <w:color w:val="C8102E"/>
        </w:rPr>
        <w:t>Philip A. Okala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125730</wp:posOffset>
            </wp:positionV>
            <wp:extent cx="1114425" cy="11144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14425"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C8102E"/>
        </w:rPr>
        <w:t>Director since 2021</w:t>
      </w:r>
    </w:p>
    <w:p>
      <w:pPr>
        <w:ind w:left="940"/>
        <w:spacing w:after="0"/>
        <w:rPr>
          <w:sz w:val="20"/>
          <w:szCs w:val="20"/>
          <w:color w:val="auto"/>
        </w:rPr>
      </w:pPr>
      <w:r>
        <w:rPr>
          <w:rFonts w:ascii="Arial" w:cs="Arial" w:eastAsia="Arial" w:hAnsi="Arial"/>
          <w:sz w:val="18"/>
          <w:szCs w:val="18"/>
          <w:b w:val="1"/>
          <w:bCs w:val="1"/>
          <w:color w:val="C8102E"/>
        </w:rPr>
        <w:t>Independent | Age 57</w:t>
      </w:r>
    </w:p>
    <w:p>
      <w:pPr>
        <w:spacing w:after="0" w:line="140"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C8102E"/>
        </w:rPr>
        <w:t>Committees: Audit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ind w:left="10" w:right="380"/>
        <w:spacing w:after="0" w:line="261" w:lineRule="auto"/>
        <w:rPr>
          <w:sz w:val="20"/>
          <w:szCs w:val="20"/>
          <w:color w:val="auto"/>
        </w:rPr>
      </w:pPr>
      <w:r>
        <w:rPr>
          <w:rFonts w:ascii="Arial" w:cs="Arial" w:eastAsia="Arial" w:hAnsi="Arial"/>
          <w:sz w:val="16"/>
          <w:szCs w:val="16"/>
          <w:b w:val="1"/>
          <w:bCs w:val="1"/>
          <w:color w:val="C8102E"/>
        </w:rPr>
        <w:t>Career Highlights and Recent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-2459355</wp:posOffset>
            </wp:positionH>
            <wp:positionV relativeFrom="paragraph">
              <wp:posOffset>-304800</wp:posOffset>
            </wp:positionV>
            <wp:extent cx="69951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4" w:lineRule="exact"/>
        <w:rPr>
          <w:sz w:val="20"/>
          <w:szCs w:val="20"/>
          <w:color w:val="auto"/>
        </w:rPr>
      </w:pPr>
    </w:p>
    <w:p>
      <w:pPr>
        <w:ind w:left="130" w:hanging="130"/>
        <w:spacing w:after="0"/>
        <w:tabs>
          <w:tab w:leader="none" w:pos="130" w:val="left"/>
        </w:tabs>
        <w:numPr>
          <w:ilvl w:val="0"/>
          <w:numId w:val="37"/>
        </w:numPr>
        <w:rPr>
          <w:rFonts w:ascii="MS PGothic" w:cs="MS PGothic" w:eastAsia="MS PGothic" w:hAnsi="MS PGothic"/>
          <w:sz w:val="14"/>
          <w:szCs w:val="14"/>
          <w:color w:val="C8102E"/>
        </w:rPr>
      </w:pPr>
      <w:r>
        <w:rPr>
          <w:rFonts w:ascii="Arial" w:cs="Arial" w:eastAsia="Arial" w:hAnsi="Arial"/>
          <w:sz w:val="14"/>
          <w:szCs w:val="14"/>
          <w:color w:val="auto"/>
        </w:rPr>
        <w:t>Tufts Medicine</w:t>
      </w:r>
    </w:p>
    <w:p>
      <w:pPr>
        <w:spacing w:after="0" w:line="15" w:lineRule="exact"/>
        <w:rPr>
          <w:rFonts w:ascii="MS PGothic" w:cs="MS PGothic" w:eastAsia="MS PGothic" w:hAnsi="MS PGothic"/>
          <w:sz w:val="14"/>
          <w:szCs w:val="14"/>
          <w:color w:val="C8102E"/>
        </w:rPr>
      </w:pPr>
    </w:p>
    <w:p>
      <w:pPr>
        <w:ind w:left="350" w:hanging="134"/>
        <w:spacing w:after="0"/>
        <w:tabs>
          <w:tab w:leader="none" w:pos="350" w:val="left"/>
        </w:tabs>
        <w:numPr>
          <w:ilvl w:val="1"/>
          <w:numId w:val="37"/>
        </w:numPr>
        <w:rPr>
          <w:rFonts w:ascii="MS PGothic" w:cs="MS PGothic" w:eastAsia="MS PGothic" w:hAnsi="MS PGothic"/>
          <w:sz w:val="14"/>
          <w:szCs w:val="14"/>
          <w:color w:val="C8102E"/>
        </w:rPr>
      </w:pPr>
      <w:r>
        <w:rPr>
          <w:rFonts w:ascii="Arial" w:cs="Arial" w:eastAsia="Arial" w:hAnsi="Arial"/>
          <w:sz w:val="14"/>
          <w:szCs w:val="14"/>
          <w:color w:val="auto"/>
        </w:rPr>
        <w:t>Chief Operating Officer (2023 – present)</w:t>
      </w:r>
    </w:p>
    <w:p>
      <w:pPr>
        <w:spacing w:after="0" w:line="162" w:lineRule="exact"/>
        <w:rPr>
          <w:rFonts w:ascii="MS PGothic" w:cs="MS PGothic" w:eastAsia="MS PGothic" w:hAnsi="MS PGothic"/>
          <w:sz w:val="14"/>
          <w:szCs w:val="14"/>
          <w:color w:val="C8102E"/>
        </w:rPr>
      </w:pPr>
    </w:p>
    <w:p>
      <w:pPr>
        <w:ind w:left="210" w:right="460" w:hanging="210"/>
        <w:spacing w:after="0" w:line="231" w:lineRule="auto"/>
        <w:tabs>
          <w:tab w:leader="none" w:pos="128" w:val="left"/>
        </w:tabs>
        <w:numPr>
          <w:ilvl w:val="0"/>
          <w:numId w:val="37"/>
        </w:numPr>
        <w:rPr>
          <w:rFonts w:ascii="MS PGothic" w:cs="MS PGothic" w:eastAsia="MS PGothic" w:hAnsi="MS PGothic"/>
          <w:sz w:val="14"/>
          <w:szCs w:val="14"/>
          <w:color w:val="C8102E"/>
        </w:rPr>
      </w:pPr>
      <w:r>
        <w:rPr>
          <w:rFonts w:ascii="Arial" w:cs="Arial" w:eastAsia="Arial" w:hAnsi="Arial"/>
          <w:sz w:val="14"/>
          <w:szCs w:val="14"/>
          <w:color w:val="auto"/>
        </w:rPr>
        <w:t>City of Hope (a leading cancer research and treatment organization)</w:t>
      </w:r>
    </w:p>
    <w:p>
      <w:pPr>
        <w:spacing w:after="0" w:line="1" w:lineRule="exact"/>
        <w:rPr>
          <w:rFonts w:ascii="MS PGothic" w:cs="MS PGothic" w:eastAsia="MS PGothic" w:hAnsi="MS PGothic"/>
          <w:sz w:val="14"/>
          <w:szCs w:val="14"/>
          <w:color w:val="C8102E"/>
        </w:rPr>
      </w:pPr>
    </w:p>
    <w:p>
      <w:pPr>
        <w:ind w:left="350" w:hanging="134"/>
        <w:spacing w:after="0"/>
        <w:tabs>
          <w:tab w:leader="none" w:pos="350" w:val="left"/>
        </w:tabs>
        <w:numPr>
          <w:ilvl w:val="1"/>
          <w:numId w:val="37"/>
        </w:numPr>
        <w:rPr>
          <w:rFonts w:ascii="MS PGothic" w:cs="MS PGothic" w:eastAsia="MS PGothic" w:hAnsi="MS PGothic"/>
          <w:sz w:val="14"/>
          <w:szCs w:val="14"/>
          <w:color w:val="C8102E"/>
        </w:rPr>
      </w:pPr>
      <w:r>
        <w:rPr>
          <w:rFonts w:ascii="Arial" w:cs="Arial" w:eastAsia="Arial" w:hAnsi="Arial"/>
          <w:sz w:val="14"/>
          <w:szCs w:val="14"/>
          <w:color w:val="auto"/>
        </w:rPr>
        <w:t>System President (2022 – 2023)</w:t>
      </w:r>
    </w:p>
    <w:p>
      <w:pPr>
        <w:spacing w:after="0" w:line="162" w:lineRule="exact"/>
        <w:rPr>
          <w:rFonts w:ascii="MS PGothic" w:cs="MS PGothic" w:eastAsia="MS PGothic" w:hAnsi="MS PGothic"/>
          <w:sz w:val="14"/>
          <w:szCs w:val="14"/>
          <w:color w:val="C8102E"/>
        </w:rPr>
      </w:pPr>
    </w:p>
    <w:p>
      <w:pPr>
        <w:ind w:left="130" w:hanging="130"/>
        <w:spacing w:after="0"/>
        <w:tabs>
          <w:tab w:leader="none" w:pos="130" w:val="left"/>
        </w:tabs>
        <w:numPr>
          <w:ilvl w:val="0"/>
          <w:numId w:val="37"/>
        </w:numPr>
        <w:rPr>
          <w:rFonts w:ascii="MS PGothic" w:cs="MS PGothic" w:eastAsia="MS PGothic" w:hAnsi="MS PGothic"/>
          <w:sz w:val="14"/>
          <w:szCs w:val="14"/>
          <w:color w:val="C8102E"/>
        </w:rPr>
      </w:pPr>
      <w:r>
        <w:rPr>
          <w:rFonts w:ascii="Arial" w:cs="Arial" w:eastAsia="Arial" w:hAnsi="Arial"/>
          <w:sz w:val="14"/>
          <w:szCs w:val="14"/>
          <w:color w:val="auto"/>
        </w:rPr>
        <w:t>University of Pennsylvania Health System</w:t>
      </w:r>
    </w:p>
    <w:p>
      <w:pPr>
        <w:spacing w:after="0" w:line="15" w:lineRule="exact"/>
        <w:rPr>
          <w:rFonts w:ascii="MS PGothic" w:cs="MS PGothic" w:eastAsia="MS PGothic" w:hAnsi="MS PGothic"/>
          <w:sz w:val="14"/>
          <w:szCs w:val="14"/>
          <w:color w:val="C8102E"/>
        </w:rPr>
      </w:pPr>
    </w:p>
    <w:p>
      <w:pPr>
        <w:ind w:left="350" w:hanging="134"/>
        <w:spacing w:after="0" w:line="221" w:lineRule="auto"/>
        <w:tabs>
          <w:tab w:leader="none" w:pos="350" w:val="left"/>
        </w:tabs>
        <w:numPr>
          <w:ilvl w:val="1"/>
          <w:numId w:val="37"/>
        </w:numPr>
        <w:rPr>
          <w:rFonts w:ascii="MS PGothic" w:cs="MS PGothic" w:eastAsia="MS PGothic" w:hAnsi="MS PGothic"/>
          <w:sz w:val="14"/>
          <w:szCs w:val="14"/>
          <w:color w:val="C8102E"/>
        </w:rPr>
      </w:pPr>
      <w:r>
        <w:rPr>
          <w:rFonts w:ascii="Arial" w:cs="Arial" w:eastAsia="Arial" w:hAnsi="Arial"/>
          <w:sz w:val="14"/>
          <w:szCs w:val="14"/>
          <w:color w:val="auto"/>
        </w:rPr>
        <w:t>Chief Operating Officer (2017 – 2022)</w:t>
      </w:r>
    </w:p>
    <w:p>
      <w:pPr>
        <w:ind w:left="350" w:hanging="134"/>
        <w:spacing w:after="0"/>
        <w:tabs>
          <w:tab w:leader="none" w:pos="350" w:val="left"/>
        </w:tabs>
        <w:numPr>
          <w:ilvl w:val="1"/>
          <w:numId w:val="37"/>
        </w:numPr>
        <w:rPr>
          <w:rFonts w:ascii="MS PGothic" w:cs="MS PGothic" w:eastAsia="MS PGothic" w:hAnsi="MS PGothic"/>
          <w:sz w:val="14"/>
          <w:szCs w:val="14"/>
          <w:color w:val="C8102E"/>
        </w:rPr>
      </w:pPr>
      <w:r>
        <w:rPr>
          <w:rFonts w:ascii="Arial" w:cs="Arial" w:eastAsia="Arial" w:hAnsi="Arial"/>
          <w:sz w:val="14"/>
          <w:szCs w:val="14"/>
          <w:color w:val="auto"/>
        </w:rPr>
        <w:t>Senior Vice President for Strategy and Business</w:t>
      </w:r>
    </w:p>
    <w:p>
      <w:pPr>
        <w:jc w:val="center"/>
        <w:ind w:right="750"/>
        <w:spacing w:after="0" w:line="217" w:lineRule="auto"/>
        <w:rPr>
          <w:sz w:val="20"/>
          <w:szCs w:val="20"/>
          <w:color w:val="auto"/>
        </w:rPr>
      </w:pPr>
      <w:r>
        <w:rPr>
          <w:rFonts w:ascii="Arial" w:cs="Arial" w:eastAsia="Arial" w:hAnsi="Arial"/>
          <w:sz w:val="14"/>
          <w:szCs w:val="14"/>
          <w:color w:val="auto"/>
        </w:rPr>
        <w:t>Development (2013 – 2017)</w:t>
      </w:r>
    </w:p>
    <w:p>
      <w:pPr>
        <w:spacing w:after="0" w:line="1" w:lineRule="exact"/>
        <w:rPr>
          <w:sz w:val="20"/>
          <w:szCs w:val="20"/>
          <w:color w:val="auto"/>
        </w:rPr>
      </w:pPr>
    </w:p>
    <w:p>
      <w:pPr>
        <w:ind w:left="210"/>
        <w:spacing w:after="0" w:line="161" w:lineRule="exact"/>
        <w:rPr>
          <w:sz w:val="20"/>
          <w:szCs w:val="20"/>
          <w:color w:val="auto"/>
        </w:rPr>
      </w:pPr>
      <w:r>
        <w:rPr>
          <w:rFonts w:ascii="MS PGothic" w:cs="MS PGothic" w:eastAsia="MS PGothic" w:hAnsi="MS PGothic"/>
          <w:sz w:val="14"/>
          <w:szCs w:val="14"/>
          <w:color w:val="C8102E"/>
        </w:rPr>
        <w:t>∎</w:t>
      </w:r>
      <w:r>
        <w:rPr>
          <w:rFonts w:ascii="Arial" w:cs="Arial" w:eastAsia="Arial" w:hAnsi="Arial"/>
          <w:sz w:val="14"/>
          <w:szCs w:val="14"/>
          <w:color w:val="auto"/>
        </w:rPr>
        <w:t xml:space="preserve"> Vice President for Service Lines (2007 – 2013)</w:t>
      </w:r>
    </w:p>
    <w:p>
      <w:pPr>
        <w:spacing w:after="0" w:line="165" w:lineRule="exact"/>
        <w:rPr>
          <w:sz w:val="20"/>
          <w:szCs w:val="20"/>
          <w:color w:val="auto"/>
        </w:rPr>
      </w:pPr>
    </w:p>
    <w:p>
      <w:pPr>
        <w:ind w:left="210" w:right="80" w:hanging="210"/>
        <w:spacing w:after="0" w:line="229" w:lineRule="auto"/>
        <w:tabs>
          <w:tab w:leader="none" w:pos="128" w:val="left"/>
        </w:tabs>
        <w:numPr>
          <w:ilvl w:val="0"/>
          <w:numId w:val="38"/>
        </w:numPr>
        <w:rPr>
          <w:rFonts w:ascii="MS PGothic" w:cs="MS PGothic" w:eastAsia="MS PGothic" w:hAnsi="MS PGothic"/>
          <w:sz w:val="14"/>
          <w:szCs w:val="14"/>
          <w:color w:val="C8102E"/>
        </w:rPr>
      </w:pPr>
      <w:r>
        <w:rPr>
          <w:rFonts w:ascii="Arial" w:cs="Arial" w:eastAsia="Arial" w:hAnsi="Arial"/>
          <w:sz w:val="14"/>
          <w:szCs w:val="14"/>
          <w:color w:val="auto"/>
        </w:rPr>
        <w:t>Previously held management and leadership positions with other healthcare organizations, including Geisinger Health System, Roswell Park Cancer Institute and the University of Texas MD Anderson Cancer Center</w:t>
      </w:r>
    </w:p>
    <w:p>
      <w:pPr>
        <w:spacing w:after="0" w:line="136" w:lineRule="exact"/>
        <w:rPr>
          <w:rFonts w:ascii="MS PGothic" w:cs="MS PGothic" w:eastAsia="MS PGothic" w:hAnsi="MS PGothic"/>
          <w:sz w:val="14"/>
          <w:szCs w:val="14"/>
          <w:color w:val="C8102E"/>
        </w:rPr>
      </w:pPr>
    </w:p>
    <w:p>
      <w:pPr>
        <w:ind w:left="210" w:right="400" w:hanging="210"/>
        <w:spacing w:after="0" w:line="243" w:lineRule="auto"/>
        <w:tabs>
          <w:tab w:leader="none" w:pos="128" w:val="left"/>
        </w:tabs>
        <w:numPr>
          <w:ilvl w:val="0"/>
          <w:numId w:val="38"/>
        </w:numPr>
        <w:rPr>
          <w:rFonts w:ascii="MS PGothic" w:cs="MS PGothic" w:eastAsia="MS PGothic" w:hAnsi="MS PGothic"/>
          <w:sz w:val="14"/>
          <w:szCs w:val="14"/>
          <w:color w:val="C8102E"/>
        </w:rPr>
      </w:pPr>
      <w:r>
        <w:rPr>
          <w:rFonts w:ascii="Arial" w:cs="Arial" w:eastAsia="Arial" w:hAnsi="Arial"/>
          <w:sz w:val="14"/>
          <w:szCs w:val="14"/>
          <w:color w:val="auto"/>
        </w:rPr>
        <w:t>Fellow in the American College of Healthcare Executives and The Healthcare Financial Management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-2459355</wp:posOffset>
            </wp:positionH>
            <wp:positionV relativeFrom="paragraph">
              <wp:posOffset>-3810</wp:posOffset>
            </wp:positionV>
            <wp:extent cx="6995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C8102E"/>
        </w:rPr>
        <w:t>Other Current Public Directorships</w:t>
      </w:r>
    </w:p>
    <w:p>
      <w:pPr>
        <w:spacing w:after="0" w:line="158" w:lineRule="exact"/>
        <w:rPr>
          <w:sz w:val="20"/>
          <w:szCs w:val="20"/>
          <w:color w:val="auto"/>
        </w:rPr>
      </w:pPr>
    </w:p>
    <w:p>
      <w:pPr>
        <w:ind w:left="130" w:hanging="130"/>
        <w:spacing w:after="0"/>
        <w:tabs>
          <w:tab w:leader="none" w:pos="130" w:val="left"/>
        </w:tabs>
        <w:numPr>
          <w:ilvl w:val="0"/>
          <w:numId w:val="39"/>
        </w:numPr>
        <w:rPr>
          <w:rFonts w:ascii="MS PGothic" w:cs="MS PGothic" w:eastAsia="MS PGothic" w:hAnsi="MS PGothic"/>
          <w:sz w:val="14"/>
          <w:szCs w:val="14"/>
          <w:color w:val="C8102E"/>
        </w:rPr>
      </w:pPr>
      <w:r>
        <w:rPr>
          <w:rFonts w:ascii="Arial" w:cs="Arial" w:eastAsia="Arial" w:hAnsi="Arial"/>
          <w:sz w:val="14"/>
          <w:szCs w:val="14"/>
          <w:color w:val="auto"/>
        </w:rPr>
        <w:t>None</w:t>
      </w:r>
    </w:p>
    <w:p>
      <w:pPr>
        <w:spacing w:after="0" w:line="172" w:lineRule="exact"/>
        <w:rPr>
          <w:sz w:val="20"/>
          <w:szCs w:val="20"/>
          <w:color w:val="auto"/>
        </w:rPr>
      </w:pPr>
    </w:p>
    <w:p>
      <w:pPr>
        <w:ind w:left="10" w:right="60"/>
        <w:spacing w:after="0" w:line="261" w:lineRule="auto"/>
        <w:rPr>
          <w:sz w:val="20"/>
          <w:szCs w:val="20"/>
          <w:color w:val="auto"/>
        </w:rPr>
      </w:pPr>
      <w:r>
        <w:rPr>
          <w:rFonts w:ascii="Arial" w:cs="Arial" w:eastAsia="Arial" w:hAnsi="Arial"/>
          <w:sz w:val="16"/>
          <w:szCs w:val="16"/>
          <w:b w:val="1"/>
          <w:bCs w:val="1"/>
          <w:color w:val="C8102E"/>
        </w:rPr>
        <w:t>Other Public Directorships in the Past Five Years</w:t>
      </w:r>
    </w:p>
    <w:p>
      <w:pPr>
        <w:spacing w:after="0" w:line="104" w:lineRule="exact"/>
        <w:rPr>
          <w:sz w:val="20"/>
          <w:szCs w:val="20"/>
          <w:color w:val="auto"/>
        </w:rPr>
      </w:pPr>
    </w:p>
    <w:p>
      <w:pPr>
        <w:ind w:left="130" w:hanging="130"/>
        <w:spacing w:after="0"/>
        <w:tabs>
          <w:tab w:leader="none" w:pos="130" w:val="left"/>
        </w:tabs>
        <w:numPr>
          <w:ilvl w:val="0"/>
          <w:numId w:val="40"/>
        </w:numPr>
        <w:rPr>
          <w:rFonts w:ascii="MS PGothic" w:cs="MS PGothic" w:eastAsia="MS PGothic" w:hAnsi="MS PGothic"/>
          <w:sz w:val="14"/>
          <w:szCs w:val="14"/>
          <w:color w:val="C8102E"/>
        </w:rPr>
      </w:pPr>
      <w:r>
        <w:rPr>
          <w:rFonts w:ascii="Arial" w:cs="Arial" w:eastAsia="Arial" w:hAnsi="Arial"/>
          <w:sz w:val="14"/>
          <w:szCs w:val="14"/>
          <w:color w:val="auto"/>
        </w:rPr>
        <w:t>None</w:t>
      </w:r>
    </w:p>
    <w:p>
      <w:pPr>
        <w:spacing w:after="0" w:line="172" w:lineRule="exact"/>
        <w:rPr>
          <w:sz w:val="20"/>
          <w:szCs w:val="20"/>
          <w:color w:val="auto"/>
        </w:rPr>
      </w:pPr>
    </w:p>
    <w:p>
      <w:pPr>
        <w:ind w:left="10" w:right="140"/>
        <w:spacing w:after="0" w:line="261" w:lineRule="auto"/>
        <w:rPr>
          <w:sz w:val="20"/>
          <w:szCs w:val="20"/>
          <w:color w:val="auto"/>
        </w:rPr>
      </w:pPr>
      <w:r>
        <w:rPr>
          <w:rFonts w:ascii="Arial" w:cs="Arial" w:eastAsia="Arial" w:hAnsi="Arial"/>
          <w:sz w:val="16"/>
          <w:szCs w:val="16"/>
          <w:b w:val="1"/>
          <w:bCs w:val="1"/>
          <w:color w:val="C8102E"/>
        </w:rPr>
        <w:t>Specific Qualifications, Experience, Skills and Expertise</w:t>
      </w:r>
    </w:p>
    <w:p>
      <w:pPr>
        <w:spacing w:after="0" w:line="118" w:lineRule="exact"/>
        <w:rPr>
          <w:sz w:val="20"/>
          <w:szCs w:val="20"/>
          <w:color w:val="auto"/>
        </w:rPr>
      </w:pPr>
    </w:p>
    <w:p>
      <w:pPr>
        <w:ind w:left="210" w:right="200" w:hanging="210"/>
        <w:spacing w:after="0" w:line="221" w:lineRule="auto"/>
        <w:tabs>
          <w:tab w:leader="none" w:pos="128" w:val="left"/>
        </w:tabs>
        <w:numPr>
          <w:ilvl w:val="0"/>
          <w:numId w:val="41"/>
        </w:numPr>
        <w:rPr>
          <w:rFonts w:ascii="MS PGothic" w:cs="MS PGothic" w:eastAsia="MS PGothic" w:hAnsi="MS PGothic"/>
          <w:sz w:val="14"/>
          <w:szCs w:val="14"/>
          <w:color w:val="C8102E"/>
        </w:rPr>
      </w:pPr>
      <w:r>
        <w:rPr>
          <w:rFonts w:ascii="Arial" w:cs="Arial" w:eastAsia="Arial" w:hAnsi="Arial"/>
          <w:sz w:val="14"/>
          <w:szCs w:val="14"/>
          <w:color w:val="auto"/>
        </w:rPr>
        <w:t>Extensive healthcare industry experience, including as a hospital executive leading successful mergers, acquisitions and strategic alliances</w:t>
      </w:r>
    </w:p>
    <w:p>
      <w:pPr>
        <w:spacing w:after="0" w:line="1" w:lineRule="exact"/>
        <w:rPr>
          <w:rFonts w:ascii="MS PGothic" w:cs="MS PGothic" w:eastAsia="MS PGothic" w:hAnsi="MS PGothic"/>
          <w:sz w:val="14"/>
          <w:szCs w:val="14"/>
          <w:color w:val="C8102E"/>
        </w:rPr>
      </w:pPr>
    </w:p>
    <w:p>
      <w:pPr>
        <w:ind w:left="210" w:right="560" w:hanging="210"/>
        <w:spacing w:after="0" w:line="231" w:lineRule="auto"/>
        <w:tabs>
          <w:tab w:leader="none" w:pos="128" w:val="left"/>
        </w:tabs>
        <w:numPr>
          <w:ilvl w:val="0"/>
          <w:numId w:val="41"/>
        </w:numPr>
        <w:rPr>
          <w:rFonts w:ascii="MS PGothic" w:cs="MS PGothic" w:eastAsia="MS PGothic" w:hAnsi="MS PGothic"/>
          <w:sz w:val="14"/>
          <w:szCs w:val="14"/>
          <w:color w:val="C8102E"/>
        </w:rPr>
      </w:pPr>
      <w:r>
        <w:rPr>
          <w:rFonts w:ascii="Arial" w:cs="Arial" w:eastAsia="Arial" w:hAnsi="Arial"/>
          <w:sz w:val="14"/>
          <w:szCs w:val="14"/>
          <w:color w:val="auto"/>
        </w:rPr>
        <w:t>Significant financial and risk management experience in the healthcare industry</w:t>
      </w:r>
    </w:p>
    <w:p>
      <w:pPr>
        <w:jc w:val="center"/>
        <w:ind w:left="210" w:hanging="210"/>
        <w:spacing w:after="0" w:line="244" w:lineRule="auto"/>
        <w:tabs>
          <w:tab w:leader="none" w:pos="128" w:val="left"/>
        </w:tabs>
        <w:numPr>
          <w:ilvl w:val="0"/>
          <w:numId w:val="41"/>
        </w:numPr>
        <w:rPr>
          <w:rFonts w:ascii="MS PGothic" w:cs="MS PGothic" w:eastAsia="MS PGothic" w:hAnsi="MS PGothic"/>
          <w:sz w:val="14"/>
          <w:szCs w:val="14"/>
          <w:color w:val="C8102E"/>
        </w:rPr>
      </w:pPr>
      <w:r>
        <w:rPr>
          <w:rFonts w:ascii="Arial" w:cs="Arial" w:eastAsia="Arial" w:hAnsi="Arial"/>
          <w:sz w:val="14"/>
          <w:szCs w:val="14"/>
          <w:color w:val="auto"/>
        </w:rPr>
        <w:t>Knowledge and expertise with respect to emerging healthcare technology trends and developments</w:t>
      </w:r>
    </w:p>
    <w:p>
      <w:pPr>
        <w:spacing w:after="0" w:line="741" w:lineRule="exact"/>
        <w:rPr>
          <w:sz w:val="20"/>
          <w:szCs w:val="20"/>
          <w:color w:val="auto"/>
        </w:rPr>
      </w:pPr>
    </w:p>
    <w:p>
      <w:pPr>
        <w:sectPr>
          <w:pgSz w:w="11900" w:h="16838" w:orient="portrait"/>
          <w:cols w:equalWidth="0" w:num="3">
            <w:col w:w="3150" w:space="720"/>
            <w:col w:w="3410" w:space="330"/>
            <w:col w:w="3350"/>
          </w:cols>
          <w:pgMar w:left="440" w:top="767" w:right="499" w:bottom="1440" w:gutter="0" w:footer="0" w:header="0"/>
        </w:sectPr>
      </w:pPr>
    </w:p>
    <w:p>
      <w:pPr>
        <w:ind w:left="600"/>
        <w:spacing w:after="0"/>
        <w:rPr>
          <w:sz w:val="20"/>
          <w:szCs w:val="20"/>
          <w:color w:val="auto"/>
        </w:rPr>
      </w:pPr>
      <w:r>
        <w:rPr>
          <w:rFonts w:ascii="Arial" w:cs="Arial" w:eastAsia="Arial" w:hAnsi="Arial"/>
          <w:sz w:val="28"/>
          <w:szCs w:val="28"/>
          <w:b w:val="1"/>
          <w:bCs w:val="1"/>
          <w:color w:val="C8102E"/>
        </w:rPr>
        <w:t>Dr. Christine Ortiz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125730</wp:posOffset>
            </wp:positionV>
            <wp:extent cx="1114425" cy="11144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14425"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C8102E"/>
        </w:rPr>
        <w:t>Director since 2022</w:t>
      </w:r>
    </w:p>
    <w:p>
      <w:pPr>
        <w:ind w:left="940"/>
        <w:spacing w:after="0"/>
        <w:rPr>
          <w:sz w:val="20"/>
          <w:szCs w:val="20"/>
          <w:color w:val="auto"/>
        </w:rPr>
      </w:pPr>
      <w:r>
        <w:rPr>
          <w:rFonts w:ascii="Arial" w:cs="Arial" w:eastAsia="Arial" w:hAnsi="Arial"/>
          <w:sz w:val="18"/>
          <w:szCs w:val="18"/>
          <w:b w:val="1"/>
          <w:bCs w:val="1"/>
          <w:color w:val="C8102E"/>
        </w:rPr>
        <w:t>Independent | Age 55</w:t>
      </w:r>
    </w:p>
    <w:p>
      <w:pPr>
        <w:spacing w:after="0" w:line="138" w:lineRule="exact"/>
        <w:rPr>
          <w:sz w:val="20"/>
          <w:szCs w:val="20"/>
          <w:color w:val="auto"/>
        </w:rPr>
      </w:pPr>
    </w:p>
    <w:p>
      <w:pPr>
        <w:jc w:val="center"/>
        <w:ind w:left="470"/>
        <w:spacing w:after="0"/>
        <w:rPr>
          <w:sz w:val="20"/>
          <w:szCs w:val="20"/>
          <w:color w:val="auto"/>
        </w:rPr>
      </w:pPr>
      <w:r>
        <w:rPr>
          <w:rFonts w:ascii="Arial" w:cs="Arial" w:eastAsia="Arial" w:hAnsi="Arial"/>
          <w:sz w:val="17"/>
          <w:szCs w:val="17"/>
          <w:b w:val="1"/>
          <w:bCs w:val="1"/>
          <w:color w:val="C8102E"/>
        </w:rPr>
        <w:t>Committees: Nominating and</w:t>
      </w:r>
    </w:p>
    <w:p>
      <w:pPr>
        <w:jc w:val="center"/>
        <w:ind w:left="470"/>
        <w:spacing w:after="0"/>
        <w:rPr>
          <w:sz w:val="20"/>
          <w:szCs w:val="20"/>
          <w:color w:val="auto"/>
        </w:rPr>
      </w:pPr>
      <w:r>
        <w:rPr>
          <w:rFonts w:ascii="Arial" w:cs="Arial" w:eastAsia="Arial" w:hAnsi="Arial"/>
          <w:sz w:val="18"/>
          <w:szCs w:val="18"/>
          <w:b w:val="1"/>
          <w:bCs w:val="1"/>
          <w:color w:val="C8102E"/>
        </w:rPr>
        <w:t>Corporate Governance</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ind w:left="10" w:right="460"/>
        <w:spacing w:after="0" w:line="261" w:lineRule="auto"/>
        <w:rPr>
          <w:sz w:val="20"/>
          <w:szCs w:val="20"/>
          <w:color w:val="auto"/>
        </w:rPr>
      </w:pPr>
      <w:r>
        <w:rPr>
          <w:rFonts w:ascii="Arial" w:cs="Arial" w:eastAsia="Arial" w:hAnsi="Arial"/>
          <w:sz w:val="16"/>
          <w:szCs w:val="16"/>
          <w:b w:val="1"/>
          <w:bCs w:val="1"/>
          <w:color w:val="C8102E"/>
        </w:rPr>
        <w:t>Career Highlights and Recent Business Experience</w:t>
      </w:r>
    </w:p>
    <w:p>
      <w:pPr>
        <w:spacing w:after="0" w:line="104" w:lineRule="exact"/>
        <w:rPr>
          <w:sz w:val="20"/>
          <w:szCs w:val="20"/>
          <w:color w:val="auto"/>
        </w:rPr>
      </w:pPr>
    </w:p>
    <w:p>
      <w:pPr>
        <w:ind w:left="130" w:hanging="130"/>
        <w:spacing w:after="0"/>
        <w:tabs>
          <w:tab w:leader="none" w:pos="130" w:val="left"/>
        </w:tabs>
        <w:numPr>
          <w:ilvl w:val="0"/>
          <w:numId w:val="42"/>
        </w:numPr>
        <w:rPr>
          <w:rFonts w:ascii="MS PGothic" w:cs="MS PGothic" w:eastAsia="MS PGothic" w:hAnsi="MS PGothic"/>
          <w:sz w:val="14"/>
          <w:szCs w:val="14"/>
          <w:color w:val="C8102E"/>
        </w:rPr>
      </w:pPr>
      <w:r>
        <w:rPr>
          <w:rFonts w:ascii="Arial" w:cs="Arial" w:eastAsia="Arial" w:hAnsi="Arial"/>
          <w:sz w:val="14"/>
          <w:szCs w:val="14"/>
          <w:color w:val="auto"/>
        </w:rPr>
        <w:t>Massachusetts Institute of Technology</w:t>
      </w:r>
    </w:p>
    <w:p>
      <w:pPr>
        <w:spacing w:after="0" w:line="15" w:lineRule="exact"/>
        <w:rPr>
          <w:rFonts w:ascii="MS PGothic" w:cs="MS PGothic" w:eastAsia="MS PGothic" w:hAnsi="MS PGothic"/>
          <w:sz w:val="14"/>
          <w:szCs w:val="14"/>
          <w:color w:val="C8102E"/>
        </w:rPr>
      </w:pPr>
    </w:p>
    <w:p>
      <w:pPr>
        <w:ind w:left="430" w:right="100" w:hanging="214"/>
        <w:spacing w:after="0" w:line="221" w:lineRule="auto"/>
        <w:tabs>
          <w:tab w:leader="none" w:pos="348" w:val="left"/>
        </w:tabs>
        <w:numPr>
          <w:ilvl w:val="1"/>
          <w:numId w:val="42"/>
        </w:numPr>
        <w:rPr>
          <w:rFonts w:ascii="MS PGothic" w:cs="MS PGothic" w:eastAsia="MS PGothic" w:hAnsi="MS PGothic"/>
          <w:sz w:val="14"/>
          <w:szCs w:val="14"/>
          <w:color w:val="C8102E"/>
        </w:rPr>
      </w:pPr>
      <w:r>
        <w:rPr>
          <w:rFonts w:ascii="Arial" w:cs="Arial" w:eastAsia="Arial" w:hAnsi="Arial"/>
          <w:sz w:val="14"/>
          <w:szCs w:val="14"/>
          <w:color w:val="auto"/>
        </w:rPr>
        <w:t>Professor of Materials Science and Engineering (1999 – present)</w:t>
      </w:r>
    </w:p>
    <w:p>
      <w:pPr>
        <w:ind w:left="430" w:hanging="214"/>
        <w:spacing w:after="0" w:line="224" w:lineRule="auto"/>
        <w:tabs>
          <w:tab w:leader="none" w:pos="348" w:val="left"/>
        </w:tabs>
        <w:numPr>
          <w:ilvl w:val="1"/>
          <w:numId w:val="42"/>
        </w:numPr>
        <w:rPr>
          <w:rFonts w:ascii="MS PGothic" w:cs="MS PGothic" w:eastAsia="MS PGothic" w:hAnsi="MS PGothic"/>
          <w:sz w:val="14"/>
          <w:szCs w:val="14"/>
          <w:color w:val="C8102E"/>
        </w:rPr>
      </w:pPr>
      <w:r>
        <w:rPr>
          <w:rFonts w:ascii="Arial" w:cs="Arial" w:eastAsia="Arial" w:hAnsi="Arial"/>
          <w:sz w:val="14"/>
          <w:szCs w:val="14"/>
          <w:color w:val="auto"/>
        </w:rPr>
        <w:t>Author of more than 210 research publications, supervisor of the research projects of more than 300 individuals, and recipient of 30 national and international honors, including the Presidential Early Career Award in Science and Engineering awarded by President George W. Bush</w:t>
      </w:r>
    </w:p>
    <w:p>
      <w:pPr>
        <w:spacing w:after="0" w:line="137" w:lineRule="exact"/>
        <w:rPr>
          <w:rFonts w:ascii="MS PGothic" w:cs="MS PGothic" w:eastAsia="MS PGothic" w:hAnsi="MS PGothic"/>
          <w:sz w:val="14"/>
          <w:szCs w:val="14"/>
          <w:color w:val="C8102E"/>
        </w:rPr>
      </w:pPr>
    </w:p>
    <w:p>
      <w:pPr>
        <w:ind w:left="210" w:right="160" w:hanging="210"/>
        <w:spacing w:after="0" w:line="236" w:lineRule="auto"/>
        <w:tabs>
          <w:tab w:leader="none" w:pos="128" w:val="left"/>
        </w:tabs>
        <w:numPr>
          <w:ilvl w:val="0"/>
          <w:numId w:val="42"/>
        </w:numPr>
        <w:rPr>
          <w:rFonts w:ascii="MS PGothic" w:cs="MS PGothic" w:eastAsia="MS PGothic" w:hAnsi="MS PGothic"/>
          <w:sz w:val="14"/>
          <w:szCs w:val="14"/>
          <w:color w:val="C8102E"/>
        </w:rPr>
      </w:pPr>
      <w:r>
        <w:rPr>
          <w:rFonts w:ascii="Arial" w:cs="Arial" w:eastAsia="Arial" w:hAnsi="Arial"/>
          <w:sz w:val="14"/>
          <w:szCs w:val="14"/>
          <w:color w:val="auto"/>
        </w:rPr>
        <w:t>Founder, president and chair of the board of directors of Station 1 Laboratory, Inc., an innovative, non-profit, research and development higher educational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-2459355</wp:posOffset>
            </wp:positionH>
            <wp:positionV relativeFrom="paragraph">
              <wp:posOffset>752475</wp:posOffset>
            </wp:positionV>
            <wp:extent cx="699516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C8102E"/>
        </w:rPr>
        <w:t>Other Current Public Directorships</w:t>
      </w:r>
    </w:p>
    <w:p>
      <w:pPr>
        <w:spacing w:after="0" w:line="158" w:lineRule="exact"/>
        <w:rPr>
          <w:sz w:val="20"/>
          <w:szCs w:val="20"/>
          <w:color w:val="auto"/>
        </w:rPr>
      </w:pPr>
    </w:p>
    <w:p>
      <w:pPr>
        <w:ind w:left="130" w:hanging="130"/>
        <w:spacing w:after="0"/>
        <w:tabs>
          <w:tab w:leader="none" w:pos="130" w:val="left"/>
        </w:tabs>
        <w:numPr>
          <w:ilvl w:val="0"/>
          <w:numId w:val="43"/>
        </w:numPr>
        <w:rPr>
          <w:rFonts w:ascii="MS PGothic" w:cs="MS PGothic" w:eastAsia="MS PGothic" w:hAnsi="MS PGothic"/>
          <w:sz w:val="14"/>
          <w:szCs w:val="14"/>
          <w:color w:val="C8102E"/>
        </w:rPr>
      </w:pPr>
      <w:r>
        <w:rPr>
          <w:rFonts w:ascii="Arial" w:cs="Arial" w:eastAsia="Arial" w:hAnsi="Arial"/>
          <w:sz w:val="14"/>
          <w:szCs w:val="14"/>
          <w:color w:val="auto"/>
        </w:rPr>
        <w:t>Mueller Water Products</w:t>
      </w:r>
    </w:p>
    <w:p>
      <w:pPr>
        <w:spacing w:after="0" w:line="172" w:lineRule="exact"/>
        <w:rPr>
          <w:sz w:val="20"/>
          <w:szCs w:val="20"/>
          <w:color w:val="auto"/>
        </w:rPr>
      </w:pPr>
    </w:p>
    <w:p>
      <w:pPr>
        <w:ind w:left="10" w:right="60"/>
        <w:spacing w:after="0" w:line="261" w:lineRule="auto"/>
        <w:rPr>
          <w:sz w:val="20"/>
          <w:szCs w:val="20"/>
          <w:color w:val="auto"/>
        </w:rPr>
      </w:pPr>
      <w:r>
        <w:rPr>
          <w:rFonts w:ascii="Arial" w:cs="Arial" w:eastAsia="Arial" w:hAnsi="Arial"/>
          <w:sz w:val="16"/>
          <w:szCs w:val="16"/>
          <w:b w:val="1"/>
          <w:bCs w:val="1"/>
          <w:color w:val="C8102E"/>
        </w:rPr>
        <w:t>Other Public Directorships in the Past Five Years</w:t>
      </w:r>
    </w:p>
    <w:p>
      <w:pPr>
        <w:spacing w:after="0" w:line="104" w:lineRule="exact"/>
        <w:rPr>
          <w:sz w:val="20"/>
          <w:szCs w:val="20"/>
          <w:color w:val="auto"/>
        </w:rPr>
      </w:pPr>
    </w:p>
    <w:p>
      <w:pPr>
        <w:ind w:left="130" w:hanging="130"/>
        <w:spacing w:after="0"/>
        <w:tabs>
          <w:tab w:leader="none" w:pos="130" w:val="left"/>
        </w:tabs>
        <w:numPr>
          <w:ilvl w:val="0"/>
          <w:numId w:val="44"/>
        </w:numPr>
        <w:rPr>
          <w:rFonts w:ascii="MS PGothic" w:cs="MS PGothic" w:eastAsia="MS PGothic" w:hAnsi="MS PGothic"/>
          <w:sz w:val="14"/>
          <w:szCs w:val="14"/>
          <w:color w:val="C8102E"/>
        </w:rPr>
      </w:pPr>
      <w:r>
        <w:rPr>
          <w:rFonts w:ascii="Arial" w:cs="Arial" w:eastAsia="Arial" w:hAnsi="Arial"/>
          <w:sz w:val="14"/>
          <w:szCs w:val="14"/>
          <w:color w:val="auto"/>
        </w:rPr>
        <w:t>None</w:t>
      </w:r>
    </w:p>
    <w:p>
      <w:pPr>
        <w:spacing w:after="0" w:line="172" w:lineRule="exact"/>
        <w:rPr>
          <w:sz w:val="20"/>
          <w:szCs w:val="20"/>
          <w:color w:val="auto"/>
        </w:rPr>
      </w:pPr>
    </w:p>
    <w:p>
      <w:pPr>
        <w:ind w:left="10" w:right="140"/>
        <w:spacing w:after="0" w:line="261" w:lineRule="auto"/>
        <w:rPr>
          <w:sz w:val="20"/>
          <w:szCs w:val="20"/>
          <w:color w:val="auto"/>
        </w:rPr>
      </w:pPr>
      <w:r>
        <w:rPr>
          <w:rFonts w:ascii="Arial" w:cs="Arial" w:eastAsia="Arial" w:hAnsi="Arial"/>
          <w:sz w:val="16"/>
          <w:szCs w:val="16"/>
          <w:b w:val="1"/>
          <w:bCs w:val="1"/>
          <w:color w:val="C8102E"/>
        </w:rPr>
        <w:t>Specific Qualifications, Experience, Skills and Expertise</w:t>
      </w:r>
    </w:p>
    <w:p>
      <w:pPr>
        <w:spacing w:after="0" w:line="118" w:lineRule="exact"/>
        <w:rPr>
          <w:sz w:val="20"/>
          <w:szCs w:val="20"/>
          <w:color w:val="auto"/>
        </w:rPr>
      </w:pPr>
    </w:p>
    <w:p>
      <w:pPr>
        <w:ind w:left="210" w:right="60" w:hanging="210"/>
        <w:spacing w:after="0" w:line="221" w:lineRule="auto"/>
        <w:tabs>
          <w:tab w:leader="none" w:pos="128" w:val="left"/>
        </w:tabs>
        <w:numPr>
          <w:ilvl w:val="0"/>
          <w:numId w:val="45"/>
        </w:numPr>
        <w:rPr>
          <w:rFonts w:ascii="MS PGothic" w:cs="MS PGothic" w:eastAsia="MS PGothic" w:hAnsi="MS PGothic"/>
          <w:sz w:val="14"/>
          <w:szCs w:val="14"/>
          <w:color w:val="C8102E"/>
        </w:rPr>
      </w:pPr>
      <w:r>
        <w:rPr>
          <w:rFonts w:ascii="Arial" w:cs="Arial" w:eastAsia="Arial" w:hAnsi="Arial"/>
          <w:sz w:val="14"/>
          <w:szCs w:val="14"/>
          <w:color w:val="auto"/>
        </w:rPr>
        <w:t>Deep knowledge of cutting-edge developments in biotechnology and biomaterials, computational and engineering design, and advanced manufacturing</w:t>
      </w:r>
    </w:p>
    <w:p>
      <w:pPr>
        <w:spacing w:after="0" w:line="1" w:lineRule="exact"/>
        <w:rPr>
          <w:rFonts w:ascii="MS PGothic" w:cs="MS PGothic" w:eastAsia="MS PGothic" w:hAnsi="MS PGothic"/>
          <w:sz w:val="14"/>
          <w:szCs w:val="14"/>
          <w:color w:val="C8102E"/>
        </w:rPr>
      </w:pPr>
    </w:p>
    <w:p>
      <w:pPr>
        <w:jc w:val="both"/>
        <w:ind w:left="210" w:right="220" w:hanging="210"/>
        <w:spacing w:after="0" w:line="221" w:lineRule="auto"/>
        <w:tabs>
          <w:tab w:leader="none" w:pos="128" w:val="left"/>
        </w:tabs>
        <w:numPr>
          <w:ilvl w:val="0"/>
          <w:numId w:val="45"/>
        </w:numPr>
        <w:rPr>
          <w:rFonts w:ascii="MS PGothic" w:cs="MS PGothic" w:eastAsia="MS PGothic" w:hAnsi="MS PGothic"/>
          <w:sz w:val="14"/>
          <w:szCs w:val="14"/>
          <w:color w:val="C8102E"/>
        </w:rPr>
      </w:pPr>
      <w:r>
        <w:rPr>
          <w:rFonts w:ascii="Arial" w:cs="Arial" w:eastAsia="Arial" w:hAnsi="Arial"/>
          <w:sz w:val="14"/>
          <w:szCs w:val="14"/>
          <w:color w:val="auto"/>
        </w:rPr>
        <w:t>Extensive experience in innovation and entrepreneurship, research and development, executive leadership, marketing and branding</w:t>
      </w:r>
    </w:p>
    <w:p>
      <w:pPr>
        <w:jc w:val="both"/>
        <w:ind w:left="210" w:right="120" w:hanging="210"/>
        <w:spacing w:after="0" w:line="231" w:lineRule="auto"/>
        <w:tabs>
          <w:tab w:leader="none" w:pos="128" w:val="left"/>
        </w:tabs>
        <w:numPr>
          <w:ilvl w:val="0"/>
          <w:numId w:val="45"/>
        </w:numPr>
        <w:rPr>
          <w:rFonts w:ascii="MS PGothic" w:cs="MS PGothic" w:eastAsia="MS PGothic" w:hAnsi="MS PGothic"/>
          <w:sz w:val="14"/>
          <w:szCs w:val="14"/>
          <w:color w:val="C8102E"/>
        </w:rPr>
      </w:pPr>
      <w:r>
        <w:rPr>
          <w:rFonts w:ascii="Arial" w:cs="Arial" w:eastAsia="Arial" w:hAnsi="Arial"/>
          <w:sz w:val="14"/>
          <w:szCs w:val="14"/>
          <w:color w:val="auto"/>
        </w:rPr>
        <w:t>Relevant public company board experience, including oversight of environmental, social and governance; and corporate social responsibility initiatives</w:t>
      </w:r>
    </w:p>
    <w:p>
      <w:pPr>
        <w:spacing w:after="0" w:line="200" w:lineRule="exact"/>
        <w:rPr>
          <w:sz w:val="20"/>
          <w:szCs w:val="20"/>
          <w:color w:val="auto"/>
        </w:rPr>
      </w:pPr>
    </w:p>
    <w:p>
      <w:pPr>
        <w:sectPr>
          <w:pgSz w:w="11900" w:h="16838" w:orient="portrait"/>
          <w:cols w:equalWidth="0" w:num="3">
            <w:col w:w="3150" w:space="720"/>
            <w:col w:w="3490" w:space="250"/>
            <w:col w:w="3350"/>
          </w:cols>
          <w:pgMar w:left="440" w:top="767" w:right="499" w:bottom="1440" w:gutter="0" w:footer="0" w:header="0"/>
          <w:type w:val="continuous"/>
        </w:sectPr>
      </w:pP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-118745</wp:posOffset>
            </wp:positionV>
            <wp:extent cx="762635" cy="3854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2635" cy="385445"/>
                    </a:xfrm>
                    <a:prstGeom prst="rect">
                      <a:avLst/>
                    </a:prstGeom>
                    <a:noFill/>
                  </pic:spPr>
                </pic:pic>
              </a:graphicData>
            </a:graphic>
          </wp:anchor>
        </w:drawing>
      </w:r>
    </w:p>
    <w:p>
      <w:pPr>
        <w:jc w:val="right"/>
        <w:ind w:right="7500"/>
        <w:spacing w:after="0"/>
        <w:rPr>
          <w:sz w:val="20"/>
          <w:szCs w:val="20"/>
          <w:color w:val="auto"/>
        </w:rPr>
      </w:pPr>
      <w:r>
        <w:rPr>
          <w:rFonts w:ascii="Arial" w:cs="Arial" w:eastAsia="Arial" w:hAnsi="Arial"/>
          <w:sz w:val="18"/>
          <w:szCs w:val="18"/>
          <w:color w:val="auto"/>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699516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767" w:right="49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28"/>
          <w:szCs w:val="28"/>
          <w:b w:val="1"/>
          <w:bCs w:val="1"/>
          <w:color w:val="C8102E"/>
        </w:rPr>
        <w:t>A. Clayton Perfall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134620</wp:posOffset>
            </wp:positionV>
            <wp:extent cx="1114425" cy="11144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14425"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C8102E"/>
        </w:rPr>
        <w:t>Director since 2010</w:t>
      </w:r>
    </w:p>
    <w:p>
      <w:pPr>
        <w:ind w:left="320"/>
        <w:spacing w:after="0"/>
        <w:rPr>
          <w:sz w:val="20"/>
          <w:szCs w:val="20"/>
          <w:color w:val="auto"/>
        </w:rPr>
      </w:pPr>
      <w:r>
        <w:rPr>
          <w:rFonts w:ascii="Arial" w:cs="Arial" w:eastAsia="Arial" w:hAnsi="Arial"/>
          <w:sz w:val="18"/>
          <w:szCs w:val="18"/>
          <w:b w:val="1"/>
          <w:bCs w:val="1"/>
          <w:color w:val="C8102E"/>
        </w:rPr>
        <w:t>Independent | Age 67</w:t>
      </w:r>
    </w:p>
    <w:p>
      <w:pPr>
        <w:spacing w:after="0" w:line="14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C8102E"/>
        </w:rPr>
        <w:t>Committees: Audit (Chair)</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ind w:left="10" w:right="500"/>
        <w:spacing w:after="0" w:line="261" w:lineRule="auto"/>
        <w:rPr>
          <w:sz w:val="20"/>
          <w:szCs w:val="20"/>
          <w:color w:val="auto"/>
        </w:rPr>
      </w:pPr>
      <w:r>
        <w:rPr>
          <w:rFonts w:ascii="Arial" w:cs="Arial" w:eastAsia="Arial" w:hAnsi="Arial"/>
          <w:sz w:val="16"/>
          <w:szCs w:val="16"/>
          <w:b w:val="1"/>
          <w:bCs w:val="1"/>
          <w:color w:val="C8102E"/>
        </w:rPr>
        <w:t>Career Highlights and Recent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-2459355</wp:posOffset>
            </wp:positionH>
            <wp:positionV relativeFrom="paragraph">
              <wp:posOffset>-295910</wp:posOffset>
            </wp:positionV>
            <wp:extent cx="6995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4" w:lineRule="exact"/>
        <w:rPr>
          <w:sz w:val="20"/>
          <w:szCs w:val="20"/>
          <w:color w:val="auto"/>
        </w:rPr>
      </w:pPr>
    </w:p>
    <w:p>
      <w:pPr>
        <w:ind w:left="130" w:hanging="130"/>
        <w:spacing w:after="0"/>
        <w:tabs>
          <w:tab w:leader="none" w:pos="130" w:val="left"/>
        </w:tabs>
        <w:numPr>
          <w:ilvl w:val="0"/>
          <w:numId w:val="46"/>
        </w:numPr>
        <w:rPr>
          <w:rFonts w:ascii="MS PGothic" w:cs="MS PGothic" w:eastAsia="MS PGothic" w:hAnsi="MS PGothic"/>
          <w:sz w:val="14"/>
          <w:szCs w:val="14"/>
          <w:color w:val="C8102E"/>
        </w:rPr>
      </w:pPr>
      <w:r>
        <w:rPr>
          <w:rFonts w:ascii="Arial" w:cs="Arial" w:eastAsia="Arial" w:hAnsi="Arial"/>
          <w:sz w:val="14"/>
          <w:szCs w:val="14"/>
          <w:color w:val="auto"/>
        </w:rPr>
        <w:t>Tailwind Capital (2014 – 2022)</w:t>
      </w:r>
    </w:p>
    <w:p>
      <w:pPr>
        <w:spacing w:after="0" w:line="15" w:lineRule="exact"/>
        <w:rPr>
          <w:rFonts w:ascii="MS PGothic" w:cs="MS PGothic" w:eastAsia="MS PGothic" w:hAnsi="MS PGothic"/>
          <w:sz w:val="14"/>
          <w:szCs w:val="14"/>
          <w:color w:val="C8102E"/>
        </w:rPr>
      </w:pPr>
    </w:p>
    <w:p>
      <w:pPr>
        <w:ind w:left="430" w:right="20" w:hanging="214"/>
        <w:spacing w:after="0"/>
        <w:tabs>
          <w:tab w:leader="none" w:pos="348" w:val="left"/>
        </w:tabs>
        <w:numPr>
          <w:ilvl w:val="1"/>
          <w:numId w:val="46"/>
        </w:numPr>
        <w:rPr>
          <w:rFonts w:ascii="MS PGothic" w:cs="MS PGothic" w:eastAsia="MS PGothic" w:hAnsi="MS PGothic"/>
          <w:sz w:val="14"/>
          <w:szCs w:val="14"/>
          <w:color w:val="C8102E"/>
        </w:rPr>
      </w:pPr>
      <w:r>
        <w:rPr>
          <w:rFonts w:ascii="Arial" w:cs="Arial" w:eastAsia="Arial" w:hAnsi="Arial"/>
          <w:sz w:val="14"/>
          <w:szCs w:val="14"/>
          <w:color w:val="auto"/>
        </w:rPr>
        <w:t>Operating Executive, focused on growing middle market companies in the healthcare, technology, business services and industrial services sectors</w:t>
      </w:r>
    </w:p>
    <w:p>
      <w:pPr>
        <w:spacing w:after="0" w:line="272" w:lineRule="exact"/>
        <w:rPr>
          <w:rFonts w:ascii="MS PGothic" w:cs="MS PGothic" w:eastAsia="MS PGothic" w:hAnsi="MS PGothic"/>
          <w:sz w:val="14"/>
          <w:szCs w:val="14"/>
          <w:color w:val="C8102E"/>
        </w:rPr>
      </w:pPr>
    </w:p>
    <w:p>
      <w:pPr>
        <w:ind w:left="130" w:hanging="130"/>
        <w:spacing w:after="0"/>
        <w:tabs>
          <w:tab w:leader="none" w:pos="130" w:val="left"/>
        </w:tabs>
        <w:numPr>
          <w:ilvl w:val="0"/>
          <w:numId w:val="46"/>
        </w:numPr>
        <w:rPr>
          <w:rFonts w:ascii="MS PGothic" w:cs="MS PGothic" w:eastAsia="MS PGothic" w:hAnsi="MS PGothic"/>
          <w:sz w:val="14"/>
          <w:szCs w:val="14"/>
          <w:color w:val="C8102E"/>
        </w:rPr>
      </w:pPr>
      <w:r>
        <w:rPr>
          <w:rFonts w:ascii="Arial" w:cs="Arial" w:eastAsia="Arial" w:hAnsi="Arial"/>
          <w:sz w:val="14"/>
          <w:szCs w:val="14"/>
          <w:color w:val="auto"/>
        </w:rPr>
        <w:t>Archway Marketing Services, Inc.</w:t>
      </w:r>
    </w:p>
    <w:p>
      <w:pPr>
        <w:spacing w:after="0" w:line="15" w:lineRule="exact"/>
        <w:rPr>
          <w:rFonts w:ascii="MS PGothic" w:cs="MS PGothic" w:eastAsia="MS PGothic" w:hAnsi="MS PGothic"/>
          <w:sz w:val="14"/>
          <w:szCs w:val="14"/>
          <w:color w:val="C8102E"/>
        </w:rPr>
      </w:pPr>
    </w:p>
    <w:p>
      <w:pPr>
        <w:ind w:left="430" w:right="240" w:hanging="214"/>
        <w:spacing w:after="0" w:line="244" w:lineRule="auto"/>
        <w:tabs>
          <w:tab w:leader="none" w:pos="348" w:val="left"/>
        </w:tabs>
        <w:numPr>
          <w:ilvl w:val="1"/>
          <w:numId w:val="46"/>
        </w:numPr>
        <w:rPr>
          <w:rFonts w:ascii="MS PGothic" w:cs="MS PGothic" w:eastAsia="MS PGothic" w:hAnsi="MS PGothic"/>
          <w:sz w:val="14"/>
          <w:szCs w:val="14"/>
          <w:color w:val="C8102E"/>
        </w:rPr>
      </w:pPr>
      <w:r>
        <w:rPr>
          <w:rFonts w:ascii="Arial" w:cs="Arial" w:eastAsia="Arial" w:hAnsi="Arial"/>
          <w:sz w:val="14"/>
          <w:szCs w:val="14"/>
          <w:color w:val="auto"/>
        </w:rPr>
        <w:t>Chairman and Chief Executive Officer (2008 – 2013)</w:t>
      </w:r>
    </w:p>
    <w:p>
      <w:pPr>
        <w:spacing w:after="0" w:line="131" w:lineRule="exact"/>
        <w:rPr>
          <w:rFonts w:ascii="MS PGothic" w:cs="MS PGothic" w:eastAsia="MS PGothic" w:hAnsi="MS PGothic"/>
          <w:sz w:val="14"/>
          <w:szCs w:val="14"/>
          <w:color w:val="C8102E"/>
        </w:rPr>
      </w:pPr>
    </w:p>
    <w:p>
      <w:pPr>
        <w:ind w:left="130" w:hanging="130"/>
        <w:spacing w:after="0"/>
        <w:tabs>
          <w:tab w:leader="none" w:pos="130" w:val="left"/>
        </w:tabs>
        <w:numPr>
          <w:ilvl w:val="0"/>
          <w:numId w:val="46"/>
        </w:numPr>
        <w:rPr>
          <w:rFonts w:ascii="MS PGothic" w:cs="MS PGothic" w:eastAsia="MS PGothic" w:hAnsi="MS PGothic"/>
          <w:sz w:val="14"/>
          <w:szCs w:val="14"/>
          <w:color w:val="C8102E"/>
        </w:rPr>
      </w:pPr>
      <w:r>
        <w:rPr>
          <w:rFonts w:ascii="Arial" w:cs="Arial" w:eastAsia="Arial" w:hAnsi="Arial"/>
          <w:sz w:val="14"/>
          <w:szCs w:val="14"/>
          <w:color w:val="auto"/>
        </w:rPr>
        <w:t>Union Street Acquisition Corp.</w:t>
      </w:r>
    </w:p>
    <w:p>
      <w:pPr>
        <w:spacing w:after="0" w:line="15" w:lineRule="exact"/>
        <w:rPr>
          <w:rFonts w:ascii="MS PGothic" w:cs="MS PGothic" w:eastAsia="MS PGothic" w:hAnsi="MS PGothic"/>
          <w:sz w:val="14"/>
          <w:szCs w:val="14"/>
          <w:color w:val="C8102E"/>
        </w:rPr>
      </w:pPr>
    </w:p>
    <w:p>
      <w:pPr>
        <w:ind w:left="430" w:right="360" w:hanging="214"/>
        <w:spacing w:after="0" w:line="264" w:lineRule="auto"/>
        <w:tabs>
          <w:tab w:leader="none" w:pos="348" w:val="left"/>
        </w:tabs>
        <w:numPr>
          <w:ilvl w:val="1"/>
          <w:numId w:val="46"/>
        </w:numPr>
        <w:rPr>
          <w:rFonts w:ascii="MS PGothic" w:cs="MS PGothic" w:eastAsia="MS PGothic" w:hAnsi="MS PGothic"/>
          <w:sz w:val="14"/>
          <w:szCs w:val="14"/>
          <w:color w:val="C8102E"/>
        </w:rPr>
      </w:pPr>
      <w:r>
        <w:rPr>
          <w:rFonts w:ascii="Arial" w:cs="Arial" w:eastAsia="Arial" w:hAnsi="Arial"/>
          <w:sz w:val="14"/>
          <w:szCs w:val="14"/>
          <w:color w:val="auto"/>
        </w:rPr>
        <w:t>Chief Executive Officer and Director (2006 – 2008)</w:t>
      </w:r>
    </w:p>
    <w:p>
      <w:pPr>
        <w:spacing w:after="0" w:line="117" w:lineRule="exact"/>
        <w:rPr>
          <w:rFonts w:ascii="MS PGothic" w:cs="MS PGothic" w:eastAsia="MS PGothic" w:hAnsi="MS PGothic"/>
          <w:sz w:val="14"/>
          <w:szCs w:val="14"/>
          <w:color w:val="C8102E"/>
        </w:rPr>
      </w:pPr>
    </w:p>
    <w:p>
      <w:pPr>
        <w:ind w:left="130" w:hanging="130"/>
        <w:spacing w:after="0"/>
        <w:tabs>
          <w:tab w:leader="none" w:pos="130" w:val="left"/>
        </w:tabs>
        <w:numPr>
          <w:ilvl w:val="0"/>
          <w:numId w:val="46"/>
        </w:numPr>
        <w:rPr>
          <w:rFonts w:ascii="MS PGothic" w:cs="MS PGothic" w:eastAsia="MS PGothic" w:hAnsi="MS PGothic"/>
          <w:sz w:val="14"/>
          <w:szCs w:val="14"/>
          <w:color w:val="C8102E"/>
        </w:rPr>
      </w:pPr>
      <w:r>
        <w:rPr>
          <w:rFonts w:ascii="Arial" w:cs="Arial" w:eastAsia="Arial" w:hAnsi="Arial"/>
          <w:sz w:val="14"/>
          <w:szCs w:val="14"/>
          <w:color w:val="auto"/>
        </w:rPr>
        <w:t>AHL Services, Inc.</w:t>
      </w:r>
    </w:p>
    <w:p>
      <w:pPr>
        <w:spacing w:after="0" w:line="1" w:lineRule="exact"/>
        <w:rPr>
          <w:rFonts w:ascii="MS PGothic" w:cs="MS PGothic" w:eastAsia="MS PGothic" w:hAnsi="MS PGothic"/>
          <w:sz w:val="14"/>
          <w:szCs w:val="14"/>
          <w:color w:val="C8102E"/>
        </w:rPr>
      </w:pPr>
    </w:p>
    <w:p>
      <w:pPr>
        <w:ind w:left="430" w:right="360" w:hanging="214"/>
        <w:spacing w:after="0" w:line="264" w:lineRule="auto"/>
        <w:tabs>
          <w:tab w:leader="none" w:pos="348" w:val="left"/>
        </w:tabs>
        <w:numPr>
          <w:ilvl w:val="1"/>
          <w:numId w:val="46"/>
        </w:numPr>
        <w:rPr>
          <w:rFonts w:ascii="MS PGothic" w:cs="MS PGothic" w:eastAsia="MS PGothic" w:hAnsi="MS PGothic"/>
          <w:sz w:val="14"/>
          <w:szCs w:val="14"/>
          <w:color w:val="C8102E"/>
        </w:rPr>
      </w:pPr>
      <w:r>
        <w:rPr>
          <w:rFonts w:ascii="Arial" w:cs="Arial" w:eastAsia="Arial" w:hAnsi="Arial"/>
          <w:sz w:val="14"/>
          <w:szCs w:val="14"/>
          <w:color w:val="auto"/>
        </w:rPr>
        <w:t>Chief Executive Officer and Director (2001 – 2008)</w:t>
      </w:r>
    </w:p>
    <w:p>
      <w:pPr>
        <w:spacing w:after="0" w:line="117" w:lineRule="exact"/>
        <w:rPr>
          <w:rFonts w:ascii="MS PGothic" w:cs="MS PGothic" w:eastAsia="MS PGothic" w:hAnsi="MS PGothic"/>
          <w:sz w:val="14"/>
          <w:szCs w:val="14"/>
          <w:color w:val="C8102E"/>
        </w:rPr>
      </w:pPr>
    </w:p>
    <w:p>
      <w:pPr>
        <w:ind w:left="130" w:hanging="130"/>
        <w:spacing w:after="0"/>
        <w:tabs>
          <w:tab w:leader="none" w:pos="130" w:val="left"/>
        </w:tabs>
        <w:numPr>
          <w:ilvl w:val="0"/>
          <w:numId w:val="46"/>
        </w:numPr>
        <w:rPr>
          <w:rFonts w:ascii="MS PGothic" w:cs="MS PGothic" w:eastAsia="MS PGothic" w:hAnsi="MS PGothic"/>
          <w:sz w:val="14"/>
          <w:szCs w:val="14"/>
          <w:color w:val="C8102E"/>
        </w:rPr>
      </w:pPr>
      <w:r>
        <w:rPr>
          <w:rFonts w:ascii="Arial" w:cs="Arial" w:eastAsia="Arial" w:hAnsi="Arial"/>
          <w:sz w:val="14"/>
          <w:szCs w:val="14"/>
          <w:color w:val="auto"/>
        </w:rPr>
        <w:t>Snyder Communications, Inc.</w:t>
      </w:r>
    </w:p>
    <w:p>
      <w:pPr>
        <w:spacing w:after="0" w:line="1" w:lineRule="exact"/>
        <w:rPr>
          <w:rFonts w:ascii="MS PGothic" w:cs="MS PGothic" w:eastAsia="MS PGothic" w:hAnsi="MS PGothic"/>
          <w:sz w:val="14"/>
          <w:szCs w:val="14"/>
          <w:color w:val="C8102E"/>
        </w:rPr>
      </w:pPr>
    </w:p>
    <w:p>
      <w:pPr>
        <w:ind w:left="350" w:hanging="134"/>
        <w:spacing w:after="0"/>
        <w:tabs>
          <w:tab w:leader="none" w:pos="350" w:val="left"/>
        </w:tabs>
        <w:numPr>
          <w:ilvl w:val="1"/>
          <w:numId w:val="46"/>
        </w:numPr>
        <w:rPr>
          <w:rFonts w:ascii="MS PGothic" w:cs="MS PGothic" w:eastAsia="MS PGothic" w:hAnsi="MS PGothic"/>
          <w:sz w:val="14"/>
          <w:szCs w:val="14"/>
          <w:color w:val="C8102E"/>
        </w:rPr>
      </w:pPr>
      <w:r>
        <w:rPr>
          <w:rFonts w:ascii="Arial" w:cs="Arial" w:eastAsia="Arial" w:hAnsi="Arial"/>
          <w:sz w:val="14"/>
          <w:szCs w:val="14"/>
          <w:color w:val="auto"/>
        </w:rPr>
        <w:t>Chief Financial Officer and Director (1996 – 2000)</w:t>
      </w:r>
    </w:p>
    <w:p>
      <w:pPr>
        <w:spacing w:after="0" w:line="162" w:lineRule="exact"/>
        <w:rPr>
          <w:rFonts w:ascii="MS PGothic" w:cs="MS PGothic" w:eastAsia="MS PGothic" w:hAnsi="MS PGothic"/>
          <w:sz w:val="14"/>
          <w:szCs w:val="14"/>
          <w:color w:val="C8102E"/>
        </w:rPr>
      </w:pPr>
    </w:p>
    <w:p>
      <w:pPr>
        <w:ind w:left="210" w:right="140" w:hanging="210"/>
        <w:spacing w:after="0" w:line="253" w:lineRule="auto"/>
        <w:tabs>
          <w:tab w:leader="none" w:pos="128" w:val="left"/>
        </w:tabs>
        <w:numPr>
          <w:ilvl w:val="0"/>
          <w:numId w:val="46"/>
        </w:numPr>
        <w:rPr>
          <w:rFonts w:ascii="MS PGothic" w:cs="MS PGothic" w:eastAsia="MS PGothic" w:hAnsi="MS PGothic"/>
          <w:sz w:val="14"/>
          <w:szCs w:val="14"/>
          <w:color w:val="C8102E"/>
        </w:rPr>
      </w:pPr>
      <w:r>
        <w:rPr>
          <w:rFonts w:ascii="Arial" w:cs="Arial" w:eastAsia="Arial" w:hAnsi="Arial"/>
          <w:sz w:val="14"/>
          <w:szCs w:val="14"/>
          <w:color w:val="auto"/>
        </w:rPr>
        <w:t>Previously served as a partner with an international accounting firm, and as a director of numerous public and private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-2459355</wp:posOffset>
            </wp:positionH>
            <wp:positionV relativeFrom="paragraph">
              <wp:posOffset>-16510</wp:posOffset>
            </wp:positionV>
            <wp:extent cx="69951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C8102E"/>
        </w:rPr>
        <w:t>Other Current Public Directorships</w:t>
      </w:r>
    </w:p>
    <w:p>
      <w:pPr>
        <w:spacing w:after="0" w:line="158" w:lineRule="exact"/>
        <w:rPr>
          <w:sz w:val="20"/>
          <w:szCs w:val="20"/>
          <w:color w:val="auto"/>
        </w:rPr>
      </w:pPr>
    </w:p>
    <w:p>
      <w:pPr>
        <w:ind w:left="130" w:hanging="130"/>
        <w:spacing w:after="0"/>
        <w:tabs>
          <w:tab w:leader="none" w:pos="130" w:val="left"/>
        </w:tabs>
        <w:numPr>
          <w:ilvl w:val="0"/>
          <w:numId w:val="47"/>
        </w:numPr>
        <w:rPr>
          <w:rFonts w:ascii="MS PGothic" w:cs="MS PGothic" w:eastAsia="MS PGothic" w:hAnsi="MS PGothic"/>
          <w:sz w:val="14"/>
          <w:szCs w:val="14"/>
          <w:color w:val="C8102E"/>
        </w:rPr>
      </w:pPr>
      <w:r>
        <w:rPr>
          <w:rFonts w:ascii="Arial" w:cs="Arial" w:eastAsia="Arial" w:hAnsi="Arial"/>
          <w:sz w:val="14"/>
          <w:szCs w:val="14"/>
          <w:color w:val="auto"/>
        </w:rPr>
        <w:t>None</w:t>
      </w:r>
    </w:p>
    <w:p>
      <w:pPr>
        <w:spacing w:after="0" w:line="172" w:lineRule="exact"/>
        <w:rPr>
          <w:sz w:val="20"/>
          <w:szCs w:val="20"/>
          <w:color w:val="auto"/>
        </w:rPr>
      </w:pPr>
    </w:p>
    <w:p>
      <w:pPr>
        <w:ind w:left="10" w:right="120"/>
        <w:spacing w:after="0" w:line="261" w:lineRule="auto"/>
        <w:rPr>
          <w:sz w:val="20"/>
          <w:szCs w:val="20"/>
          <w:color w:val="auto"/>
        </w:rPr>
      </w:pPr>
      <w:r>
        <w:rPr>
          <w:rFonts w:ascii="Arial" w:cs="Arial" w:eastAsia="Arial" w:hAnsi="Arial"/>
          <w:sz w:val="16"/>
          <w:szCs w:val="16"/>
          <w:b w:val="1"/>
          <w:bCs w:val="1"/>
          <w:color w:val="C8102E"/>
        </w:rPr>
        <w:t>Other Public Directorships in the Past Five Years</w:t>
      </w:r>
    </w:p>
    <w:p>
      <w:pPr>
        <w:spacing w:after="0" w:line="118" w:lineRule="exact"/>
        <w:rPr>
          <w:sz w:val="20"/>
          <w:szCs w:val="20"/>
          <w:color w:val="auto"/>
        </w:rPr>
      </w:pPr>
    </w:p>
    <w:p>
      <w:pPr>
        <w:ind w:left="130" w:hanging="130"/>
        <w:spacing w:after="0"/>
        <w:tabs>
          <w:tab w:leader="none" w:pos="130" w:val="left"/>
        </w:tabs>
        <w:numPr>
          <w:ilvl w:val="0"/>
          <w:numId w:val="48"/>
        </w:numPr>
        <w:rPr>
          <w:rFonts w:ascii="MS PGothic" w:cs="MS PGothic" w:eastAsia="MS PGothic" w:hAnsi="MS PGothic"/>
          <w:sz w:val="14"/>
          <w:szCs w:val="14"/>
          <w:color w:val="C8102E"/>
        </w:rPr>
      </w:pPr>
      <w:r>
        <w:rPr>
          <w:rFonts w:ascii="Arial" w:cs="Arial" w:eastAsia="Arial" w:hAnsi="Arial"/>
          <w:sz w:val="14"/>
          <w:szCs w:val="14"/>
          <w:color w:val="auto"/>
        </w:rPr>
        <w:t>None</w:t>
      </w:r>
    </w:p>
    <w:p>
      <w:pPr>
        <w:spacing w:after="0" w:line="172" w:lineRule="exact"/>
        <w:rPr>
          <w:sz w:val="20"/>
          <w:szCs w:val="20"/>
          <w:color w:val="auto"/>
        </w:rPr>
      </w:pPr>
    </w:p>
    <w:p>
      <w:pPr>
        <w:ind w:left="10" w:right="200"/>
        <w:spacing w:after="0" w:line="261" w:lineRule="auto"/>
        <w:rPr>
          <w:sz w:val="20"/>
          <w:szCs w:val="20"/>
          <w:color w:val="auto"/>
        </w:rPr>
      </w:pPr>
      <w:r>
        <w:rPr>
          <w:rFonts w:ascii="Arial" w:cs="Arial" w:eastAsia="Arial" w:hAnsi="Arial"/>
          <w:sz w:val="16"/>
          <w:szCs w:val="16"/>
          <w:b w:val="1"/>
          <w:bCs w:val="1"/>
          <w:color w:val="C8102E"/>
        </w:rPr>
        <w:t>Specific Qualifications, Experience, Skills and Expertise</w:t>
      </w:r>
    </w:p>
    <w:p>
      <w:pPr>
        <w:spacing w:after="0" w:line="104" w:lineRule="exact"/>
        <w:rPr>
          <w:sz w:val="20"/>
          <w:szCs w:val="20"/>
          <w:color w:val="auto"/>
        </w:rPr>
      </w:pPr>
    </w:p>
    <w:p>
      <w:pPr>
        <w:ind w:left="210" w:right="80" w:hanging="210"/>
        <w:spacing w:after="0" w:line="228" w:lineRule="auto"/>
        <w:tabs>
          <w:tab w:leader="none" w:pos="128" w:val="left"/>
        </w:tabs>
        <w:numPr>
          <w:ilvl w:val="0"/>
          <w:numId w:val="49"/>
        </w:numPr>
        <w:rPr>
          <w:rFonts w:ascii="MS PGothic" w:cs="MS PGothic" w:eastAsia="MS PGothic" w:hAnsi="MS PGothic"/>
          <w:sz w:val="14"/>
          <w:szCs w:val="14"/>
          <w:color w:val="C8102E"/>
        </w:rPr>
      </w:pPr>
      <w:r>
        <w:rPr>
          <w:rFonts w:ascii="Arial" w:cs="Arial" w:eastAsia="Arial" w:hAnsi="Arial"/>
          <w:sz w:val="14"/>
          <w:szCs w:val="14"/>
          <w:color w:val="auto"/>
        </w:rPr>
        <w:t>Significant financial expertise and experience as a public company chief financial officer and audit committee chair</w:t>
      </w:r>
    </w:p>
    <w:p>
      <w:pPr>
        <w:ind w:left="130" w:hanging="130"/>
        <w:spacing w:after="0"/>
        <w:tabs>
          <w:tab w:leader="none" w:pos="130" w:val="left"/>
        </w:tabs>
        <w:numPr>
          <w:ilvl w:val="0"/>
          <w:numId w:val="49"/>
        </w:numPr>
        <w:rPr>
          <w:rFonts w:ascii="MS PGothic" w:cs="MS PGothic" w:eastAsia="MS PGothic" w:hAnsi="MS PGothic"/>
          <w:sz w:val="14"/>
          <w:szCs w:val="14"/>
          <w:color w:val="C8102E"/>
        </w:rPr>
      </w:pPr>
      <w:r>
        <w:rPr>
          <w:rFonts w:ascii="Arial" w:cs="Arial" w:eastAsia="Arial" w:hAnsi="Arial"/>
          <w:sz w:val="14"/>
          <w:szCs w:val="14"/>
          <w:color w:val="auto"/>
        </w:rPr>
        <w:t>Extensive executive leadership experience</w:t>
      </w:r>
    </w:p>
    <w:p>
      <w:pPr>
        <w:spacing w:after="0" w:line="1" w:lineRule="exact"/>
        <w:rPr>
          <w:rFonts w:ascii="MS PGothic" w:cs="MS PGothic" w:eastAsia="MS PGothic" w:hAnsi="MS PGothic"/>
          <w:sz w:val="14"/>
          <w:szCs w:val="14"/>
          <w:color w:val="C8102E"/>
        </w:rPr>
      </w:pPr>
    </w:p>
    <w:p>
      <w:pPr>
        <w:ind w:left="210" w:right="280" w:hanging="210"/>
        <w:spacing w:after="0" w:line="235" w:lineRule="auto"/>
        <w:tabs>
          <w:tab w:leader="none" w:pos="128" w:val="left"/>
        </w:tabs>
        <w:numPr>
          <w:ilvl w:val="0"/>
          <w:numId w:val="49"/>
        </w:numPr>
        <w:rPr>
          <w:rFonts w:ascii="MS PGothic" w:cs="MS PGothic" w:eastAsia="MS PGothic" w:hAnsi="MS PGothic"/>
          <w:sz w:val="14"/>
          <w:szCs w:val="14"/>
          <w:color w:val="C8102E"/>
        </w:rPr>
      </w:pPr>
      <w:r>
        <w:rPr>
          <w:rFonts w:ascii="Arial" w:cs="Arial" w:eastAsia="Arial" w:hAnsi="Arial"/>
          <w:sz w:val="14"/>
          <w:szCs w:val="14"/>
          <w:color w:val="auto"/>
        </w:rPr>
        <w:t>M&amp;A and capital markets experience, including extensive international and healthcare M&amp;A experience</w:t>
      </w:r>
    </w:p>
    <w:p>
      <w:pPr>
        <w:spacing w:after="0" w:line="1256" w:lineRule="exact"/>
        <w:rPr>
          <w:sz w:val="20"/>
          <w:szCs w:val="20"/>
          <w:color w:val="auto"/>
        </w:rPr>
      </w:pPr>
    </w:p>
    <w:p>
      <w:pPr>
        <w:sectPr>
          <w:pgSz w:w="11900" w:h="16838" w:orient="portrait"/>
          <w:cols w:equalWidth="0" w:num="3">
            <w:col w:w="2530" w:space="720"/>
            <w:col w:w="3530" w:space="210"/>
            <w:col w:w="3410"/>
          </w:cols>
          <w:pgMar w:left="1060" w:top="672" w:right="439" w:bottom="1440" w:gutter="0" w:footer="0" w:header="0"/>
        </w:sectPr>
      </w:pPr>
    </w:p>
    <w:p>
      <w:pPr>
        <w:ind w:left="80"/>
        <w:spacing w:after="0"/>
        <w:rPr>
          <w:sz w:val="20"/>
          <w:szCs w:val="20"/>
          <w:color w:val="auto"/>
        </w:rPr>
      </w:pPr>
      <w:r>
        <w:rPr>
          <w:rFonts w:ascii="Arial" w:cs="Arial" w:eastAsia="Arial" w:hAnsi="Arial"/>
          <w:sz w:val="29"/>
          <w:szCs w:val="29"/>
          <w:b w:val="1"/>
          <w:bCs w:val="1"/>
          <w:color w:val="C8102E"/>
        </w:rPr>
        <w:t>Brady R. Shirley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118745</wp:posOffset>
            </wp:positionV>
            <wp:extent cx="1114425" cy="11144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14425"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30"/>
        <w:spacing w:after="0"/>
        <w:rPr>
          <w:sz w:val="20"/>
          <w:szCs w:val="20"/>
          <w:color w:val="auto"/>
        </w:rPr>
      </w:pPr>
      <w:r>
        <w:rPr>
          <w:rFonts w:ascii="Arial" w:cs="Arial" w:eastAsia="Arial" w:hAnsi="Arial"/>
          <w:sz w:val="17"/>
          <w:szCs w:val="17"/>
          <w:b w:val="1"/>
          <w:bCs w:val="1"/>
          <w:color w:val="C8102E"/>
        </w:rPr>
        <w:t>Director since 2022 | Age 60</w:t>
      </w:r>
    </w:p>
    <w:p>
      <w:pPr>
        <w:spacing w:after="0" w:line="156" w:lineRule="exact"/>
        <w:rPr>
          <w:sz w:val="20"/>
          <w:szCs w:val="20"/>
          <w:color w:val="auto"/>
        </w:rPr>
      </w:pPr>
    </w:p>
    <w:p>
      <w:pPr>
        <w:jc w:val="center"/>
        <w:ind w:right="130"/>
        <w:spacing w:after="0"/>
        <w:rPr>
          <w:sz w:val="20"/>
          <w:szCs w:val="20"/>
          <w:color w:val="auto"/>
        </w:rPr>
      </w:pPr>
      <w:r>
        <w:rPr>
          <w:rFonts w:ascii="Arial" w:cs="Arial" w:eastAsia="Arial" w:hAnsi="Arial"/>
          <w:sz w:val="18"/>
          <w:szCs w:val="18"/>
          <w:b w:val="1"/>
          <w:bCs w:val="1"/>
          <w:color w:val="C8102E"/>
        </w:rPr>
        <w:t>Committees: None</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ind w:left="10" w:right="480"/>
        <w:spacing w:after="0" w:line="261" w:lineRule="auto"/>
        <w:rPr>
          <w:sz w:val="20"/>
          <w:szCs w:val="20"/>
          <w:color w:val="auto"/>
        </w:rPr>
      </w:pPr>
      <w:r>
        <w:rPr>
          <w:rFonts w:ascii="Arial" w:cs="Arial" w:eastAsia="Arial" w:hAnsi="Arial"/>
          <w:sz w:val="16"/>
          <w:szCs w:val="16"/>
          <w:b w:val="1"/>
          <w:bCs w:val="1"/>
          <w:color w:val="C8102E"/>
        </w:rPr>
        <w:t>Career Highlights and Recent Business Experience</w:t>
      </w:r>
    </w:p>
    <w:p>
      <w:pPr>
        <w:spacing w:after="0" w:line="104" w:lineRule="exact"/>
        <w:rPr>
          <w:sz w:val="20"/>
          <w:szCs w:val="20"/>
          <w:color w:val="auto"/>
        </w:rPr>
      </w:pPr>
    </w:p>
    <w:p>
      <w:pPr>
        <w:ind w:left="130" w:hanging="130"/>
        <w:spacing w:after="0"/>
        <w:tabs>
          <w:tab w:leader="none" w:pos="130" w:val="left"/>
        </w:tabs>
        <w:numPr>
          <w:ilvl w:val="0"/>
          <w:numId w:val="50"/>
        </w:numPr>
        <w:rPr>
          <w:rFonts w:ascii="MS PGothic" w:cs="MS PGothic" w:eastAsia="MS PGothic" w:hAnsi="MS PGothic"/>
          <w:sz w:val="14"/>
          <w:szCs w:val="14"/>
          <w:color w:val="C8102E"/>
        </w:rPr>
      </w:pPr>
      <w:r>
        <w:rPr>
          <w:rFonts w:ascii="Arial" w:cs="Arial" w:eastAsia="Arial" w:hAnsi="Arial"/>
          <w:sz w:val="14"/>
          <w:szCs w:val="14"/>
          <w:color w:val="auto"/>
        </w:rPr>
        <w:t>Enovis Corporation</w:t>
      </w:r>
    </w:p>
    <w:p>
      <w:pPr>
        <w:spacing w:after="0" w:line="15" w:lineRule="exact"/>
        <w:rPr>
          <w:rFonts w:ascii="MS PGothic" w:cs="MS PGothic" w:eastAsia="MS PGothic" w:hAnsi="MS PGothic"/>
          <w:sz w:val="14"/>
          <w:szCs w:val="14"/>
          <w:color w:val="C8102E"/>
        </w:rPr>
      </w:pPr>
    </w:p>
    <w:p>
      <w:pPr>
        <w:ind w:left="350" w:hanging="134"/>
        <w:spacing w:after="0" w:line="221" w:lineRule="auto"/>
        <w:tabs>
          <w:tab w:leader="none" w:pos="350" w:val="left"/>
        </w:tabs>
        <w:numPr>
          <w:ilvl w:val="1"/>
          <w:numId w:val="50"/>
        </w:numPr>
        <w:rPr>
          <w:rFonts w:ascii="MS PGothic" w:cs="MS PGothic" w:eastAsia="MS PGothic" w:hAnsi="MS PGothic"/>
          <w:sz w:val="14"/>
          <w:szCs w:val="14"/>
          <w:color w:val="C8102E"/>
        </w:rPr>
      </w:pPr>
      <w:r>
        <w:rPr>
          <w:rFonts w:ascii="Arial" w:cs="Arial" w:eastAsia="Arial" w:hAnsi="Arial"/>
          <w:sz w:val="14"/>
          <w:szCs w:val="14"/>
          <w:color w:val="auto"/>
        </w:rPr>
        <w:t>Executive Advisor (2024 – March 2025)</w:t>
      </w:r>
    </w:p>
    <w:p>
      <w:pPr>
        <w:ind w:left="350" w:hanging="134"/>
        <w:spacing w:after="0"/>
        <w:tabs>
          <w:tab w:leader="none" w:pos="350" w:val="left"/>
        </w:tabs>
        <w:numPr>
          <w:ilvl w:val="1"/>
          <w:numId w:val="50"/>
        </w:numPr>
        <w:rPr>
          <w:rFonts w:ascii="MS PGothic" w:cs="MS PGothic" w:eastAsia="MS PGothic" w:hAnsi="MS PGothic"/>
          <w:sz w:val="14"/>
          <w:szCs w:val="14"/>
          <w:color w:val="C8102E"/>
        </w:rPr>
      </w:pPr>
      <w:r>
        <w:rPr>
          <w:rFonts w:ascii="Arial" w:cs="Arial" w:eastAsia="Arial" w:hAnsi="Arial"/>
          <w:sz w:val="14"/>
          <w:szCs w:val="14"/>
          <w:color w:val="auto"/>
        </w:rPr>
        <w:t>President and Chief Operating Officer (2022 –</w:t>
      </w:r>
    </w:p>
    <w:p>
      <w:pPr>
        <w:ind w:left="430"/>
        <w:spacing w:after="0" w:line="217" w:lineRule="auto"/>
        <w:rPr>
          <w:sz w:val="20"/>
          <w:szCs w:val="20"/>
          <w:color w:val="auto"/>
        </w:rPr>
      </w:pPr>
      <w:r>
        <w:rPr>
          <w:rFonts w:ascii="Arial" w:cs="Arial" w:eastAsia="Arial" w:hAnsi="Arial"/>
          <w:sz w:val="14"/>
          <w:szCs w:val="14"/>
          <w:color w:val="auto"/>
        </w:rPr>
        <w:t>2024)</w:t>
      </w:r>
    </w:p>
    <w:p>
      <w:pPr>
        <w:spacing w:after="0" w:line="1" w:lineRule="exact"/>
        <w:rPr>
          <w:sz w:val="20"/>
          <w:szCs w:val="20"/>
          <w:color w:val="auto"/>
        </w:rPr>
      </w:pPr>
    </w:p>
    <w:p>
      <w:pPr>
        <w:ind w:left="430" w:right="200" w:hanging="214"/>
        <w:spacing w:after="0" w:line="223" w:lineRule="auto"/>
        <w:tabs>
          <w:tab w:leader="none" w:pos="348" w:val="left"/>
        </w:tabs>
        <w:numPr>
          <w:ilvl w:val="1"/>
          <w:numId w:val="51"/>
        </w:numPr>
        <w:rPr>
          <w:rFonts w:ascii="MS PGothic" w:cs="MS PGothic" w:eastAsia="MS PGothic" w:hAnsi="MS PGothic"/>
          <w:sz w:val="14"/>
          <w:szCs w:val="14"/>
          <w:color w:val="C8102E"/>
        </w:rPr>
      </w:pPr>
      <w:r>
        <w:rPr>
          <w:rFonts w:ascii="Arial" w:cs="Arial" w:eastAsia="Arial" w:hAnsi="Arial"/>
          <w:sz w:val="14"/>
          <w:szCs w:val="14"/>
          <w:color w:val="auto"/>
        </w:rPr>
        <w:t>Chief Executive Officer, DJO business (2016 – 2022)</w:t>
      </w:r>
    </w:p>
    <w:p>
      <w:pPr>
        <w:spacing w:after="0" w:line="1" w:lineRule="exact"/>
        <w:rPr>
          <w:rFonts w:ascii="MS PGothic" w:cs="MS PGothic" w:eastAsia="MS PGothic" w:hAnsi="MS PGothic"/>
          <w:sz w:val="14"/>
          <w:szCs w:val="14"/>
          <w:color w:val="C8102E"/>
        </w:rPr>
      </w:pPr>
    </w:p>
    <w:p>
      <w:pPr>
        <w:ind w:left="350" w:hanging="134"/>
        <w:spacing w:after="0"/>
        <w:tabs>
          <w:tab w:leader="none" w:pos="350" w:val="left"/>
        </w:tabs>
        <w:numPr>
          <w:ilvl w:val="1"/>
          <w:numId w:val="51"/>
        </w:numPr>
        <w:rPr>
          <w:rFonts w:ascii="MS PGothic" w:cs="MS PGothic" w:eastAsia="MS PGothic" w:hAnsi="MS PGothic"/>
          <w:sz w:val="14"/>
          <w:szCs w:val="14"/>
          <w:color w:val="C8102E"/>
        </w:rPr>
      </w:pPr>
      <w:r>
        <w:rPr>
          <w:rFonts w:ascii="Arial" w:cs="Arial" w:eastAsia="Arial" w:hAnsi="Arial"/>
          <w:sz w:val="14"/>
          <w:szCs w:val="14"/>
          <w:color w:val="auto"/>
        </w:rPr>
        <w:t>President, DJO Surgical business (2014 – 2016)</w:t>
      </w:r>
    </w:p>
    <w:p>
      <w:pPr>
        <w:spacing w:after="0" w:line="162" w:lineRule="exact"/>
        <w:rPr>
          <w:rFonts w:ascii="MS PGothic" w:cs="MS PGothic" w:eastAsia="MS PGothic" w:hAnsi="MS PGothic"/>
          <w:sz w:val="14"/>
          <w:szCs w:val="14"/>
          <w:color w:val="C8102E"/>
        </w:rPr>
      </w:pPr>
    </w:p>
    <w:p>
      <w:pPr>
        <w:ind w:left="130" w:hanging="130"/>
        <w:spacing w:after="0"/>
        <w:tabs>
          <w:tab w:leader="none" w:pos="130" w:val="left"/>
        </w:tabs>
        <w:numPr>
          <w:ilvl w:val="0"/>
          <w:numId w:val="51"/>
        </w:numPr>
        <w:rPr>
          <w:rFonts w:ascii="MS PGothic" w:cs="MS PGothic" w:eastAsia="MS PGothic" w:hAnsi="MS PGothic"/>
          <w:sz w:val="14"/>
          <w:szCs w:val="14"/>
          <w:color w:val="C8102E"/>
        </w:rPr>
      </w:pPr>
      <w:r>
        <w:rPr>
          <w:rFonts w:ascii="Arial" w:cs="Arial" w:eastAsia="Arial" w:hAnsi="Arial"/>
          <w:sz w:val="14"/>
          <w:szCs w:val="14"/>
          <w:color w:val="auto"/>
        </w:rPr>
        <w:t>National Seating &amp; Mobility (private company)</w:t>
      </w:r>
    </w:p>
    <w:p>
      <w:pPr>
        <w:spacing w:after="0" w:line="15" w:lineRule="exact"/>
        <w:rPr>
          <w:rFonts w:ascii="MS PGothic" w:cs="MS PGothic" w:eastAsia="MS PGothic" w:hAnsi="MS PGothic"/>
          <w:sz w:val="14"/>
          <w:szCs w:val="14"/>
          <w:color w:val="C8102E"/>
        </w:rPr>
      </w:pPr>
    </w:p>
    <w:p>
      <w:pPr>
        <w:ind w:left="350" w:hanging="134"/>
        <w:spacing w:after="0"/>
        <w:tabs>
          <w:tab w:leader="none" w:pos="350" w:val="left"/>
        </w:tabs>
        <w:numPr>
          <w:ilvl w:val="1"/>
          <w:numId w:val="51"/>
        </w:numPr>
        <w:rPr>
          <w:rFonts w:ascii="MS PGothic" w:cs="MS PGothic" w:eastAsia="MS PGothic" w:hAnsi="MS PGothic"/>
          <w:sz w:val="14"/>
          <w:szCs w:val="14"/>
          <w:color w:val="C8102E"/>
        </w:rPr>
      </w:pPr>
      <w:r>
        <w:rPr>
          <w:rFonts w:ascii="Arial" w:cs="Arial" w:eastAsia="Arial" w:hAnsi="Arial"/>
          <w:sz w:val="14"/>
          <w:szCs w:val="14"/>
          <w:color w:val="auto"/>
        </w:rPr>
        <w:t>Chair of the Board of Directors (2023 – present)</w:t>
      </w:r>
    </w:p>
    <w:p>
      <w:pPr>
        <w:spacing w:after="0" w:line="162" w:lineRule="exact"/>
        <w:rPr>
          <w:rFonts w:ascii="MS PGothic" w:cs="MS PGothic" w:eastAsia="MS PGothic" w:hAnsi="MS PGothic"/>
          <w:sz w:val="14"/>
          <w:szCs w:val="14"/>
          <w:color w:val="C8102E"/>
        </w:rPr>
      </w:pPr>
    </w:p>
    <w:p>
      <w:pPr>
        <w:ind w:left="130" w:hanging="130"/>
        <w:spacing w:after="0"/>
        <w:tabs>
          <w:tab w:leader="none" w:pos="130" w:val="left"/>
        </w:tabs>
        <w:numPr>
          <w:ilvl w:val="0"/>
          <w:numId w:val="51"/>
        </w:numPr>
        <w:rPr>
          <w:rFonts w:ascii="MS PGothic" w:cs="MS PGothic" w:eastAsia="MS PGothic" w:hAnsi="MS PGothic"/>
          <w:sz w:val="14"/>
          <w:szCs w:val="14"/>
          <w:color w:val="C8102E"/>
        </w:rPr>
      </w:pPr>
      <w:r>
        <w:rPr>
          <w:rFonts w:ascii="Arial" w:cs="Arial" w:eastAsia="Arial" w:hAnsi="Arial"/>
          <w:sz w:val="14"/>
          <w:szCs w:val="14"/>
          <w:color w:val="auto"/>
        </w:rPr>
        <w:t>Innovative Medical Device Solutions</w:t>
      </w:r>
    </w:p>
    <w:p>
      <w:pPr>
        <w:spacing w:after="0" w:line="1" w:lineRule="exact"/>
        <w:rPr>
          <w:rFonts w:ascii="MS PGothic" w:cs="MS PGothic" w:eastAsia="MS PGothic" w:hAnsi="MS PGothic"/>
          <w:sz w:val="14"/>
          <w:szCs w:val="14"/>
          <w:color w:val="C8102E"/>
        </w:rPr>
      </w:pPr>
    </w:p>
    <w:p>
      <w:pPr>
        <w:ind w:left="430" w:right="340" w:hanging="214"/>
        <w:spacing w:after="0" w:line="264" w:lineRule="auto"/>
        <w:tabs>
          <w:tab w:leader="none" w:pos="348" w:val="left"/>
        </w:tabs>
        <w:numPr>
          <w:ilvl w:val="1"/>
          <w:numId w:val="51"/>
        </w:numPr>
        <w:rPr>
          <w:rFonts w:ascii="MS PGothic" w:cs="MS PGothic" w:eastAsia="MS PGothic" w:hAnsi="MS PGothic"/>
          <w:sz w:val="14"/>
          <w:szCs w:val="14"/>
          <w:color w:val="C8102E"/>
        </w:rPr>
      </w:pPr>
      <w:r>
        <w:rPr>
          <w:rFonts w:ascii="Arial" w:cs="Arial" w:eastAsia="Arial" w:hAnsi="Arial"/>
          <w:sz w:val="14"/>
          <w:szCs w:val="14"/>
          <w:color w:val="auto"/>
        </w:rPr>
        <w:t>Chief Executive Officer and Director (2009 – 2013)</w:t>
      </w:r>
    </w:p>
    <w:p>
      <w:pPr>
        <w:spacing w:after="0" w:line="117" w:lineRule="exact"/>
        <w:rPr>
          <w:rFonts w:ascii="MS PGothic" w:cs="MS PGothic" w:eastAsia="MS PGothic" w:hAnsi="MS PGothic"/>
          <w:sz w:val="14"/>
          <w:szCs w:val="14"/>
          <w:color w:val="C8102E"/>
        </w:rPr>
      </w:pPr>
    </w:p>
    <w:p>
      <w:pPr>
        <w:ind w:left="130" w:hanging="130"/>
        <w:spacing w:after="0"/>
        <w:tabs>
          <w:tab w:leader="none" w:pos="130" w:val="left"/>
        </w:tabs>
        <w:numPr>
          <w:ilvl w:val="0"/>
          <w:numId w:val="51"/>
        </w:numPr>
        <w:rPr>
          <w:rFonts w:ascii="MS PGothic" w:cs="MS PGothic" w:eastAsia="MS PGothic" w:hAnsi="MS PGothic"/>
          <w:sz w:val="14"/>
          <w:szCs w:val="14"/>
          <w:color w:val="C8102E"/>
        </w:rPr>
      </w:pPr>
      <w:r>
        <w:rPr>
          <w:rFonts w:ascii="Arial" w:cs="Arial" w:eastAsia="Arial" w:hAnsi="Arial"/>
          <w:sz w:val="14"/>
          <w:szCs w:val="14"/>
          <w:color w:val="auto"/>
        </w:rPr>
        <w:t>Stryker Corporation (1992 – 2009)</w:t>
      </w:r>
    </w:p>
    <w:p>
      <w:pPr>
        <w:spacing w:after="0" w:line="15" w:lineRule="exact"/>
        <w:rPr>
          <w:rFonts w:ascii="MS PGothic" w:cs="MS PGothic" w:eastAsia="MS PGothic" w:hAnsi="MS PGothic"/>
          <w:sz w:val="14"/>
          <w:szCs w:val="14"/>
          <w:color w:val="C8102E"/>
        </w:rPr>
      </w:pPr>
    </w:p>
    <w:p>
      <w:pPr>
        <w:ind w:left="430" w:hanging="214"/>
        <w:spacing w:after="0" w:line="235" w:lineRule="auto"/>
        <w:tabs>
          <w:tab w:leader="none" w:pos="348" w:val="left"/>
        </w:tabs>
        <w:numPr>
          <w:ilvl w:val="1"/>
          <w:numId w:val="51"/>
        </w:numPr>
        <w:rPr>
          <w:rFonts w:ascii="MS PGothic" w:cs="MS PGothic" w:eastAsia="MS PGothic" w:hAnsi="MS PGothic"/>
          <w:sz w:val="14"/>
          <w:szCs w:val="14"/>
          <w:color w:val="C8102E"/>
        </w:rPr>
      </w:pPr>
      <w:r>
        <w:rPr>
          <w:rFonts w:ascii="Arial" w:cs="Arial" w:eastAsia="Arial" w:hAnsi="Arial"/>
          <w:sz w:val="14"/>
          <w:szCs w:val="14"/>
          <w:color w:val="auto"/>
        </w:rPr>
        <w:t>Served in several key leadership positions, including President of Stryker Communications and Senior Vice President of Stryker Endoscopy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-2459355</wp:posOffset>
            </wp:positionH>
            <wp:positionV relativeFrom="paragraph">
              <wp:posOffset>107950</wp:posOffset>
            </wp:positionV>
            <wp:extent cx="699516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C8102E"/>
        </w:rPr>
        <w:t>Other Current Public Directorships</w:t>
      </w:r>
    </w:p>
    <w:p>
      <w:pPr>
        <w:spacing w:after="0" w:line="158" w:lineRule="exact"/>
        <w:rPr>
          <w:sz w:val="20"/>
          <w:szCs w:val="20"/>
          <w:color w:val="auto"/>
        </w:rPr>
      </w:pPr>
    </w:p>
    <w:p>
      <w:pPr>
        <w:ind w:left="130" w:hanging="130"/>
        <w:spacing w:after="0"/>
        <w:tabs>
          <w:tab w:leader="none" w:pos="130" w:val="left"/>
        </w:tabs>
        <w:numPr>
          <w:ilvl w:val="0"/>
          <w:numId w:val="52"/>
        </w:numPr>
        <w:rPr>
          <w:rFonts w:ascii="MS PGothic" w:cs="MS PGothic" w:eastAsia="MS PGothic" w:hAnsi="MS PGothic"/>
          <w:sz w:val="14"/>
          <w:szCs w:val="14"/>
          <w:color w:val="C8102E"/>
        </w:rPr>
      </w:pPr>
      <w:r>
        <w:rPr>
          <w:rFonts w:ascii="Arial" w:cs="Arial" w:eastAsia="Arial" w:hAnsi="Arial"/>
          <w:sz w:val="14"/>
          <w:szCs w:val="14"/>
          <w:color w:val="auto"/>
        </w:rPr>
        <w:t>None</w:t>
      </w:r>
    </w:p>
    <w:p>
      <w:pPr>
        <w:spacing w:after="0" w:line="172" w:lineRule="exact"/>
        <w:rPr>
          <w:sz w:val="20"/>
          <w:szCs w:val="20"/>
          <w:color w:val="auto"/>
        </w:rPr>
      </w:pPr>
    </w:p>
    <w:p>
      <w:pPr>
        <w:ind w:left="10" w:right="120"/>
        <w:spacing w:after="0" w:line="261" w:lineRule="auto"/>
        <w:rPr>
          <w:sz w:val="20"/>
          <w:szCs w:val="20"/>
          <w:color w:val="auto"/>
        </w:rPr>
      </w:pPr>
      <w:r>
        <w:rPr>
          <w:rFonts w:ascii="Arial" w:cs="Arial" w:eastAsia="Arial" w:hAnsi="Arial"/>
          <w:sz w:val="16"/>
          <w:szCs w:val="16"/>
          <w:b w:val="1"/>
          <w:bCs w:val="1"/>
          <w:color w:val="C8102E"/>
        </w:rPr>
        <w:t>Other Public Directorships in the Past Five Years</w:t>
      </w:r>
    </w:p>
    <w:p>
      <w:pPr>
        <w:spacing w:after="0" w:line="104" w:lineRule="exact"/>
        <w:rPr>
          <w:sz w:val="20"/>
          <w:szCs w:val="20"/>
          <w:color w:val="auto"/>
        </w:rPr>
      </w:pPr>
    </w:p>
    <w:p>
      <w:pPr>
        <w:ind w:left="130" w:hanging="130"/>
        <w:spacing w:after="0"/>
        <w:tabs>
          <w:tab w:leader="none" w:pos="130" w:val="left"/>
        </w:tabs>
        <w:numPr>
          <w:ilvl w:val="0"/>
          <w:numId w:val="53"/>
        </w:numPr>
        <w:rPr>
          <w:rFonts w:ascii="MS PGothic" w:cs="MS PGothic" w:eastAsia="MS PGothic" w:hAnsi="MS PGothic"/>
          <w:sz w:val="14"/>
          <w:szCs w:val="14"/>
          <w:color w:val="C8102E"/>
        </w:rPr>
      </w:pPr>
      <w:r>
        <w:rPr>
          <w:rFonts w:ascii="Arial" w:cs="Arial" w:eastAsia="Arial" w:hAnsi="Arial"/>
          <w:sz w:val="14"/>
          <w:szCs w:val="14"/>
          <w:color w:val="auto"/>
        </w:rPr>
        <w:t>None</w:t>
      </w:r>
    </w:p>
    <w:p>
      <w:pPr>
        <w:spacing w:after="0" w:line="172" w:lineRule="exact"/>
        <w:rPr>
          <w:sz w:val="20"/>
          <w:szCs w:val="20"/>
          <w:color w:val="auto"/>
        </w:rPr>
      </w:pPr>
    </w:p>
    <w:p>
      <w:pPr>
        <w:ind w:left="10" w:right="200"/>
        <w:spacing w:after="0" w:line="261" w:lineRule="auto"/>
        <w:rPr>
          <w:sz w:val="20"/>
          <w:szCs w:val="20"/>
          <w:color w:val="auto"/>
        </w:rPr>
      </w:pPr>
      <w:r>
        <w:rPr>
          <w:rFonts w:ascii="Arial" w:cs="Arial" w:eastAsia="Arial" w:hAnsi="Arial"/>
          <w:sz w:val="16"/>
          <w:szCs w:val="16"/>
          <w:b w:val="1"/>
          <w:bCs w:val="1"/>
          <w:color w:val="C8102E"/>
        </w:rPr>
        <w:t>Specific Qualifications, Experience, Skills and Expertise</w:t>
      </w:r>
    </w:p>
    <w:p>
      <w:pPr>
        <w:spacing w:after="0" w:line="118" w:lineRule="exact"/>
        <w:rPr>
          <w:sz w:val="20"/>
          <w:szCs w:val="20"/>
          <w:color w:val="auto"/>
        </w:rPr>
      </w:pPr>
    </w:p>
    <w:p>
      <w:pPr>
        <w:ind w:left="210" w:right="40" w:hanging="210"/>
        <w:spacing w:after="0" w:line="231" w:lineRule="auto"/>
        <w:tabs>
          <w:tab w:leader="none" w:pos="128" w:val="left"/>
        </w:tabs>
        <w:numPr>
          <w:ilvl w:val="0"/>
          <w:numId w:val="54"/>
        </w:numPr>
        <w:rPr>
          <w:rFonts w:ascii="MS PGothic" w:cs="MS PGothic" w:eastAsia="MS PGothic" w:hAnsi="MS PGothic"/>
          <w:sz w:val="14"/>
          <w:szCs w:val="14"/>
          <w:color w:val="C8102E"/>
        </w:rPr>
      </w:pPr>
      <w:r>
        <w:rPr>
          <w:rFonts w:ascii="Arial" w:cs="Arial" w:eastAsia="Arial" w:hAnsi="Arial"/>
          <w:sz w:val="14"/>
          <w:szCs w:val="14"/>
          <w:color w:val="auto"/>
        </w:rPr>
        <w:t>Extensive medical device industry experience, with a particular focus in the orthopedic industry</w:t>
      </w:r>
    </w:p>
    <w:p>
      <w:pPr>
        <w:spacing w:after="0" w:line="1" w:lineRule="exact"/>
        <w:rPr>
          <w:rFonts w:ascii="MS PGothic" w:cs="MS PGothic" w:eastAsia="MS PGothic" w:hAnsi="MS PGothic"/>
          <w:sz w:val="14"/>
          <w:szCs w:val="14"/>
          <w:color w:val="C8102E"/>
        </w:rPr>
      </w:pPr>
    </w:p>
    <w:p>
      <w:pPr>
        <w:ind w:left="210" w:right="100" w:hanging="210"/>
        <w:spacing w:after="0" w:line="221" w:lineRule="auto"/>
        <w:tabs>
          <w:tab w:leader="none" w:pos="128" w:val="left"/>
        </w:tabs>
        <w:numPr>
          <w:ilvl w:val="0"/>
          <w:numId w:val="54"/>
        </w:numPr>
        <w:rPr>
          <w:rFonts w:ascii="MS PGothic" w:cs="MS PGothic" w:eastAsia="MS PGothic" w:hAnsi="MS PGothic"/>
          <w:sz w:val="14"/>
          <w:szCs w:val="14"/>
          <w:color w:val="C8102E"/>
        </w:rPr>
      </w:pPr>
      <w:r>
        <w:rPr>
          <w:rFonts w:ascii="Arial" w:cs="Arial" w:eastAsia="Arial" w:hAnsi="Arial"/>
          <w:sz w:val="14"/>
          <w:szCs w:val="14"/>
          <w:color w:val="auto"/>
        </w:rPr>
        <w:t>Senior leadership experience, including as a chief executive officer and chief operating officer of medical device companies</w:t>
      </w:r>
    </w:p>
    <w:p>
      <w:pPr>
        <w:ind w:left="210" w:right="420" w:hanging="210"/>
        <w:spacing w:after="0" w:line="264" w:lineRule="auto"/>
        <w:tabs>
          <w:tab w:leader="none" w:pos="128" w:val="left"/>
        </w:tabs>
        <w:numPr>
          <w:ilvl w:val="0"/>
          <w:numId w:val="54"/>
        </w:numPr>
        <w:rPr>
          <w:rFonts w:ascii="MS PGothic" w:cs="MS PGothic" w:eastAsia="MS PGothic" w:hAnsi="MS PGothic"/>
          <w:sz w:val="14"/>
          <w:szCs w:val="14"/>
          <w:color w:val="C8102E"/>
        </w:rPr>
      </w:pPr>
      <w:r>
        <w:rPr>
          <w:rFonts w:ascii="Arial" w:cs="Arial" w:eastAsia="Arial" w:hAnsi="Arial"/>
          <w:sz w:val="14"/>
          <w:szCs w:val="14"/>
          <w:color w:val="auto"/>
        </w:rPr>
        <w:t>Deep knowledge of the Company’s products, technology and innovation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1920240</wp:posOffset>
            </wp:positionH>
            <wp:positionV relativeFrom="paragraph">
              <wp:posOffset>543560</wp:posOffset>
            </wp:positionV>
            <wp:extent cx="17145" cy="3168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145" cy="316865"/>
                    </a:xfrm>
                    <a:prstGeom prst="rect">
                      <a:avLst/>
                    </a:prstGeom>
                    <a:noFill/>
                  </pic:spPr>
                </pic:pic>
              </a:graphicData>
            </a:graphic>
          </wp:anchor>
        </w:drawing>
      </w:r>
    </w:p>
    <w:p>
      <w:pPr>
        <w:spacing w:after="0" w:line="602" w:lineRule="exact"/>
        <w:rPr>
          <w:sz w:val="20"/>
          <w:szCs w:val="20"/>
          <w:color w:val="auto"/>
        </w:rPr>
      </w:pPr>
    </w:p>
    <w:p>
      <w:pPr>
        <w:sectPr>
          <w:pgSz w:w="11900" w:h="16838" w:orient="portrait"/>
          <w:cols w:equalWidth="0" w:num="3">
            <w:col w:w="2530" w:space="720"/>
            <w:col w:w="3510" w:space="230"/>
            <w:col w:w="3410"/>
          </w:cols>
          <w:pgMar w:left="1060" w:top="672" w:right="439" w:bottom="1440" w:gutter="0" w:footer="0" w:header="0"/>
          <w:type w:val="continuous"/>
        </w:sectPr>
      </w:pPr>
    </w:p>
    <w:p>
      <w:pPr>
        <w:spacing w:after="0" w:line="254" w:lineRule="exact"/>
        <w:rPr>
          <w:sz w:val="20"/>
          <w:szCs w:val="20"/>
          <w:color w:val="auto"/>
        </w:rPr>
      </w:pPr>
    </w:p>
    <w:p>
      <w:pPr>
        <w:ind w:left="6900"/>
        <w:spacing w:after="0"/>
        <w:tabs>
          <w:tab w:leader="none" w:pos="10180" w:val="left"/>
        </w:tabs>
        <w:rPr>
          <w:sz w:val="20"/>
          <w:szCs w:val="20"/>
          <w:color w:val="auto"/>
        </w:rPr>
      </w:pPr>
      <w:r>
        <w:rPr>
          <w:sz w:val="1"/>
          <w:szCs w:val="1"/>
          <w:color w:val="auto"/>
        </w:rPr>
        <w:drawing>
          <wp:inline distT="0" distB="0" distL="0" distR="0">
            <wp:extent cx="685800" cy="16319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0" cy="163195"/>
                    </a:xfrm>
                    <a:prstGeom prst="rect">
                      <a:avLst/>
                    </a:prstGeom>
                    <a:noFill/>
                    <a:ln>
                      <a:noFill/>
                    </a:ln>
                  </pic:spPr>
                </pic:pic>
              </a:graphicData>
            </a:graphic>
          </wp:inline>
        </w:drawing>
      </w:r>
      <w:r>
        <w:rPr>
          <w:rFonts w:ascii="Arial" w:cs="Arial" w:eastAsia="Arial" w:hAnsi="Arial"/>
          <w:sz w:val="18"/>
          <w:szCs w:val="18"/>
          <w:color w:val="auto"/>
        </w:rPr>
        <w:t xml:space="preserve"> - 2026 Proxy Statement</w:t>
      </w:r>
      <w:r>
        <w:rPr>
          <w:sz w:val="20"/>
          <w:szCs w:val="20"/>
          <w:color w:val="auto"/>
        </w:rPr>
        <w:tab/>
      </w: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130175</wp:posOffset>
            </wp:positionV>
            <wp:extent cx="699516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400"/>
          </w:cols>
          <w:pgMar w:left="1060" w:top="672" w:right="439" w:bottom="1440" w:gutter="0" w:footer="0" w:header="0"/>
          <w:type w:val="continuous"/>
        </w:sectPr>
      </w:pPr>
    </w:p>
    <w:bookmarkStart w:id="19" w:name="page20"/>
    <w:bookmarkEnd w:id="19"/>
    <w:p>
      <w:pPr>
        <w:ind w:left="740"/>
        <w:spacing w:after="0"/>
        <w:rPr>
          <w:sz w:val="20"/>
          <w:szCs w:val="20"/>
          <w:color w:val="auto"/>
        </w:rPr>
      </w:pPr>
      <w:r>
        <w:rPr>
          <w:rFonts w:ascii="Arial" w:cs="Arial" w:eastAsia="Arial" w:hAnsi="Arial"/>
          <w:sz w:val="29"/>
          <w:szCs w:val="29"/>
          <w:b w:val="1"/>
          <w:bCs w:val="1"/>
          <w:color w:val="C8102E"/>
        </w:rPr>
        <w:t>Rajiv Vinnakota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127000</wp:posOffset>
            </wp:positionV>
            <wp:extent cx="1114425" cy="11144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14425"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C8102E"/>
        </w:rPr>
        <w:t>Director since 2008</w:t>
      </w:r>
    </w:p>
    <w:p>
      <w:pPr>
        <w:ind w:left="940"/>
        <w:spacing w:after="0"/>
        <w:rPr>
          <w:sz w:val="20"/>
          <w:szCs w:val="20"/>
          <w:color w:val="auto"/>
        </w:rPr>
      </w:pPr>
      <w:r>
        <w:rPr>
          <w:rFonts w:ascii="Arial" w:cs="Arial" w:eastAsia="Arial" w:hAnsi="Arial"/>
          <w:sz w:val="18"/>
          <w:szCs w:val="18"/>
          <w:b w:val="1"/>
          <w:bCs w:val="1"/>
          <w:color w:val="C8102E"/>
        </w:rPr>
        <w:t>Independent | Age 55</w:t>
      </w:r>
    </w:p>
    <w:p>
      <w:pPr>
        <w:spacing w:after="0" w:line="126" w:lineRule="exact"/>
        <w:rPr>
          <w:sz w:val="20"/>
          <w:szCs w:val="20"/>
          <w:color w:val="auto"/>
        </w:rPr>
      </w:pPr>
    </w:p>
    <w:p>
      <w:pPr>
        <w:jc w:val="center"/>
        <w:ind w:left="490"/>
        <w:spacing w:after="0"/>
        <w:rPr>
          <w:sz w:val="20"/>
          <w:szCs w:val="20"/>
          <w:color w:val="auto"/>
        </w:rPr>
      </w:pPr>
      <w:r>
        <w:rPr>
          <w:rFonts w:ascii="Arial" w:cs="Arial" w:eastAsia="Arial" w:hAnsi="Arial"/>
          <w:sz w:val="18"/>
          <w:szCs w:val="18"/>
          <w:b w:val="1"/>
          <w:bCs w:val="1"/>
          <w:color w:val="C8102E"/>
        </w:rPr>
        <w:t>Committees: Nominating and</w:t>
      </w:r>
    </w:p>
    <w:p>
      <w:pPr>
        <w:jc w:val="center"/>
        <w:ind w:left="490"/>
        <w:spacing w:after="0" w:line="232" w:lineRule="auto"/>
        <w:rPr>
          <w:sz w:val="20"/>
          <w:szCs w:val="20"/>
          <w:color w:val="auto"/>
        </w:rPr>
      </w:pPr>
      <w:r>
        <w:rPr>
          <w:rFonts w:ascii="Arial" w:cs="Arial" w:eastAsia="Arial" w:hAnsi="Arial"/>
          <w:sz w:val="17"/>
          <w:szCs w:val="17"/>
          <w:b w:val="1"/>
          <w:bCs w:val="1"/>
          <w:color w:val="C8102E"/>
        </w:rPr>
        <w:t>Corporate Governance (Chair);</w:t>
      </w:r>
    </w:p>
    <w:p>
      <w:pPr>
        <w:jc w:val="center"/>
        <w:ind w:left="490"/>
        <w:spacing w:after="0" w:line="203" w:lineRule="auto"/>
        <w:rPr>
          <w:sz w:val="20"/>
          <w:szCs w:val="20"/>
          <w:color w:val="auto"/>
        </w:rPr>
      </w:pPr>
      <w:r>
        <w:rPr>
          <w:rFonts w:ascii="Arial" w:cs="Arial" w:eastAsia="Arial" w:hAnsi="Arial"/>
          <w:sz w:val="18"/>
          <w:szCs w:val="18"/>
          <w:b w:val="1"/>
          <w:bCs w:val="1"/>
          <w:color w:val="C8102E"/>
        </w:rPr>
        <w:t>Compensation and Human</w:t>
      </w:r>
    </w:p>
    <w:p>
      <w:pPr>
        <w:jc w:val="center"/>
        <w:ind w:left="490"/>
        <w:spacing w:after="0"/>
        <w:rPr>
          <w:sz w:val="20"/>
          <w:szCs w:val="20"/>
          <w:color w:val="auto"/>
        </w:rPr>
      </w:pPr>
      <w:r>
        <w:rPr>
          <w:rFonts w:ascii="Arial" w:cs="Arial" w:eastAsia="Arial" w:hAnsi="Arial"/>
          <w:sz w:val="18"/>
          <w:szCs w:val="18"/>
          <w:b w:val="1"/>
          <w:bCs w:val="1"/>
          <w:color w:val="C8102E"/>
        </w:rPr>
        <w:t>Capital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32"/>
          <w:szCs w:val="32"/>
          <w:b w:val="1"/>
          <w:bCs w:val="1"/>
          <w:color w:val="C8102E"/>
        </w:rPr>
        <w:t>Vote Required</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ind w:left="10" w:right="400"/>
        <w:spacing w:after="0" w:line="261" w:lineRule="auto"/>
        <w:rPr>
          <w:sz w:val="20"/>
          <w:szCs w:val="20"/>
          <w:color w:val="auto"/>
        </w:rPr>
      </w:pPr>
      <w:r>
        <w:rPr>
          <w:rFonts w:ascii="Arial" w:cs="Arial" w:eastAsia="Arial" w:hAnsi="Arial"/>
          <w:sz w:val="16"/>
          <w:szCs w:val="16"/>
          <w:b w:val="1"/>
          <w:bCs w:val="1"/>
          <w:color w:val="C8102E"/>
        </w:rPr>
        <w:t>Career Highlights and Recent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-2459355</wp:posOffset>
            </wp:positionH>
            <wp:positionV relativeFrom="paragraph">
              <wp:posOffset>-424815</wp:posOffset>
            </wp:positionV>
            <wp:extent cx="6995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4" w:lineRule="exact"/>
        <w:rPr>
          <w:sz w:val="20"/>
          <w:szCs w:val="20"/>
          <w:color w:val="auto"/>
        </w:rPr>
      </w:pPr>
    </w:p>
    <w:p>
      <w:pPr>
        <w:ind w:left="210" w:right="40" w:hanging="210"/>
        <w:spacing w:after="0" w:line="241" w:lineRule="auto"/>
        <w:tabs>
          <w:tab w:leader="none" w:pos="128" w:val="left"/>
        </w:tabs>
        <w:numPr>
          <w:ilvl w:val="0"/>
          <w:numId w:val="55"/>
        </w:numPr>
        <w:rPr>
          <w:rFonts w:ascii="MS PGothic" w:cs="MS PGothic" w:eastAsia="MS PGothic" w:hAnsi="MS PGothic"/>
          <w:sz w:val="14"/>
          <w:szCs w:val="14"/>
          <w:color w:val="C8102E"/>
        </w:rPr>
      </w:pPr>
      <w:r>
        <w:rPr>
          <w:rFonts w:ascii="Arial" w:cs="Arial" w:eastAsia="Arial" w:hAnsi="Arial"/>
          <w:sz w:val="14"/>
          <w:szCs w:val="14"/>
          <w:color w:val="auto"/>
        </w:rPr>
        <w:t>Institute for Citizens &amp; Scholars (formerly the Woodrow Wilson National Fellowship Foundation)</w:t>
      </w:r>
    </w:p>
    <w:p>
      <w:pPr>
        <w:spacing w:after="0" w:line="1" w:lineRule="exact"/>
        <w:rPr>
          <w:rFonts w:ascii="MS PGothic" w:cs="MS PGothic" w:eastAsia="MS PGothic" w:hAnsi="MS PGothic"/>
          <w:sz w:val="14"/>
          <w:szCs w:val="14"/>
          <w:color w:val="C8102E"/>
        </w:rPr>
      </w:pPr>
    </w:p>
    <w:p>
      <w:pPr>
        <w:ind w:left="350" w:hanging="134"/>
        <w:spacing w:after="0"/>
        <w:tabs>
          <w:tab w:leader="none" w:pos="350" w:val="left"/>
        </w:tabs>
        <w:numPr>
          <w:ilvl w:val="1"/>
          <w:numId w:val="55"/>
        </w:numPr>
        <w:rPr>
          <w:rFonts w:ascii="MS PGothic" w:cs="MS PGothic" w:eastAsia="MS PGothic" w:hAnsi="MS PGothic"/>
          <w:sz w:val="14"/>
          <w:szCs w:val="14"/>
          <w:color w:val="C8102E"/>
        </w:rPr>
      </w:pPr>
      <w:r>
        <w:rPr>
          <w:rFonts w:ascii="Arial" w:cs="Arial" w:eastAsia="Arial" w:hAnsi="Arial"/>
          <w:sz w:val="14"/>
          <w:szCs w:val="14"/>
          <w:color w:val="auto"/>
        </w:rPr>
        <w:t>President (2019 – present)</w:t>
      </w:r>
    </w:p>
    <w:p>
      <w:pPr>
        <w:spacing w:after="0" w:line="162" w:lineRule="exact"/>
        <w:rPr>
          <w:rFonts w:ascii="MS PGothic" w:cs="MS PGothic" w:eastAsia="MS PGothic" w:hAnsi="MS PGothic"/>
          <w:sz w:val="14"/>
          <w:szCs w:val="14"/>
          <w:color w:val="C8102E"/>
        </w:rPr>
      </w:pPr>
    </w:p>
    <w:p>
      <w:pPr>
        <w:ind w:left="130" w:hanging="130"/>
        <w:spacing w:after="0"/>
        <w:tabs>
          <w:tab w:leader="none" w:pos="130" w:val="left"/>
        </w:tabs>
        <w:numPr>
          <w:ilvl w:val="0"/>
          <w:numId w:val="55"/>
        </w:numPr>
        <w:rPr>
          <w:rFonts w:ascii="MS PGothic" w:cs="MS PGothic" w:eastAsia="MS PGothic" w:hAnsi="MS PGothic"/>
          <w:sz w:val="14"/>
          <w:szCs w:val="14"/>
          <w:color w:val="C8102E"/>
        </w:rPr>
      </w:pPr>
      <w:r>
        <w:rPr>
          <w:rFonts w:ascii="Arial" w:cs="Arial" w:eastAsia="Arial" w:hAnsi="Arial"/>
          <w:sz w:val="14"/>
          <w:szCs w:val="14"/>
          <w:color w:val="auto"/>
        </w:rPr>
        <w:t>The Aspen Institute</w:t>
      </w:r>
    </w:p>
    <w:p>
      <w:pPr>
        <w:spacing w:after="0" w:line="1" w:lineRule="exact"/>
        <w:rPr>
          <w:rFonts w:ascii="MS PGothic" w:cs="MS PGothic" w:eastAsia="MS PGothic" w:hAnsi="MS PGothic"/>
          <w:sz w:val="14"/>
          <w:szCs w:val="14"/>
          <w:color w:val="C8102E"/>
        </w:rPr>
      </w:pPr>
    </w:p>
    <w:p>
      <w:pPr>
        <w:ind w:left="350" w:hanging="134"/>
        <w:spacing w:after="0"/>
        <w:tabs>
          <w:tab w:leader="none" w:pos="350" w:val="left"/>
        </w:tabs>
        <w:numPr>
          <w:ilvl w:val="1"/>
          <w:numId w:val="55"/>
        </w:numPr>
        <w:rPr>
          <w:rFonts w:ascii="MS PGothic" w:cs="MS PGothic" w:eastAsia="MS PGothic" w:hAnsi="MS PGothic"/>
          <w:sz w:val="14"/>
          <w:szCs w:val="14"/>
          <w:color w:val="C8102E"/>
        </w:rPr>
      </w:pPr>
      <w:r>
        <w:rPr>
          <w:rFonts w:ascii="Arial" w:cs="Arial" w:eastAsia="Arial" w:hAnsi="Arial"/>
          <w:sz w:val="14"/>
          <w:szCs w:val="14"/>
          <w:color w:val="auto"/>
        </w:rPr>
        <w:t>Executive Vice President (2015 – 2018), leading</w:t>
      </w:r>
    </w:p>
    <w:p>
      <w:pPr>
        <w:spacing w:after="0" w:line="1" w:lineRule="exact"/>
        <w:rPr>
          <w:sz w:val="20"/>
          <w:szCs w:val="20"/>
          <w:color w:val="auto"/>
        </w:rPr>
      </w:pPr>
    </w:p>
    <w:p>
      <w:pPr>
        <w:ind w:left="430"/>
        <w:spacing w:after="0"/>
        <w:rPr>
          <w:sz w:val="20"/>
          <w:szCs w:val="20"/>
          <w:color w:val="auto"/>
        </w:rPr>
      </w:pPr>
      <w:r>
        <w:rPr>
          <w:rFonts w:ascii="Arial" w:cs="Arial" w:eastAsia="Arial" w:hAnsi="Arial"/>
          <w:sz w:val="14"/>
          <w:szCs w:val="14"/>
          <w:color w:val="auto"/>
        </w:rPr>
        <w:t>a division on youth and engagement</w:t>
      </w:r>
    </w:p>
    <w:p>
      <w:pPr>
        <w:spacing w:after="0" w:line="149" w:lineRule="exact"/>
        <w:rPr>
          <w:sz w:val="20"/>
          <w:szCs w:val="20"/>
          <w:color w:val="auto"/>
        </w:rPr>
      </w:pPr>
    </w:p>
    <w:p>
      <w:pPr>
        <w:ind w:left="130" w:hanging="130"/>
        <w:spacing w:after="0"/>
        <w:tabs>
          <w:tab w:leader="none" w:pos="130" w:val="left"/>
        </w:tabs>
        <w:numPr>
          <w:ilvl w:val="0"/>
          <w:numId w:val="56"/>
        </w:numPr>
        <w:rPr>
          <w:rFonts w:ascii="MS PGothic" w:cs="MS PGothic" w:eastAsia="MS PGothic" w:hAnsi="MS PGothic"/>
          <w:sz w:val="14"/>
          <w:szCs w:val="14"/>
          <w:color w:val="C8102E"/>
        </w:rPr>
      </w:pPr>
      <w:r>
        <w:rPr>
          <w:rFonts w:ascii="Arial" w:cs="Arial" w:eastAsia="Arial" w:hAnsi="Arial"/>
          <w:sz w:val="14"/>
          <w:szCs w:val="14"/>
          <w:color w:val="auto"/>
        </w:rPr>
        <w:t>The SEED Foundation</w:t>
      </w:r>
    </w:p>
    <w:p>
      <w:pPr>
        <w:spacing w:after="0" w:line="15" w:lineRule="exact"/>
        <w:rPr>
          <w:rFonts w:ascii="MS PGothic" w:cs="MS PGothic" w:eastAsia="MS PGothic" w:hAnsi="MS PGothic"/>
          <w:sz w:val="14"/>
          <w:szCs w:val="14"/>
          <w:color w:val="C8102E"/>
        </w:rPr>
      </w:pPr>
    </w:p>
    <w:p>
      <w:pPr>
        <w:ind w:left="430" w:hanging="214"/>
        <w:spacing w:after="0" w:line="221" w:lineRule="auto"/>
        <w:tabs>
          <w:tab w:leader="none" w:pos="348" w:val="left"/>
        </w:tabs>
        <w:numPr>
          <w:ilvl w:val="1"/>
          <w:numId w:val="56"/>
        </w:numPr>
        <w:rPr>
          <w:rFonts w:ascii="MS PGothic" w:cs="MS PGothic" w:eastAsia="MS PGothic" w:hAnsi="MS PGothic"/>
          <w:sz w:val="14"/>
          <w:szCs w:val="14"/>
          <w:color w:val="C8102E"/>
        </w:rPr>
      </w:pPr>
      <w:r>
        <w:rPr>
          <w:rFonts w:ascii="Arial" w:cs="Arial" w:eastAsia="Arial" w:hAnsi="Arial"/>
          <w:sz w:val="14"/>
          <w:szCs w:val="14"/>
          <w:color w:val="auto"/>
        </w:rPr>
        <w:t>Co-Founder and Chief Executive Officer (1997 – 2015)</w:t>
      </w:r>
    </w:p>
    <w:p>
      <w:pPr>
        <w:ind w:left="430" w:right="240" w:hanging="214"/>
        <w:spacing w:after="0" w:line="264" w:lineRule="auto"/>
        <w:tabs>
          <w:tab w:leader="none" w:pos="348" w:val="left"/>
        </w:tabs>
        <w:numPr>
          <w:ilvl w:val="1"/>
          <w:numId w:val="56"/>
        </w:numPr>
        <w:rPr>
          <w:rFonts w:ascii="MS PGothic" w:cs="MS PGothic" w:eastAsia="MS PGothic" w:hAnsi="MS PGothic"/>
          <w:sz w:val="14"/>
          <w:szCs w:val="14"/>
          <w:color w:val="C8102E"/>
        </w:rPr>
      </w:pPr>
      <w:r>
        <w:rPr>
          <w:rFonts w:ascii="Arial" w:cs="Arial" w:eastAsia="Arial" w:hAnsi="Arial"/>
          <w:sz w:val="14"/>
          <w:szCs w:val="14"/>
          <w:color w:val="auto"/>
        </w:rPr>
        <w:t>Director (1997 – present); Chair of the Board (1997 – 2005)</w:t>
      </w:r>
    </w:p>
    <w:p>
      <w:pPr>
        <w:spacing w:after="0" w:line="117" w:lineRule="exact"/>
        <w:rPr>
          <w:rFonts w:ascii="MS PGothic" w:cs="MS PGothic" w:eastAsia="MS PGothic" w:hAnsi="MS PGothic"/>
          <w:sz w:val="14"/>
          <w:szCs w:val="14"/>
          <w:color w:val="C8102E"/>
        </w:rPr>
      </w:pPr>
    </w:p>
    <w:p>
      <w:pPr>
        <w:ind w:left="130" w:hanging="130"/>
        <w:spacing w:after="0"/>
        <w:tabs>
          <w:tab w:leader="none" w:pos="130" w:val="left"/>
        </w:tabs>
        <w:numPr>
          <w:ilvl w:val="0"/>
          <w:numId w:val="56"/>
        </w:numPr>
        <w:rPr>
          <w:rFonts w:ascii="MS PGothic" w:cs="MS PGothic" w:eastAsia="MS PGothic" w:hAnsi="MS PGothic"/>
          <w:sz w:val="14"/>
          <w:szCs w:val="14"/>
          <w:color w:val="C8102E"/>
        </w:rPr>
      </w:pPr>
      <w:r>
        <w:rPr>
          <w:rFonts w:ascii="Arial" w:cs="Arial" w:eastAsia="Arial" w:hAnsi="Arial"/>
          <w:sz w:val="14"/>
          <w:szCs w:val="14"/>
          <w:color w:val="auto"/>
        </w:rPr>
        <w:t>Princeton University</w:t>
      </w:r>
    </w:p>
    <w:p>
      <w:pPr>
        <w:spacing w:after="0" w:line="1" w:lineRule="exact"/>
        <w:rPr>
          <w:rFonts w:ascii="MS PGothic" w:cs="MS PGothic" w:eastAsia="MS PGothic" w:hAnsi="MS PGothic"/>
          <w:sz w:val="14"/>
          <w:szCs w:val="14"/>
          <w:color w:val="C8102E"/>
        </w:rPr>
      </w:pPr>
    </w:p>
    <w:p>
      <w:pPr>
        <w:ind w:left="350" w:hanging="134"/>
        <w:spacing w:after="0"/>
        <w:tabs>
          <w:tab w:leader="none" w:pos="350" w:val="left"/>
        </w:tabs>
        <w:numPr>
          <w:ilvl w:val="1"/>
          <w:numId w:val="56"/>
        </w:numPr>
        <w:rPr>
          <w:rFonts w:ascii="MS PGothic" w:cs="MS PGothic" w:eastAsia="MS PGothic" w:hAnsi="MS PGothic"/>
          <w:sz w:val="14"/>
          <w:szCs w:val="14"/>
          <w:color w:val="C8102E"/>
        </w:rPr>
      </w:pPr>
      <w:r>
        <w:rPr>
          <w:rFonts w:ascii="Arial" w:cs="Arial" w:eastAsia="Arial" w:hAnsi="Arial"/>
          <w:sz w:val="14"/>
          <w:szCs w:val="14"/>
          <w:color w:val="auto"/>
        </w:rPr>
        <w:t>Trustee (2004 – 2007)</w:t>
      </w:r>
    </w:p>
    <w:p>
      <w:pPr>
        <w:spacing w:after="0" w:line="1" w:lineRule="exact"/>
        <w:rPr>
          <w:rFonts w:ascii="MS PGothic" w:cs="MS PGothic" w:eastAsia="MS PGothic" w:hAnsi="MS PGothic"/>
          <w:sz w:val="14"/>
          <w:szCs w:val="14"/>
          <w:color w:val="C8102E"/>
        </w:rPr>
      </w:pPr>
    </w:p>
    <w:p>
      <w:pPr>
        <w:ind w:left="430" w:right="380" w:hanging="214"/>
        <w:spacing w:after="0" w:line="221" w:lineRule="auto"/>
        <w:tabs>
          <w:tab w:leader="none" w:pos="348" w:val="left"/>
        </w:tabs>
        <w:numPr>
          <w:ilvl w:val="1"/>
          <w:numId w:val="56"/>
        </w:numPr>
        <w:rPr>
          <w:rFonts w:ascii="MS PGothic" w:cs="MS PGothic" w:eastAsia="MS PGothic" w:hAnsi="MS PGothic"/>
          <w:sz w:val="14"/>
          <w:szCs w:val="14"/>
          <w:color w:val="C8102E"/>
        </w:rPr>
      </w:pPr>
      <w:r>
        <w:rPr>
          <w:rFonts w:ascii="Arial" w:cs="Arial" w:eastAsia="Arial" w:hAnsi="Arial"/>
          <w:sz w:val="14"/>
          <w:szCs w:val="14"/>
          <w:color w:val="auto"/>
        </w:rPr>
        <w:t>Member, Executive Committee of Board of Directors (2006 – 2007)</w:t>
      </w:r>
    </w:p>
    <w:p>
      <w:pPr>
        <w:ind w:left="350" w:hanging="134"/>
        <w:spacing w:after="0"/>
        <w:tabs>
          <w:tab w:leader="none" w:pos="350" w:val="left"/>
        </w:tabs>
        <w:numPr>
          <w:ilvl w:val="1"/>
          <w:numId w:val="56"/>
        </w:numPr>
        <w:rPr>
          <w:rFonts w:ascii="MS PGothic" w:cs="MS PGothic" w:eastAsia="MS PGothic" w:hAnsi="MS PGothic"/>
          <w:sz w:val="14"/>
          <w:szCs w:val="14"/>
          <w:color w:val="C8102E"/>
        </w:rPr>
      </w:pPr>
      <w:r>
        <w:rPr>
          <w:rFonts w:ascii="Arial" w:cs="Arial" w:eastAsia="Arial" w:hAnsi="Arial"/>
          <w:sz w:val="14"/>
          <w:szCs w:val="14"/>
          <w:color w:val="auto"/>
        </w:rPr>
        <w:t>National Chair of Annual Giving (2007 – 2009)</w:t>
      </w:r>
    </w:p>
    <w:p>
      <w:pPr>
        <w:spacing w:after="0" w:line="162" w:lineRule="exact"/>
        <w:rPr>
          <w:rFonts w:ascii="MS PGothic" w:cs="MS PGothic" w:eastAsia="MS PGothic" w:hAnsi="MS PGothic"/>
          <w:sz w:val="14"/>
          <w:szCs w:val="14"/>
          <w:color w:val="C8102E"/>
        </w:rPr>
      </w:pPr>
    </w:p>
    <w:p>
      <w:pPr>
        <w:ind w:left="130" w:hanging="130"/>
        <w:spacing w:after="0"/>
        <w:tabs>
          <w:tab w:leader="none" w:pos="130" w:val="left"/>
        </w:tabs>
        <w:numPr>
          <w:ilvl w:val="0"/>
          <w:numId w:val="56"/>
        </w:numPr>
        <w:rPr>
          <w:rFonts w:ascii="MS PGothic" w:cs="MS PGothic" w:eastAsia="MS PGothic" w:hAnsi="MS PGothic"/>
          <w:sz w:val="14"/>
          <w:szCs w:val="14"/>
          <w:color w:val="C8102E"/>
        </w:rPr>
      </w:pPr>
      <w:r>
        <w:rPr>
          <w:rFonts w:ascii="Arial" w:cs="Arial" w:eastAsia="Arial" w:hAnsi="Arial"/>
          <w:sz w:val="14"/>
          <w:szCs w:val="14"/>
          <w:color w:val="auto"/>
        </w:rPr>
        <w:t>The Eugene and Agnes Meyer Foundation</w:t>
      </w:r>
    </w:p>
    <w:p>
      <w:pPr>
        <w:spacing w:after="0" w:line="15" w:lineRule="exact"/>
        <w:rPr>
          <w:rFonts w:ascii="MS PGothic" w:cs="MS PGothic" w:eastAsia="MS PGothic" w:hAnsi="MS PGothic"/>
          <w:sz w:val="14"/>
          <w:szCs w:val="14"/>
          <w:color w:val="C8102E"/>
        </w:rPr>
      </w:pPr>
    </w:p>
    <w:p>
      <w:pPr>
        <w:ind w:left="350" w:hanging="134"/>
        <w:spacing w:after="0"/>
        <w:tabs>
          <w:tab w:leader="none" w:pos="350" w:val="left"/>
        </w:tabs>
        <w:numPr>
          <w:ilvl w:val="1"/>
          <w:numId w:val="56"/>
        </w:numPr>
        <w:rPr>
          <w:rFonts w:ascii="MS PGothic" w:cs="MS PGothic" w:eastAsia="MS PGothic" w:hAnsi="MS PGothic"/>
          <w:sz w:val="14"/>
          <w:szCs w:val="14"/>
          <w:color w:val="C8102E"/>
        </w:rPr>
      </w:pPr>
      <w:r>
        <w:rPr>
          <w:rFonts w:ascii="Arial" w:cs="Arial" w:eastAsia="Arial" w:hAnsi="Arial"/>
          <w:sz w:val="14"/>
          <w:szCs w:val="14"/>
          <w:color w:val="auto"/>
        </w:rPr>
        <w:t>Director (2016 – 2019)</w:t>
      </w:r>
    </w:p>
    <w:p>
      <w:pPr>
        <w:spacing w:after="0" w:line="162" w:lineRule="exact"/>
        <w:rPr>
          <w:rFonts w:ascii="MS PGothic" w:cs="MS PGothic" w:eastAsia="MS PGothic" w:hAnsi="MS PGothic"/>
          <w:sz w:val="14"/>
          <w:szCs w:val="14"/>
          <w:color w:val="C8102E"/>
        </w:rPr>
      </w:pPr>
    </w:p>
    <w:p>
      <w:pPr>
        <w:ind w:left="210" w:right="480" w:hanging="210"/>
        <w:spacing w:after="0" w:line="264" w:lineRule="auto"/>
        <w:tabs>
          <w:tab w:leader="none" w:pos="128" w:val="left"/>
        </w:tabs>
        <w:numPr>
          <w:ilvl w:val="0"/>
          <w:numId w:val="56"/>
        </w:numPr>
        <w:rPr>
          <w:rFonts w:ascii="MS PGothic" w:cs="MS PGothic" w:eastAsia="MS PGothic" w:hAnsi="MS PGothic"/>
          <w:sz w:val="14"/>
          <w:szCs w:val="14"/>
          <w:color w:val="C8102E"/>
        </w:rPr>
      </w:pPr>
      <w:r>
        <w:rPr>
          <w:rFonts w:ascii="Arial" w:cs="Arial" w:eastAsia="Arial" w:hAnsi="Arial"/>
          <w:sz w:val="14"/>
          <w:szCs w:val="14"/>
          <w:color w:val="auto"/>
        </w:rPr>
        <w:t>Previously served as an associate at Mercer Management Consulting</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C8102E"/>
        </w:rPr>
        <w:t>Other Current Public Directorships</w:t>
      </w:r>
    </w:p>
    <w:p>
      <w:pPr>
        <w:spacing w:after="0" w:line="158" w:lineRule="exact"/>
        <w:rPr>
          <w:sz w:val="20"/>
          <w:szCs w:val="20"/>
          <w:color w:val="auto"/>
        </w:rPr>
      </w:pPr>
    </w:p>
    <w:p>
      <w:pPr>
        <w:ind w:left="130" w:hanging="130"/>
        <w:spacing w:after="0"/>
        <w:tabs>
          <w:tab w:leader="none" w:pos="130" w:val="left"/>
        </w:tabs>
        <w:numPr>
          <w:ilvl w:val="0"/>
          <w:numId w:val="57"/>
        </w:numPr>
        <w:rPr>
          <w:rFonts w:ascii="MS PGothic" w:cs="MS PGothic" w:eastAsia="MS PGothic" w:hAnsi="MS PGothic"/>
          <w:sz w:val="14"/>
          <w:szCs w:val="14"/>
          <w:color w:val="C8102E"/>
        </w:rPr>
      </w:pPr>
      <w:r>
        <w:rPr>
          <w:rFonts w:ascii="Arial" w:cs="Arial" w:eastAsia="Arial" w:hAnsi="Arial"/>
          <w:sz w:val="14"/>
          <w:szCs w:val="14"/>
          <w:color w:val="auto"/>
        </w:rPr>
        <w:t>ESAB Corporation (2022 – present)</w:t>
      </w:r>
    </w:p>
    <w:p>
      <w:pPr>
        <w:spacing w:after="0" w:line="172" w:lineRule="exact"/>
        <w:rPr>
          <w:sz w:val="20"/>
          <w:szCs w:val="20"/>
          <w:color w:val="auto"/>
        </w:rPr>
      </w:pPr>
    </w:p>
    <w:p>
      <w:pPr>
        <w:ind w:left="10" w:right="60"/>
        <w:spacing w:after="0" w:line="261" w:lineRule="auto"/>
        <w:rPr>
          <w:sz w:val="20"/>
          <w:szCs w:val="20"/>
          <w:color w:val="auto"/>
        </w:rPr>
      </w:pPr>
      <w:r>
        <w:rPr>
          <w:rFonts w:ascii="Arial" w:cs="Arial" w:eastAsia="Arial" w:hAnsi="Arial"/>
          <w:sz w:val="16"/>
          <w:szCs w:val="16"/>
          <w:b w:val="1"/>
          <w:bCs w:val="1"/>
          <w:color w:val="C8102E"/>
        </w:rPr>
        <w:t>Other Public Directorships in the Past Five Years</w:t>
      </w:r>
    </w:p>
    <w:p>
      <w:pPr>
        <w:spacing w:after="0" w:line="118" w:lineRule="exact"/>
        <w:rPr>
          <w:sz w:val="20"/>
          <w:szCs w:val="20"/>
          <w:color w:val="auto"/>
        </w:rPr>
      </w:pPr>
    </w:p>
    <w:p>
      <w:pPr>
        <w:ind w:left="130" w:hanging="130"/>
        <w:spacing w:after="0"/>
        <w:tabs>
          <w:tab w:leader="none" w:pos="130" w:val="left"/>
        </w:tabs>
        <w:numPr>
          <w:ilvl w:val="0"/>
          <w:numId w:val="58"/>
        </w:numPr>
        <w:rPr>
          <w:rFonts w:ascii="MS PGothic" w:cs="MS PGothic" w:eastAsia="MS PGothic" w:hAnsi="MS PGothic"/>
          <w:sz w:val="14"/>
          <w:szCs w:val="14"/>
          <w:color w:val="C8102E"/>
        </w:rPr>
      </w:pPr>
      <w:r>
        <w:rPr>
          <w:rFonts w:ascii="Arial" w:cs="Arial" w:eastAsia="Arial" w:hAnsi="Arial"/>
          <w:sz w:val="14"/>
          <w:szCs w:val="14"/>
          <w:color w:val="auto"/>
        </w:rPr>
        <w:t>None</w:t>
      </w:r>
    </w:p>
    <w:p>
      <w:pPr>
        <w:spacing w:after="0" w:line="172" w:lineRule="exact"/>
        <w:rPr>
          <w:sz w:val="20"/>
          <w:szCs w:val="20"/>
          <w:color w:val="auto"/>
        </w:rPr>
      </w:pPr>
    </w:p>
    <w:p>
      <w:pPr>
        <w:ind w:left="10" w:right="140"/>
        <w:spacing w:after="0" w:line="261" w:lineRule="auto"/>
        <w:rPr>
          <w:sz w:val="20"/>
          <w:szCs w:val="20"/>
          <w:color w:val="auto"/>
        </w:rPr>
      </w:pPr>
      <w:r>
        <w:rPr>
          <w:rFonts w:ascii="Arial" w:cs="Arial" w:eastAsia="Arial" w:hAnsi="Arial"/>
          <w:sz w:val="16"/>
          <w:szCs w:val="16"/>
          <w:b w:val="1"/>
          <w:bCs w:val="1"/>
          <w:color w:val="C8102E"/>
        </w:rPr>
        <w:t>Specific Qualifications, Experience, Skills and Expertise</w:t>
      </w:r>
    </w:p>
    <w:p>
      <w:pPr>
        <w:spacing w:after="0" w:line="104" w:lineRule="exact"/>
        <w:rPr>
          <w:sz w:val="20"/>
          <w:szCs w:val="20"/>
          <w:color w:val="auto"/>
        </w:rPr>
      </w:pPr>
    </w:p>
    <w:p>
      <w:pPr>
        <w:ind w:left="210" w:right="260" w:hanging="210"/>
        <w:spacing w:after="0" w:line="228" w:lineRule="auto"/>
        <w:tabs>
          <w:tab w:leader="none" w:pos="128" w:val="left"/>
        </w:tabs>
        <w:numPr>
          <w:ilvl w:val="0"/>
          <w:numId w:val="59"/>
        </w:numPr>
        <w:rPr>
          <w:rFonts w:ascii="MS PGothic" w:cs="MS PGothic" w:eastAsia="MS PGothic" w:hAnsi="MS PGothic"/>
          <w:sz w:val="14"/>
          <w:szCs w:val="14"/>
          <w:color w:val="C8102E"/>
        </w:rPr>
      </w:pPr>
      <w:r>
        <w:rPr>
          <w:rFonts w:ascii="Arial" w:cs="Arial" w:eastAsia="Arial" w:hAnsi="Arial"/>
          <w:sz w:val="14"/>
          <w:szCs w:val="14"/>
          <w:color w:val="auto"/>
        </w:rPr>
        <w:t>Senior leadership experience as a founder, president or chief executive officer of multiple organizations</w:t>
      </w:r>
    </w:p>
    <w:p>
      <w:pPr>
        <w:ind w:left="210" w:hanging="210"/>
        <w:spacing w:after="0" w:line="221" w:lineRule="auto"/>
        <w:tabs>
          <w:tab w:leader="none" w:pos="128" w:val="left"/>
        </w:tabs>
        <w:numPr>
          <w:ilvl w:val="0"/>
          <w:numId w:val="59"/>
        </w:numPr>
        <w:rPr>
          <w:rFonts w:ascii="MS PGothic" w:cs="MS PGothic" w:eastAsia="MS PGothic" w:hAnsi="MS PGothic"/>
          <w:sz w:val="14"/>
          <w:szCs w:val="14"/>
          <w:color w:val="C8102E"/>
        </w:rPr>
      </w:pPr>
      <w:r>
        <w:rPr>
          <w:rFonts w:ascii="Arial" w:cs="Arial" w:eastAsia="Arial" w:hAnsi="Arial"/>
          <w:sz w:val="14"/>
          <w:szCs w:val="14"/>
          <w:color w:val="auto"/>
        </w:rPr>
        <w:t>Extensive experience with leadership development, employee engagement and human capital management programs</w:t>
      </w:r>
    </w:p>
    <w:p>
      <w:pPr>
        <w:ind w:left="210" w:right="160" w:hanging="210"/>
        <w:spacing w:after="0" w:line="235" w:lineRule="auto"/>
        <w:tabs>
          <w:tab w:leader="none" w:pos="128" w:val="left"/>
        </w:tabs>
        <w:numPr>
          <w:ilvl w:val="0"/>
          <w:numId w:val="59"/>
        </w:numPr>
        <w:rPr>
          <w:rFonts w:ascii="MS PGothic" w:cs="MS PGothic" w:eastAsia="MS PGothic" w:hAnsi="MS PGothic"/>
          <w:sz w:val="14"/>
          <w:szCs w:val="14"/>
          <w:color w:val="C8102E"/>
        </w:rPr>
      </w:pPr>
      <w:r>
        <w:rPr>
          <w:rFonts w:ascii="Arial" w:cs="Arial" w:eastAsia="Arial" w:hAnsi="Arial"/>
          <w:sz w:val="14"/>
          <w:szCs w:val="14"/>
          <w:color w:val="auto"/>
        </w:rPr>
        <w:t>Familiarity and experience with EGX and the Company’s businesses and processes through Board and committee leadership roles</w:t>
      </w:r>
    </w:p>
    <w:p>
      <w:pPr>
        <w:spacing w:after="0" w:line="1744" w:lineRule="exact"/>
        <w:rPr>
          <w:sz w:val="20"/>
          <w:szCs w:val="20"/>
          <w:color w:val="auto"/>
        </w:rPr>
      </w:pPr>
    </w:p>
    <w:p>
      <w:pPr>
        <w:sectPr>
          <w:pgSz w:w="11900" w:h="16838" w:orient="portrait"/>
          <w:cols w:equalWidth="0" w:num="3">
            <w:col w:w="3150" w:space="720"/>
            <w:col w:w="3430" w:space="310"/>
            <w:col w:w="3350"/>
          </w:cols>
          <w:pgMar w:left="440" w:top="888" w:right="499" w:bottom="1440" w:gutter="0" w:footer="0" w:header="0"/>
        </w:sectPr>
      </w:pPr>
    </w:p>
    <w:p>
      <w:pPr>
        <w:spacing w:after="0"/>
        <w:rPr>
          <w:sz w:val="20"/>
          <w:szCs w:val="20"/>
          <w:color w:val="auto"/>
        </w:rPr>
      </w:pPr>
      <w:r>
        <w:rPr>
          <w:rFonts w:ascii="Arial" w:cs="Arial" w:eastAsia="Arial" w:hAnsi="Arial"/>
          <w:sz w:val="18"/>
          <w:szCs w:val="18"/>
          <w:color w:val="auto"/>
        </w:rPr>
        <w:t>The affirmative vote of the holders of a majority of the votes cast is required for election of each director.</w:t>
      </w:r>
    </w:p>
    <w:p>
      <w:pPr>
        <w:spacing w:after="0" w:line="119" w:lineRule="exact"/>
        <w:rPr>
          <w:sz w:val="20"/>
          <w:szCs w:val="20"/>
          <w:color w:val="auto"/>
        </w:rPr>
      </w:pPr>
    </w:p>
    <w:p>
      <w:pPr>
        <w:spacing w:after="0"/>
        <w:rPr>
          <w:sz w:val="20"/>
          <w:szCs w:val="20"/>
          <w:color w:val="auto"/>
        </w:rPr>
      </w:pPr>
      <w:r>
        <w:rPr>
          <w:rFonts w:ascii="Arial" w:cs="Arial" w:eastAsia="Arial" w:hAnsi="Arial"/>
          <w:sz w:val="32"/>
          <w:szCs w:val="32"/>
          <w:b w:val="1"/>
          <w:bCs w:val="1"/>
          <w:color w:val="C8102E"/>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3257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32575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Board unanimously recommends that stockholders vote </w:t>
      </w:r>
      <w:r>
        <w:rPr>
          <w:rFonts w:ascii="Arial" w:cs="Arial" w:eastAsia="Arial" w:hAnsi="Arial"/>
          <w:sz w:val="16"/>
          <w:szCs w:val="16"/>
          <w:b w:val="1"/>
          <w:bCs w:val="1"/>
          <w:color w:val="C8102E"/>
        </w:rPr>
        <w:t>FOR</w:t>
      </w:r>
      <w:r>
        <w:rPr>
          <w:rFonts w:ascii="Arial" w:cs="Arial" w:eastAsia="Arial" w:hAnsi="Arial"/>
          <w:sz w:val="16"/>
          <w:szCs w:val="16"/>
          <w:color w:val="auto"/>
        </w:rPr>
        <w:t xml:space="preserve"> the election of each of the nominees for director listed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6995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-118745</wp:posOffset>
            </wp:positionV>
            <wp:extent cx="762635" cy="3860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2635" cy="38608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69951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888" w:right="499" w:bottom="1440" w:gutter="0" w:footer="0" w:header="0"/>
          <w:type w:val="continuous"/>
        </w:sectPr>
      </w:pPr>
    </w:p>
    <w:bookmarkStart w:id="20" w:name="page21"/>
    <w:bookmarkEnd w:id="20"/>
    <w:p>
      <w:pPr>
        <w:ind w:left="664" w:hanging="664"/>
        <w:spacing w:after="0"/>
        <w:tabs>
          <w:tab w:leader="none" w:pos="664" w:val="left"/>
        </w:tabs>
        <w:numPr>
          <w:ilvl w:val="0"/>
          <w:numId w:val="60"/>
        </w:numPr>
        <w:rPr>
          <w:rFonts w:ascii="MS PGothic" w:cs="MS PGothic" w:eastAsia="MS PGothic" w:hAnsi="MS PGothic"/>
          <w:sz w:val="47"/>
          <w:szCs w:val="47"/>
          <w:color w:val="C8102E"/>
        </w:rPr>
      </w:pPr>
      <w:r>
        <w:rPr>
          <w:rFonts w:ascii="Arial" w:cs="Arial" w:eastAsia="Arial" w:hAnsi="Arial"/>
          <w:sz w:val="47"/>
          <w:szCs w:val="47"/>
          <w:color w:val="auto"/>
        </w:rPr>
        <w:t>CORPORATE GOVERNANCE</w:t>
      </w:r>
    </w:p>
    <w:p>
      <w:pPr>
        <w:spacing w:after="0" w:line="145" w:lineRule="exact"/>
        <w:rPr>
          <w:sz w:val="20"/>
          <w:szCs w:val="20"/>
          <w:color w:val="auto"/>
        </w:rPr>
      </w:pPr>
    </w:p>
    <w:p>
      <w:pPr>
        <w:ind w:left="4"/>
        <w:spacing w:after="0"/>
        <w:rPr>
          <w:sz w:val="20"/>
          <w:szCs w:val="20"/>
          <w:color w:val="auto"/>
        </w:rPr>
      </w:pPr>
      <w:r>
        <w:rPr>
          <w:rFonts w:ascii="Arial" w:cs="Arial" w:eastAsia="Arial" w:hAnsi="Arial"/>
          <w:sz w:val="32"/>
          <w:szCs w:val="32"/>
          <w:b w:val="1"/>
          <w:bCs w:val="1"/>
          <w:color w:val="C8102E"/>
        </w:rPr>
        <w:t>Director Independence</w:t>
      </w:r>
    </w:p>
    <w:p>
      <w:pPr>
        <w:spacing w:after="0" w:line="131" w:lineRule="exact"/>
        <w:rPr>
          <w:sz w:val="20"/>
          <w:szCs w:val="20"/>
          <w:color w:val="auto"/>
        </w:rPr>
      </w:pPr>
    </w:p>
    <w:p>
      <w:pPr>
        <w:jc w:val="both"/>
        <w:ind w:left="4"/>
        <w:spacing w:after="0" w:line="219" w:lineRule="auto"/>
        <w:rPr>
          <w:sz w:val="20"/>
          <w:szCs w:val="20"/>
          <w:color w:val="auto"/>
        </w:rPr>
      </w:pPr>
      <w:r>
        <w:rPr>
          <w:rFonts w:ascii="Arial" w:cs="Arial" w:eastAsia="Arial" w:hAnsi="Arial"/>
          <w:sz w:val="16"/>
          <w:szCs w:val="16"/>
          <w:color w:val="auto"/>
        </w:rPr>
        <w:t>Our Corporate Governance Guidelines require that a majority of our Board members be “independent” under the listing standards of the New York Stock Exchange (the “NYSE”). In addition, the respective charters of the Audit Committee, Compensation and Human Capital Management Committee and Nominating and Corporate Governance Committee require that each member of these committees be “independent” under the NYSE’s listing standards and, with respect to the Audit Committee, under the applicable heighted independence standards under the SEC rules. In order for a director to qualify as “independent,” our Board must affirmatively determine that the director has no material relationship with the Company (either directly or as a partner, shareholder or officer of an organization that has a relationship with the Company) that would impair the director’s independence. Our Board undertook its annual review of director independence in February 2026. The Board has determined that Ms. Bodem, Mr. Kelly, Ms. Lalor, Mr. Okala, Dr. Ortiz, Mr. Perfall, Mr. Vinnakota, and Ms. Wienbar, who serves as Chair of the Board, each qualify as “independent” under the NYSE’s listing standards.</w:t>
      </w:r>
    </w:p>
    <w:p>
      <w:pPr>
        <w:spacing w:after="0" w:line="115" w:lineRule="exact"/>
        <w:rPr>
          <w:sz w:val="20"/>
          <w:szCs w:val="20"/>
          <w:color w:val="auto"/>
        </w:rPr>
      </w:pPr>
    </w:p>
    <w:p>
      <w:pPr>
        <w:jc w:val="both"/>
        <w:ind w:left="4" w:right="20"/>
        <w:spacing w:after="0"/>
        <w:rPr>
          <w:sz w:val="20"/>
          <w:szCs w:val="20"/>
          <w:color w:val="auto"/>
        </w:rPr>
      </w:pPr>
      <w:r>
        <w:rPr>
          <w:rFonts w:ascii="Arial" w:cs="Arial" w:eastAsia="Arial" w:hAnsi="Arial"/>
          <w:sz w:val="16"/>
          <w:szCs w:val="16"/>
          <w:color w:val="auto"/>
        </w:rPr>
        <w:t>The independent members of our Board must hold at least two “executive session” meetings each year without the presence of management. In general, the meetings of independent directors are intended to be used as a forum to discuss such topics as they deem necessary or appropriate. If the Chair of the Board is not an independent director, the independent directors select a Lead Independent Director who serves as chairperson for each executive session.</w:t>
      </w:r>
    </w:p>
    <w:p>
      <w:pPr>
        <w:spacing w:after="0" w:line="255" w:lineRule="exact"/>
        <w:rPr>
          <w:sz w:val="20"/>
          <w:szCs w:val="20"/>
          <w:color w:val="auto"/>
        </w:rPr>
      </w:pPr>
    </w:p>
    <w:p>
      <w:pPr>
        <w:ind w:left="4"/>
        <w:spacing w:after="0"/>
        <w:rPr>
          <w:sz w:val="20"/>
          <w:szCs w:val="20"/>
          <w:color w:val="auto"/>
        </w:rPr>
      </w:pPr>
      <w:r>
        <w:rPr>
          <w:rFonts w:ascii="Arial" w:cs="Arial" w:eastAsia="Arial" w:hAnsi="Arial"/>
          <w:sz w:val="32"/>
          <w:szCs w:val="32"/>
          <w:b w:val="1"/>
          <w:bCs w:val="1"/>
          <w:color w:val="C8102E"/>
        </w:rPr>
        <w:t>Board of Directors and its Committees</w:t>
      </w:r>
    </w:p>
    <w:p>
      <w:pPr>
        <w:spacing w:after="0" w:line="148" w:lineRule="exact"/>
        <w:rPr>
          <w:sz w:val="20"/>
          <w:szCs w:val="20"/>
          <w:color w:val="auto"/>
        </w:rPr>
      </w:pPr>
    </w:p>
    <w:p>
      <w:pPr>
        <w:jc w:val="both"/>
        <w:ind w:left="4" w:right="20"/>
        <w:spacing w:after="0" w:line="225" w:lineRule="auto"/>
        <w:rPr>
          <w:sz w:val="20"/>
          <w:szCs w:val="20"/>
          <w:color w:val="auto"/>
        </w:rPr>
      </w:pPr>
      <w:r>
        <w:rPr>
          <w:rFonts w:ascii="Arial" w:cs="Arial" w:eastAsia="Arial" w:hAnsi="Arial"/>
          <w:sz w:val="16"/>
          <w:szCs w:val="16"/>
          <w:color w:val="auto"/>
        </w:rPr>
        <w:t>The Board and its committees meet regularly throughout the year and may also hold special meetings and act by written consent from time to time. The Board held a total of five meetings during the year ended December 31, 2025. During 2025, each of our directors attended at least 75% of the aggregate Board meetings and meetings of the committees of the Board on which such directors served (during the periods that he or she served). Our Corporate Governance Guidelines request Board members to make every effort to attend our annual meeting of stockholders. All of our directors attended our annual meeting of stockholders in 2025.</w:t>
      </w:r>
    </w:p>
    <w:p>
      <w:pPr>
        <w:spacing w:after="0" w:line="151" w:lineRule="exact"/>
        <w:rPr>
          <w:sz w:val="20"/>
          <w:szCs w:val="20"/>
          <w:color w:val="auto"/>
        </w:rPr>
      </w:pPr>
    </w:p>
    <w:p>
      <w:pPr>
        <w:jc w:val="right"/>
        <w:spacing w:after="0"/>
        <w:tabs>
          <w:tab w:leader="none" w:pos="180" w:val="left"/>
        </w:tabs>
        <w:rPr>
          <w:sz w:val="20"/>
          <w:szCs w:val="20"/>
          <w:color w:val="auto"/>
        </w:rPr>
      </w:pPr>
      <w:r>
        <w:rPr>
          <w:sz w:val="1"/>
          <w:szCs w:val="1"/>
          <w:color w:val="auto"/>
        </w:rPr>
        <w:drawing>
          <wp:inline distT="0" distB="0" distL="0" distR="0">
            <wp:extent cx="685800" cy="16256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0" cy="162560"/>
                    </a:xfrm>
                    <a:prstGeom prst="rect">
                      <a:avLst/>
                    </a:prstGeom>
                    <a:noFill/>
                    <a:ln>
                      <a:noFill/>
                    </a:ln>
                  </pic:spPr>
                </pic:pic>
              </a:graphicData>
            </a:graphic>
          </wp:inline>
        </w:drawing>
      </w:r>
      <w:r>
        <w:rPr>
          <w:rFonts w:ascii="Arial" w:cs="Arial" w:eastAsia="Arial" w:hAnsi="Arial"/>
          <w:sz w:val="18"/>
          <w:szCs w:val="18"/>
          <w:color w:val="auto"/>
        </w:rPr>
        <w:t xml:space="preserve"> - 2026 Proxy Statement</w:t>
      </w:r>
      <w:r>
        <w:rPr>
          <w:sz w:val="20"/>
          <w:szCs w:val="20"/>
          <w:color w:val="auto"/>
        </w:rPr>
        <w:tab/>
      </w: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-186690</wp:posOffset>
            </wp:positionV>
            <wp:extent cx="6995160" cy="3257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325755"/>
                    </a:xfrm>
                    <a:prstGeom prst="rect">
                      <a:avLst/>
                    </a:prstGeom>
                    <a:noFill/>
                  </pic:spPr>
                </pic:pic>
              </a:graphicData>
            </a:graphic>
          </wp:anchor>
        </w:drawing>
      </w:r>
    </w:p>
    <w:p>
      <w:pPr>
        <w:sectPr>
          <w:pgSz w:w="11900" w:h="16838" w:orient="portrait"/>
          <w:cols w:equalWidth="0" w:num="1">
            <w:col w:w="11024"/>
          </w:cols>
          <w:pgMar w:left="436" w:top="629" w:right="439" w:bottom="1440" w:gutter="0" w:footer="0" w:header="0"/>
        </w:sectPr>
      </w:pPr>
    </w:p>
    <w:bookmarkStart w:id="21" w:name="page22"/>
    <w:bookmarkEnd w:id="21"/>
    <w:p>
      <w:pPr>
        <w:jc w:val="both"/>
        <w:ind w:left="4"/>
        <w:spacing w:after="0" w:line="222" w:lineRule="auto"/>
        <w:rPr>
          <w:sz w:val="20"/>
          <w:szCs w:val="20"/>
          <w:color w:val="auto"/>
        </w:rPr>
      </w:pPr>
      <w:r>
        <w:rPr>
          <w:rFonts w:ascii="Arial" w:cs="Arial" w:eastAsia="Arial" w:hAnsi="Arial"/>
          <w:sz w:val="16"/>
          <w:szCs w:val="16"/>
          <w:color w:val="auto"/>
        </w:rPr>
        <w:t>The Board has a standing Audit Committee, Nominating and Corporate Governance Committee, and Compensation and Human Capital Management Committee (the “CHCM Committee”). The charters for the standing committees are available on the Company’s website at www.enovis.com on the Investors page under the Corporate Governance tab. These materials also are available in print to any stockholder upon request to: Corporate Secretary, Enovis Corporation, 2711 Centerville Road, Suite 400, Wilmington, DE 19808. The Board committees review their respective charters on an annual basis. The Nominating and Corporate Governance Committee oversees an annual evaluation of the Board and each committee’s operations and performance, as described in greater detail below.</w:t>
      </w:r>
    </w:p>
    <w:p>
      <w:pPr>
        <w:spacing w:after="0" w:line="105" w:lineRule="exact"/>
        <w:rPr>
          <w:sz w:val="20"/>
          <w:szCs w:val="20"/>
          <w:color w:val="auto"/>
        </w:rPr>
      </w:pPr>
    </w:p>
    <w:tbl>
      <w:tblPr>
        <w:tblLayout w:type="fixed"/>
        <w:tblInd w:w="4" w:type="dxa"/>
        <w:tblCellMar>
          <w:top w:w="0" w:type="dxa"/>
          <w:left w:w="0" w:type="dxa"/>
          <w:bottom w:w="0" w:type="dxa"/>
          <w:right w:w="0" w:type="dxa"/>
        </w:tblCellMar>
      </w:tblPr>
      <w:tr>
        <w:trPr>
          <w:trHeight w:val="184"/>
        </w:trPr>
        <w:tc>
          <w:tcPr>
            <w:tcW w:w="2440" w:type="dxa"/>
            <w:vAlign w:val="bottom"/>
            <w:vMerge w:val="restart"/>
          </w:tcPr>
          <w:p>
            <w:pPr>
              <w:spacing w:after="0"/>
              <w:rPr>
                <w:sz w:val="20"/>
                <w:szCs w:val="20"/>
                <w:color w:val="auto"/>
              </w:rPr>
            </w:pPr>
            <w:r>
              <w:rPr>
                <w:rFonts w:ascii="Arial" w:cs="Arial" w:eastAsia="Arial" w:hAnsi="Arial"/>
                <w:sz w:val="16"/>
                <w:szCs w:val="16"/>
                <w:b w:val="1"/>
                <w:bCs w:val="1"/>
                <w:color w:val="C8102E"/>
              </w:rPr>
              <w:t>  Name</w:t>
            </w:r>
          </w:p>
        </w:tc>
        <w:tc>
          <w:tcPr>
            <w:tcW w:w="2260" w:type="dxa"/>
            <w:vAlign w:val="bottom"/>
          </w:tcPr>
          <w:p>
            <w:pPr>
              <w:jc w:val="center"/>
              <w:ind w:left="519"/>
              <w:spacing w:after="0"/>
              <w:rPr>
                <w:sz w:val="20"/>
                <w:szCs w:val="20"/>
                <w:color w:val="auto"/>
              </w:rPr>
            </w:pPr>
            <w:r>
              <w:rPr>
                <w:rFonts w:ascii="Arial" w:cs="Arial" w:eastAsia="Arial" w:hAnsi="Arial"/>
                <w:sz w:val="16"/>
                <w:szCs w:val="16"/>
                <w:b w:val="1"/>
                <w:bCs w:val="1"/>
                <w:color w:val="C8102E"/>
              </w:rPr>
              <w:t>Audit</w:t>
            </w:r>
          </w:p>
        </w:tc>
        <w:tc>
          <w:tcPr>
            <w:tcW w:w="2900" w:type="dxa"/>
            <w:vAlign w:val="bottom"/>
          </w:tcPr>
          <w:p>
            <w:pPr>
              <w:jc w:val="center"/>
              <w:spacing w:after="0"/>
              <w:rPr>
                <w:sz w:val="20"/>
                <w:szCs w:val="20"/>
                <w:color w:val="auto"/>
              </w:rPr>
            </w:pPr>
            <w:r>
              <w:rPr>
                <w:rFonts w:ascii="Arial" w:cs="Arial" w:eastAsia="Arial" w:hAnsi="Arial"/>
                <w:sz w:val="16"/>
                <w:szCs w:val="16"/>
                <w:b w:val="1"/>
                <w:bCs w:val="1"/>
                <w:color w:val="C8102E"/>
              </w:rPr>
              <w:t>Nominating and Corporate</w:t>
            </w:r>
          </w:p>
        </w:tc>
        <w:tc>
          <w:tcPr>
            <w:tcW w:w="3420" w:type="dxa"/>
            <w:vAlign w:val="bottom"/>
          </w:tcPr>
          <w:p>
            <w:pPr>
              <w:jc w:val="center"/>
              <w:ind w:left="19"/>
              <w:spacing w:after="0"/>
              <w:rPr>
                <w:sz w:val="20"/>
                <w:szCs w:val="20"/>
                <w:color w:val="auto"/>
              </w:rPr>
            </w:pPr>
            <w:r>
              <w:rPr>
                <w:rFonts w:ascii="Arial" w:cs="Arial" w:eastAsia="Arial" w:hAnsi="Arial"/>
                <w:sz w:val="16"/>
                <w:szCs w:val="16"/>
                <w:b w:val="1"/>
                <w:bCs w:val="1"/>
                <w:color w:val="C8102E"/>
              </w:rPr>
              <w:t>Compensation and Human Capital</w:t>
            </w:r>
          </w:p>
        </w:tc>
        <w:tc>
          <w:tcPr>
            <w:tcW w:w="0" w:type="dxa"/>
            <w:vAlign w:val="bottom"/>
          </w:tcPr>
          <w:p>
            <w:pPr>
              <w:spacing w:after="0"/>
              <w:rPr>
                <w:sz w:val="1"/>
                <w:szCs w:val="1"/>
                <w:color w:val="auto"/>
              </w:rPr>
            </w:pPr>
          </w:p>
        </w:tc>
      </w:tr>
      <w:tr>
        <w:trPr>
          <w:trHeight w:val="189"/>
        </w:trPr>
        <w:tc>
          <w:tcPr>
            <w:tcW w:w="2440" w:type="dxa"/>
            <w:vAlign w:val="bottom"/>
            <w:tcBorders>
              <w:bottom w:val="single" w:sz="8" w:color="auto"/>
            </w:tcBorders>
            <w:vMerge w:val="continue"/>
          </w:tcPr>
          <w:p>
            <w:pPr>
              <w:spacing w:after="0"/>
              <w:rPr>
                <w:sz w:val="16"/>
                <w:szCs w:val="16"/>
                <w:color w:val="auto"/>
              </w:rPr>
            </w:pPr>
          </w:p>
        </w:tc>
        <w:tc>
          <w:tcPr>
            <w:tcW w:w="2260" w:type="dxa"/>
            <w:vAlign w:val="bottom"/>
            <w:tcBorders>
              <w:bottom w:val="single" w:sz="8" w:color="auto"/>
            </w:tcBorders>
          </w:tcPr>
          <w:p>
            <w:pPr>
              <w:jc w:val="center"/>
              <w:ind w:left="519"/>
              <w:spacing w:after="0"/>
              <w:rPr>
                <w:sz w:val="20"/>
                <w:szCs w:val="20"/>
                <w:color w:val="auto"/>
              </w:rPr>
            </w:pPr>
            <w:r>
              <w:rPr>
                <w:rFonts w:ascii="Arial" w:cs="Arial" w:eastAsia="Arial" w:hAnsi="Arial"/>
                <w:sz w:val="16"/>
                <w:szCs w:val="16"/>
                <w:b w:val="1"/>
                <w:bCs w:val="1"/>
                <w:color w:val="C8102E"/>
                <w:w w:val="99"/>
              </w:rPr>
              <w:t>Committee</w:t>
            </w:r>
          </w:p>
        </w:tc>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C8102E"/>
              </w:rPr>
              <w:t>Governance Committee</w:t>
            </w:r>
          </w:p>
        </w:tc>
        <w:tc>
          <w:tcPr>
            <w:tcW w:w="342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C8102E"/>
              </w:rPr>
              <w:t>Management Committee</w:t>
            </w:r>
          </w:p>
        </w:tc>
        <w:tc>
          <w:tcPr>
            <w:tcW w:w="0" w:type="dxa"/>
            <w:vAlign w:val="bottom"/>
          </w:tcPr>
          <w:p>
            <w:pPr>
              <w:spacing w:after="0"/>
              <w:rPr>
                <w:sz w:val="1"/>
                <w:szCs w:val="1"/>
                <w:color w:val="auto"/>
              </w:rPr>
            </w:pPr>
          </w:p>
        </w:tc>
      </w:tr>
      <w:tr>
        <w:trPr>
          <w:trHeight w:val="237"/>
        </w:trPr>
        <w:tc>
          <w:tcPr>
            <w:tcW w:w="2440" w:type="dxa"/>
            <w:vAlign w:val="bottom"/>
            <w:shd w:val="clear" w:color="auto" w:fill="EDEDEE"/>
          </w:tcPr>
          <w:p>
            <w:pPr>
              <w:spacing w:after="0"/>
              <w:rPr>
                <w:sz w:val="20"/>
                <w:szCs w:val="20"/>
                <w:color w:val="auto"/>
              </w:rPr>
            </w:pPr>
            <w:r>
              <w:rPr>
                <w:rFonts w:ascii="Arial" w:cs="Arial" w:eastAsia="Arial" w:hAnsi="Arial"/>
                <w:sz w:val="16"/>
                <w:szCs w:val="16"/>
                <w:color w:val="auto"/>
              </w:rPr>
              <w:t>  Damien McDonald</w:t>
            </w:r>
          </w:p>
        </w:tc>
        <w:tc>
          <w:tcPr>
            <w:tcW w:w="2260" w:type="dxa"/>
            <w:vAlign w:val="bottom"/>
            <w:shd w:val="clear" w:color="auto" w:fill="EDEDEE"/>
          </w:tcPr>
          <w:p>
            <w:pPr>
              <w:spacing w:after="0"/>
              <w:rPr>
                <w:sz w:val="20"/>
                <w:szCs w:val="20"/>
                <w:color w:val="auto"/>
              </w:rPr>
            </w:pPr>
          </w:p>
        </w:tc>
        <w:tc>
          <w:tcPr>
            <w:tcW w:w="2900" w:type="dxa"/>
            <w:vAlign w:val="bottom"/>
            <w:shd w:val="clear" w:color="auto" w:fill="EDEDEE"/>
          </w:tcPr>
          <w:p>
            <w:pPr>
              <w:spacing w:after="0"/>
              <w:rPr>
                <w:sz w:val="20"/>
                <w:szCs w:val="20"/>
                <w:color w:val="auto"/>
              </w:rPr>
            </w:pPr>
          </w:p>
        </w:tc>
        <w:tc>
          <w:tcPr>
            <w:tcW w:w="3420" w:type="dxa"/>
            <w:vAlign w:val="bottom"/>
            <w:shd w:val="clear" w:color="auto" w:fill="EDEDE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440" w:type="dxa"/>
            <w:vAlign w:val="bottom"/>
          </w:tcPr>
          <w:p>
            <w:pPr>
              <w:spacing w:after="0"/>
              <w:rPr>
                <w:sz w:val="20"/>
                <w:szCs w:val="20"/>
                <w:color w:val="auto"/>
              </w:rPr>
            </w:pPr>
            <w:r>
              <w:rPr>
                <w:rFonts w:ascii="Arial" w:cs="Arial" w:eastAsia="Arial" w:hAnsi="Arial"/>
                <w:sz w:val="16"/>
                <w:szCs w:val="16"/>
                <w:color w:val="auto"/>
              </w:rPr>
              <w:t>  Barbara W. Bodem</w:t>
            </w:r>
          </w:p>
        </w:tc>
        <w:tc>
          <w:tcPr>
            <w:tcW w:w="2260" w:type="dxa"/>
            <w:vAlign w:val="bottom"/>
          </w:tcPr>
          <w:p>
            <w:pPr>
              <w:jc w:val="center"/>
              <w:ind w:left="519"/>
              <w:spacing w:after="0"/>
              <w:rPr>
                <w:sz w:val="20"/>
                <w:szCs w:val="20"/>
                <w:color w:val="auto"/>
              </w:rPr>
            </w:pPr>
            <w:r>
              <w:rPr>
                <w:rFonts w:ascii="Wingdings" w:cs="Wingdings" w:eastAsia="Wingdings" w:hAnsi="Wingdings"/>
                <w:sz w:val="16"/>
                <w:szCs w:val="16"/>
                <w:b w:val="1"/>
                <w:bCs w:val="1"/>
                <w:color w:val="auto"/>
                <w:shd w:val="clear" w:color="auto" w:fill="C8102E"/>
              </w:rPr>
              <w:t>ü</w:t>
            </w:r>
          </w:p>
        </w:tc>
        <w:tc>
          <w:tcPr>
            <w:tcW w:w="290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40" w:type="dxa"/>
            <w:vAlign w:val="bottom"/>
            <w:shd w:val="clear" w:color="auto" w:fill="EDEDEE"/>
          </w:tcPr>
          <w:p>
            <w:pPr>
              <w:spacing w:after="0"/>
              <w:rPr>
                <w:sz w:val="20"/>
                <w:szCs w:val="20"/>
                <w:color w:val="auto"/>
              </w:rPr>
            </w:pPr>
            <w:r>
              <w:rPr>
                <w:rFonts w:ascii="Arial" w:cs="Arial" w:eastAsia="Arial" w:hAnsi="Arial"/>
                <w:sz w:val="16"/>
                <w:szCs w:val="16"/>
                <w:color w:val="auto"/>
              </w:rPr>
              <w:t>  Liam J. Kelly</w:t>
            </w:r>
          </w:p>
        </w:tc>
        <w:tc>
          <w:tcPr>
            <w:tcW w:w="2260" w:type="dxa"/>
            <w:vAlign w:val="bottom"/>
            <w:shd w:val="clear" w:color="auto" w:fill="EDEDEE"/>
          </w:tcPr>
          <w:p>
            <w:pPr>
              <w:spacing w:after="0"/>
              <w:rPr>
                <w:sz w:val="21"/>
                <w:szCs w:val="21"/>
                <w:color w:val="auto"/>
              </w:rPr>
            </w:pPr>
          </w:p>
        </w:tc>
        <w:tc>
          <w:tcPr>
            <w:tcW w:w="2900" w:type="dxa"/>
            <w:vAlign w:val="bottom"/>
            <w:shd w:val="clear" w:color="auto" w:fill="EDEDEE"/>
          </w:tcPr>
          <w:p>
            <w:pPr>
              <w:jc w:val="center"/>
              <w:spacing w:after="0"/>
              <w:rPr>
                <w:sz w:val="20"/>
                <w:szCs w:val="20"/>
                <w:color w:val="auto"/>
              </w:rPr>
            </w:pPr>
            <w:r>
              <w:rPr>
                <w:rFonts w:ascii="Wingdings" w:cs="Wingdings" w:eastAsia="Wingdings" w:hAnsi="Wingdings"/>
                <w:sz w:val="16"/>
                <w:szCs w:val="16"/>
                <w:b w:val="1"/>
                <w:bCs w:val="1"/>
                <w:color w:val="auto"/>
                <w:shd w:val="clear" w:color="auto" w:fill="C8102E"/>
              </w:rPr>
              <w:t>ü</w:t>
            </w:r>
          </w:p>
        </w:tc>
        <w:tc>
          <w:tcPr>
            <w:tcW w:w="3420" w:type="dxa"/>
            <w:vAlign w:val="bottom"/>
            <w:shd w:val="clear" w:color="auto" w:fill="EDEDE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40" w:type="dxa"/>
            <w:vAlign w:val="bottom"/>
          </w:tcPr>
          <w:p>
            <w:pPr>
              <w:spacing w:after="0"/>
              <w:rPr>
                <w:sz w:val="20"/>
                <w:szCs w:val="20"/>
                <w:color w:val="auto"/>
              </w:rPr>
            </w:pPr>
            <w:r>
              <w:rPr>
                <w:rFonts w:ascii="Arial" w:cs="Arial" w:eastAsia="Arial" w:hAnsi="Arial"/>
                <w:sz w:val="16"/>
                <w:szCs w:val="16"/>
                <w:color w:val="auto"/>
              </w:rPr>
              <w:t>  Angela S. Lalor</w:t>
            </w:r>
          </w:p>
        </w:tc>
        <w:tc>
          <w:tcPr>
            <w:tcW w:w="226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40" w:type="dxa"/>
            <w:vAlign w:val="bottom"/>
            <w:shd w:val="clear" w:color="auto" w:fill="EDEDEE"/>
          </w:tcPr>
          <w:p>
            <w:pPr>
              <w:spacing w:after="0"/>
              <w:rPr>
                <w:sz w:val="20"/>
                <w:szCs w:val="20"/>
                <w:color w:val="auto"/>
              </w:rPr>
            </w:pPr>
            <w:r>
              <w:rPr>
                <w:rFonts w:ascii="Arial" w:cs="Arial" w:eastAsia="Arial" w:hAnsi="Arial"/>
                <w:sz w:val="16"/>
                <w:szCs w:val="16"/>
                <w:color w:val="auto"/>
              </w:rPr>
              <w:t>  Philip A. Okala</w:t>
            </w:r>
          </w:p>
        </w:tc>
        <w:tc>
          <w:tcPr>
            <w:tcW w:w="2260" w:type="dxa"/>
            <w:vAlign w:val="bottom"/>
            <w:shd w:val="clear" w:color="auto" w:fill="EDEDEE"/>
          </w:tcPr>
          <w:p>
            <w:pPr>
              <w:jc w:val="center"/>
              <w:ind w:left="519"/>
              <w:spacing w:after="0"/>
              <w:rPr>
                <w:sz w:val="20"/>
                <w:szCs w:val="20"/>
                <w:color w:val="auto"/>
              </w:rPr>
            </w:pPr>
            <w:r>
              <w:rPr>
                <w:rFonts w:ascii="Wingdings" w:cs="Wingdings" w:eastAsia="Wingdings" w:hAnsi="Wingdings"/>
                <w:sz w:val="16"/>
                <w:szCs w:val="16"/>
                <w:b w:val="1"/>
                <w:bCs w:val="1"/>
                <w:color w:val="auto"/>
                <w:shd w:val="clear" w:color="auto" w:fill="C8102E"/>
              </w:rPr>
              <w:t>ü</w:t>
            </w:r>
          </w:p>
        </w:tc>
        <w:tc>
          <w:tcPr>
            <w:tcW w:w="2900" w:type="dxa"/>
            <w:vAlign w:val="bottom"/>
            <w:shd w:val="clear" w:color="auto" w:fill="EDEDEE"/>
          </w:tcPr>
          <w:p>
            <w:pPr>
              <w:spacing w:after="0"/>
              <w:rPr>
                <w:sz w:val="21"/>
                <w:szCs w:val="21"/>
                <w:color w:val="auto"/>
              </w:rPr>
            </w:pPr>
          </w:p>
        </w:tc>
        <w:tc>
          <w:tcPr>
            <w:tcW w:w="3420" w:type="dxa"/>
            <w:vAlign w:val="bottom"/>
            <w:shd w:val="clear" w:color="auto" w:fill="EDEDE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40" w:type="dxa"/>
            <w:vAlign w:val="bottom"/>
          </w:tcPr>
          <w:p>
            <w:pPr>
              <w:spacing w:after="0"/>
              <w:rPr>
                <w:sz w:val="20"/>
                <w:szCs w:val="20"/>
                <w:color w:val="auto"/>
              </w:rPr>
            </w:pPr>
            <w:r>
              <w:rPr>
                <w:rFonts w:ascii="Arial" w:cs="Arial" w:eastAsia="Arial" w:hAnsi="Arial"/>
                <w:sz w:val="16"/>
                <w:szCs w:val="16"/>
                <w:color w:val="auto"/>
              </w:rPr>
              <w:t>  Christine Ortiz</w:t>
            </w:r>
          </w:p>
        </w:tc>
        <w:tc>
          <w:tcPr>
            <w:tcW w:w="2260" w:type="dxa"/>
            <w:vAlign w:val="bottom"/>
          </w:tcPr>
          <w:p>
            <w:pPr>
              <w:spacing w:after="0"/>
              <w:rPr>
                <w:sz w:val="21"/>
                <w:szCs w:val="21"/>
                <w:color w:val="auto"/>
              </w:rPr>
            </w:pPr>
          </w:p>
        </w:tc>
        <w:tc>
          <w:tcPr>
            <w:tcW w:w="2900" w:type="dxa"/>
            <w:vAlign w:val="bottom"/>
          </w:tcPr>
          <w:p>
            <w:pPr>
              <w:jc w:val="center"/>
              <w:spacing w:after="0"/>
              <w:rPr>
                <w:sz w:val="20"/>
                <w:szCs w:val="20"/>
                <w:color w:val="auto"/>
              </w:rPr>
            </w:pPr>
            <w:r>
              <w:rPr>
                <w:rFonts w:ascii="Wingdings" w:cs="Wingdings" w:eastAsia="Wingdings" w:hAnsi="Wingdings"/>
                <w:sz w:val="16"/>
                <w:szCs w:val="16"/>
                <w:b w:val="1"/>
                <w:bCs w:val="1"/>
                <w:color w:val="auto"/>
                <w:shd w:val="clear" w:color="auto" w:fill="C8102E"/>
              </w:rPr>
              <w:t>ü</w:t>
            </w:r>
          </w:p>
        </w:tc>
        <w:tc>
          <w:tcPr>
            <w:tcW w:w="3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40" w:type="dxa"/>
            <w:vAlign w:val="bottom"/>
            <w:shd w:val="clear" w:color="auto" w:fill="EDEDEE"/>
          </w:tcPr>
          <w:p>
            <w:pPr>
              <w:spacing w:after="0"/>
              <w:rPr>
                <w:sz w:val="20"/>
                <w:szCs w:val="20"/>
                <w:color w:val="auto"/>
              </w:rPr>
            </w:pPr>
            <w:r>
              <w:rPr>
                <w:rFonts w:ascii="Arial" w:cs="Arial" w:eastAsia="Arial" w:hAnsi="Arial"/>
                <w:sz w:val="16"/>
                <w:szCs w:val="16"/>
                <w:color w:val="auto"/>
              </w:rPr>
              <w:t>  A. Clayton Perfall</w:t>
            </w:r>
          </w:p>
        </w:tc>
        <w:tc>
          <w:tcPr>
            <w:tcW w:w="2260" w:type="dxa"/>
            <w:vAlign w:val="bottom"/>
            <w:shd w:val="clear" w:color="auto" w:fill="EDEDEE"/>
          </w:tcPr>
          <w:p>
            <w:pPr>
              <w:spacing w:after="0"/>
              <w:rPr>
                <w:sz w:val="21"/>
                <w:szCs w:val="21"/>
                <w:color w:val="auto"/>
              </w:rPr>
            </w:pPr>
          </w:p>
        </w:tc>
        <w:tc>
          <w:tcPr>
            <w:tcW w:w="2900" w:type="dxa"/>
            <w:vAlign w:val="bottom"/>
            <w:shd w:val="clear" w:color="auto" w:fill="EDEDEE"/>
          </w:tcPr>
          <w:p>
            <w:pPr>
              <w:spacing w:after="0"/>
              <w:rPr>
                <w:sz w:val="21"/>
                <w:szCs w:val="21"/>
                <w:color w:val="auto"/>
              </w:rPr>
            </w:pPr>
          </w:p>
        </w:tc>
        <w:tc>
          <w:tcPr>
            <w:tcW w:w="3420" w:type="dxa"/>
            <w:vAlign w:val="bottom"/>
            <w:shd w:val="clear" w:color="auto" w:fill="EDEDE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40" w:type="dxa"/>
            <w:vAlign w:val="bottom"/>
          </w:tcPr>
          <w:p>
            <w:pPr>
              <w:spacing w:after="0"/>
              <w:rPr>
                <w:sz w:val="20"/>
                <w:szCs w:val="20"/>
                <w:color w:val="auto"/>
              </w:rPr>
            </w:pPr>
            <w:r>
              <w:rPr>
                <w:rFonts w:ascii="Arial" w:cs="Arial" w:eastAsia="Arial" w:hAnsi="Arial"/>
                <w:sz w:val="16"/>
                <w:szCs w:val="16"/>
                <w:color w:val="auto"/>
              </w:rPr>
              <w:t>  Brady R. Shirley</w:t>
            </w:r>
          </w:p>
        </w:tc>
        <w:tc>
          <w:tcPr>
            <w:tcW w:w="226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40" w:type="dxa"/>
            <w:vAlign w:val="bottom"/>
            <w:shd w:val="clear" w:color="auto" w:fill="EDEDEE"/>
          </w:tcPr>
          <w:p>
            <w:pPr>
              <w:spacing w:after="0"/>
              <w:rPr>
                <w:sz w:val="20"/>
                <w:szCs w:val="20"/>
                <w:color w:val="auto"/>
              </w:rPr>
            </w:pPr>
            <w:r>
              <w:rPr>
                <w:rFonts w:ascii="Arial" w:cs="Arial" w:eastAsia="Arial" w:hAnsi="Arial"/>
                <w:sz w:val="16"/>
                <w:szCs w:val="16"/>
                <w:color w:val="auto"/>
              </w:rPr>
              <w:t>  Rajiv Vinnakota</w:t>
            </w:r>
          </w:p>
        </w:tc>
        <w:tc>
          <w:tcPr>
            <w:tcW w:w="2260" w:type="dxa"/>
            <w:vAlign w:val="bottom"/>
            <w:shd w:val="clear" w:color="auto" w:fill="EDEDEE"/>
          </w:tcPr>
          <w:p>
            <w:pPr>
              <w:spacing w:after="0"/>
              <w:rPr>
                <w:sz w:val="21"/>
                <w:szCs w:val="21"/>
                <w:color w:val="auto"/>
              </w:rPr>
            </w:pPr>
          </w:p>
        </w:tc>
        <w:tc>
          <w:tcPr>
            <w:tcW w:w="2900" w:type="dxa"/>
            <w:vAlign w:val="bottom"/>
            <w:shd w:val="clear" w:color="auto" w:fill="EDEDEE"/>
          </w:tcPr>
          <w:p>
            <w:pPr>
              <w:spacing w:after="0"/>
              <w:rPr>
                <w:sz w:val="21"/>
                <w:szCs w:val="21"/>
                <w:color w:val="auto"/>
              </w:rPr>
            </w:pPr>
          </w:p>
        </w:tc>
        <w:tc>
          <w:tcPr>
            <w:tcW w:w="3420" w:type="dxa"/>
            <w:vAlign w:val="bottom"/>
            <w:shd w:val="clear" w:color="auto" w:fill="EDEDEE"/>
          </w:tcPr>
          <w:p>
            <w:pPr>
              <w:jc w:val="center"/>
              <w:ind w:left="19"/>
              <w:spacing w:after="0"/>
              <w:rPr>
                <w:sz w:val="20"/>
                <w:szCs w:val="20"/>
                <w:color w:val="auto"/>
              </w:rPr>
            </w:pPr>
            <w:r>
              <w:rPr>
                <w:rFonts w:ascii="Wingdings" w:cs="Wingdings" w:eastAsia="Wingdings" w:hAnsi="Wingdings"/>
                <w:sz w:val="16"/>
                <w:szCs w:val="16"/>
                <w:b w:val="1"/>
                <w:bCs w:val="1"/>
                <w:color w:val="auto"/>
                <w:shd w:val="clear" w:color="auto" w:fill="C8102E"/>
              </w:rPr>
              <w:t>ü</w:t>
            </w:r>
          </w:p>
        </w:tc>
        <w:tc>
          <w:tcPr>
            <w:tcW w:w="0" w:type="dxa"/>
            <w:vAlign w:val="bottom"/>
          </w:tcPr>
          <w:p>
            <w:pPr>
              <w:spacing w:after="0"/>
              <w:rPr>
                <w:sz w:val="1"/>
                <w:szCs w:val="1"/>
                <w:color w:val="auto"/>
              </w:rPr>
            </w:pPr>
          </w:p>
        </w:tc>
      </w:tr>
      <w:tr>
        <w:trPr>
          <w:trHeight w:val="162"/>
        </w:trPr>
        <w:tc>
          <w:tcPr>
            <w:tcW w:w="2440" w:type="dxa"/>
            <w:vAlign w:val="bottom"/>
            <w:tcBorders>
              <w:bottom w:val="single" w:sz="8" w:color="auto"/>
            </w:tcBorders>
          </w:tcPr>
          <w:p>
            <w:pPr>
              <w:spacing w:after="0" w:line="162" w:lineRule="exact"/>
              <w:rPr>
                <w:sz w:val="20"/>
                <w:szCs w:val="20"/>
                <w:color w:val="auto"/>
              </w:rPr>
            </w:pPr>
            <w:r>
              <w:rPr>
                <w:rFonts w:ascii="Arial" w:cs="Arial" w:eastAsia="Arial" w:hAnsi="Arial"/>
                <w:sz w:val="16"/>
                <w:szCs w:val="16"/>
                <w:color w:val="auto"/>
              </w:rPr>
              <w:t>  Sharon Wienbar</w:t>
            </w:r>
            <w:r>
              <w:rPr>
                <w:rFonts w:ascii="Arial" w:cs="Arial" w:eastAsia="Arial" w:hAnsi="Arial"/>
                <w:sz w:val="16"/>
                <w:szCs w:val="16"/>
                <w:color w:val="C80E2D"/>
              </w:rPr>
              <w:t>*</w:t>
            </w:r>
          </w:p>
        </w:tc>
        <w:tc>
          <w:tcPr>
            <w:tcW w:w="226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tcPr>
          <w:p>
            <w:pPr>
              <w:jc w:val="center"/>
              <w:ind w:left="19"/>
              <w:spacing w:after="0" w:line="162" w:lineRule="exact"/>
              <w:rPr>
                <w:sz w:val="20"/>
                <w:szCs w:val="20"/>
                <w:color w:val="auto"/>
              </w:rPr>
            </w:pPr>
            <w:r>
              <w:rPr>
                <w:rFonts w:ascii="Wingdings" w:cs="Wingdings" w:eastAsia="Wingdings" w:hAnsi="Wingdings"/>
                <w:sz w:val="16"/>
                <w:szCs w:val="16"/>
                <w:b w:val="1"/>
                <w:bCs w:val="1"/>
                <w:color w:val="auto"/>
                <w:shd w:val="clear" w:color="auto" w:fill="C8102E"/>
              </w:rPr>
              <w:t>ü</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5906135</wp:posOffset>
            </wp:positionH>
            <wp:positionV relativeFrom="paragraph">
              <wp:posOffset>-976630</wp:posOffset>
            </wp:positionV>
            <wp:extent cx="85725" cy="939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93980"/>
                    </a:xfrm>
                    <a:prstGeom prst="rect">
                      <a:avLst/>
                    </a:prstGeom>
                    <a:noFill/>
                  </pic:spPr>
                </pic:pic>
              </a:graphicData>
            </a:graphic>
          </wp:anchor>
        </w:drawing>
        <w:drawing>
          <wp:anchor simplePos="0" relativeHeight="251657728" behindDoc="1" locked="0" layoutInCell="0" allowOverlap="1">
            <wp:simplePos x="0" y="0"/>
            <wp:positionH relativeFrom="column">
              <wp:posOffset>2417445</wp:posOffset>
            </wp:positionH>
            <wp:positionV relativeFrom="paragraph">
              <wp:posOffset>-522605</wp:posOffset>
            </wp:positionV>
            <wp:extent cx="85725" cy="1028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102870"/>
                    </a:xfrm>
                    <a:prstGeom prst="rect">
                      <a:avLst/>
                    </a:prstGeom>
                    <a:noFill/>
                  </pic:spPr>
                </pic:pic>
              </a:graphicData>
            </a:graphic>
          </wp:anchor>
        </w:drawing>
        <w:drawing>
          <wp:anchor simplePos="0" relativeHeight="251657728" behindDoc="1" locked="0" layoutInCell="0" allowOverlap="1">
            <wp:simplePos x="0" y="0"/>
            <wp:positionH relativeFrom="column">
              <wp:posOffset>3848735</wp:posOffset>
            </wp:positionH>
            <wp:positionV relativeFrom="paragraph">
              <wp:posOffset>-213995</wp:posOffset>
            </wp:positionV>
            <wp:extent cx="85725" cy="1028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102870"/>
                    </a:xfrm>
                    <a:prstGeom prst="rect">
                      <a:avLst/>
                    </a:prstGeom>
                    <a:noFill/>
                  </pic:spPr>
                </pic:pic>
              </a:graphicData>
            </a:graphic>
          </wp:anchor>
        </w:drawing>
      </w:r>
    </w:p>
    <w:p>
      <w:pPr>
        <w:spacing w:after="0" w:line="135" w:lineRule="exact"/>
        <w:rPr>
          <w:sz w:val="20"/>
          <w:szCs w:val="20"/>
          <w:color w:val="auto"/>
        </w:rPr>
      </w:pPr>
    </w:p>
    <w:p>
      <w:pPr>
        <w:ind w:left="324"/>
        <w:spacing w:after="0"/>
        <w:rPr>
          <w:sz w:val="20"/>
          <w:szCs w:val="20"/>
          <w:color w:val="auto"/>
        </w:rPr>
      </w:pPr>
      <w:r>
        <w:rPr>
          <w:rFonts w:ascii="Arial" w:cs="Arial" w:eastAsia="Arial" w:hAnsi="Arial"/>
          <w:sz w:val="16"/>
          <w:szCs w:val="16"/>
          <w:i w:val="1"/>
          <w:iCs w:val="1"/>
          <w:color w:val="auto"/>
        </w:rPr>
        <w:t>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85725" cy="939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93980"/>
                    </a:xfrm>
                    <a:prstGeom prst="rect">
                      <a:avLst/>
                    </a:prstGeom>
                    <a:noFill/>
                  </pic:spPr>
                </pic:pic>
              </a:graphicData>
            </a:graphic>
          </wp:anchor>
        </w:drawing>
      </w:r>
    </w:p>
    <w:p>
      <w:pPr>
        <w:ind w:left="324" w:hanging="324"/>
        <w:spacing w:after="0" w:line="211" w:lineRule="auto"/>
        <w:tabs>
          <w:tab w:leader="none" w:pos="324" w:val="left"/>
        </w:tabs>
        <w:numPr>
          <w:ilvl w:val="0"/>
          <w:numId w:val="61"/>
        </w:numPr>
        <w:rPr>
          <w:rFonts w:ascii="Wingdings" w:cs="Wingdings" w:eastAsia="Wingdings" w:hAnsi="Wingdings"/>
          <w:sz w:val="16"/>
          <w:szCs w:val="16"/>
          <w:b w:val="1"/>
          <w:bCs w:val="1"/>
          <w:color w:val="auto"/>
          <w:shd w:val="clear" w:color="auto" w:fill="C8102E"/>
        </w:rPr>
      </w:pPr>
      <w:r>
        <w:rPr>
          <w:rFonts w:ascii="Arial" w:cs="Arial" w:eastAsia="Arial" w:hAnsi="Arial"/>
          <w:sz w:val="16"/>
          <w:szCs w:val="16"/>
          <w:i w:val="1"/>
          <w:iCs w:val="1"/>
          <w:color w:val="auto"/>
        </w:rPr>
        <w:t>Member</w:t>
      </w:r>
    </w:p>
    <w:p>
      <w:pPr>
        <w:ind w:left="324" w:hanging="324"/>
        <w:spacing w:after="0"/>
        <w:tabs>
          <w:tab w:leader="none" w:pos="324" w:val="left"/>
        </w:tabs>
        <w:numPr>
          <w:ilvl w:val="0"/>
          <w:numId w:val="62"/>
        </w:numPr>
        <w:rPr>
          <w:rFonts w:ascii="Arial" w:cs="Arial" w:eastAsia="Arial" w:hAnsi="Arial"/>
          <w:sz w:val="16"/>
          <w:szCs w:val="16"/>
          <w:color w:val="C80E2D"/>
        </w:rPr>
      </w:pPr>
      <w:r>
        <w:rPr>
          <w:rFonts w:ascii="Arial" w:cs="Arial" w:eastAsia="Arial" w:hAnsi="Arial"/>
          <w:sz w:val="16"/>
          <w:szCs w:val="16"/>
          <w:i w:val="1"/>
          <w:iCs w:val="1"/>
          <w:color w:val="auto"/>
        </w:rPr>
        <w:t>Chair of the Board of Directors</w:t>
      </w:r>
    </w:p>
    <w:p>
      <w:pPr>
        <w:spacing w:after="0" w:line="242" w:lineRule="exact"/>
        <w:rPr>
          <w:sz w:val="20"/>
          <w:szCs w:val="20"/>
          <w:color w:val="auto"/>
        </w:rPr>
      </w:pPr>
    </w:p>
    <w:p>
      <w:pPr>
        <w:ind w:left="4"/>
        <w:spacing w:after="0"/>
        <w:rPr>
          <w:sz w:val="20"/>
          <w:szCs w:val="20"/>
          <w:color w:val="auto"/>
        </w:rPr>
      </w:pPr>
      <w:r>
        <w:rPr>
          <w:rFonts w:ascii="Arial" w:cs="Arial" w:eastAsia="Arial" w:hAnsi="Arial"/>
          <w:sz w:val="23"/>
          <w:szCs w:val="23"/>
          <w:color w:val="auto"/>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-164465</wp:posOffset>
            </wp:positionV>
            <wp:extent cx="699516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23495</wp:posOffset>
            </wp:positionV>
            <wp:extent cx="69951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2" w:lineRule="exact"/>
        <w:rPr>
          <w:sz w:val="20"/>
          <w:szCs w:val="20"/>
          <w:color w:val="auto"/>
        </w:rPr>
      </w:pPr>
    </w:p>
    <w:p>
      <w:pPr>
        <w:jc w:val="both"/>
        <w:ind w:left="4"/>
        <w:spacing w:after="0" w:line="234" w:lineRule="auto"/>
        <w:rPr>
          <w:sz w:val="20"/>
          <w:szCs w:val="20"/>
          <w:color w:val="auto"/>
        </w:rPr>
      </w:pPr>
      <w:r>
        <w:rPr>
          <w:rFonts w:ascii="Arial" w:cs="Arial" w:eastAsia="Arial" w:hAnsi="Arial"/>
          <w:sz w:val="16"/>
          <w:szCs w:val="16"/>
          <w:color w:val="auto"/>
        </w:rPr>
        <w:t>Our Audit Committee met ten times during the year ended December 31, 2025. The Audit Committee is responsible, among its other duties and responsibilities, for overseeing our accounting and financial reporting processes, the audits of our financial statements, the qualifications of our independent registered public accounting firm, the performance of our internal audit function and independent registered public accounting firm, and the Company’s policies and guidelines with respect to risk assessment and risk management, including the Company’s major financial risk exposures and the steps management has taken to monitor and control such exposures. The Audit Committee gives particular attention to risks related to the Company’s financial statements and financial reporting processes, information technology, and cybersecurity The Audit Committee reviews and assesses the qualitative aspects of our financial reporting, our processes to manage business and financial risks, and our compliance with significant applicable legal, ethical and regulatory requirements. The Audit Committee is directly responsible for the appointment, compensation, retention and oversight of our independent registered public accounting firm. The members of our Audit Committee are Mr. Perfall, Chair, Mr. Okala, and Ms. Bodem. The Board has determined that each of Mr. Perfall, Mr. Okala and Ms. Bodem qualifies as an “audit committee financial expert,” as that term is defined under the SEC rules. The Board has determined that each member of our Audit Committee is independent and financially literate under the NYSE’s listing standards and that each member of our Audit Committee is independent under the standards of Rule 10A-3 under the Securities Exchange Act of 1934, as amended (the “Exchange Act”).</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23"/>
          <w:szCs w:val="23"/>
          <w:color w:val="auto"/>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-164465</wp:posOffset>
            </wp:positionV>
            <wp:extent cx="699516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23495</wp:posOffset>
            </wp:positionV>
            <wp:extent cx="69951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5" w:lineRule="exact"/>
        <w:rPr>
          <w:sz w:val="20"/>
          <w:szCs w:val="20"/>
          <w:color w:val="auto"/>
        </w:rPr>
      </w:pPr>
    </w:p>
    <w:p>
      <w:pPr>
        <w:jc w:val="both"/>
        <w:ind w:left="4" w:right="20"/>
        <w:spacing w:after="0" w:line="250" w:lineRule="auto"/>
        <w:rPr>
          <w:sz w:val="20"/>
          <w:szCs w:val="20"/>
          <w:color w:val="auto"/>
        </w:rPr>
      </w:pPr>
      <w:r>
        <w:rPr>
          <w:rFonts w:ascii="Arial" w:cs="Arial" w:eastAsia="Arial" w:hAnsi="Arial"/>
          <w:sz w:val="16"/>
          <w:szCs w:val="16"/>
          <w:color w:val="auto"/>
        </w:rPr>
        <w:t>Our Nominating and Corporate Governance Committee met five times during the year ended December 31, 2025. The Nominating and Corporate Governance Committee is responsible for recommending candidates for election to the Board. In making its recommendations, the committee will review a candidate’s qualifications and any potential conflicts of interest and assess contributions of current directors in connection with his or her renomination. The committee is also responsible, among its other duties and responsibilities, for making recommendations to the Board or otherwise acting with respect to corporate governance policies and practices, including Board size and membership qualifications, new director orientation, committee structure and membership, related person transactions, and communications with stockholders and other interested parties. The Nominating and Corporate Governance Committee is also responsible for reviewing the Company’s undertakings with respect to environmental, social, and governance matters, including the Company’s role as a corporate citizen and the Company’s policies and programs relating to health, safety and sustainability matters. The members of our Nominating and Corporate Governance Committee are Mr. Vinnakota, Chair, Mr. Kelly and Dr. Ortiz. The Board has determined that each member of our Nominating and Corporate Governance Committee is independent under the NYSE’s listing standards.</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-118745</wp:posOffset>
            </wp:positionV>
            <wp:extent cx="762635" cy="3860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2635" cy="386080"/>
                    </a:xfrm>
                    <a:prstGeom prst="rect">
                      <a:avLst/>
                    </a:prstGeom>
                    <a:noFill/>
                  </pic:spPr>
                </pic:pic>
              </a:graphicData>
            </a:graphic>
          </wp:anchor>
        </w:drawing>
      </w:r>
    </w:p>
    <w:p>
      <w:pPr>
        <w:ind w:left="1584"/>
        <w:spacing w:after="0"/>
        <w:rPr>
          <w:sz w:val="20"/>
          <w:szCs w:val="20"/>
          <w:color w:val="auto"/>
        </w:rPr>
      </w:pPr>
      <w:r>
        <w:rPr>
          <w:rFonts w:ascii="Arial" w:cs="Arial" w:eastAsia="Arial" w:hAnsi="Arial"/>
          <w:sz w:val="18"/>
          <w:szCs w:val="18"/>
          <w:color w:val="auto"/>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69951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679" w:right="439" w:bottom="1440" w:gutter="0" w:footer="0" w:header="0"/>
        </w:sectPr>
      </w:pPr>
    </w:p>
    <w:bookmarkStart w:id="22" w:name="page23"/>
    <w:bookmarkEnd w:id="22"/>
    <w:p>
      <w:pPr>
        <w:spacing w:after="0"/>
        <w:rPr>
          <w:sz w:val="20"/>
          <w:szCs w:val="20"/>
          <w:color w:val="auto"/>
        </w:rPr>
      </w:pPr>
      <w:r>
        <w:rPr>
          <w:rFonts w:ascii="Arial" w:cs="Arial" w:eastAsia="Arial" w:hAnsi="Arial"/>
          <w:sz w:val="23"/>
          <w:szCs w:val="23"/>
          <w:color w:val="auto"/>
        </w:rPr>
        <w:drawing>
          <wp:anchor simplePos="0" relativeHeight="251657728" behindDoc="1" locked="0" layoutInCell="0" allowOverlap="1">
            <wp:simplePos x="0" y="0"/>
            <wp:positionH relativeFrom="page">
              <wp:posOffset>276860</wp:posOffset>
            </wp:positionH>
            <wp:positionV relativeFrom="page">
              <wp:posOffset>440055</wp:posOffset>
            </wp:positionV>
            <wp:extent cx="69951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8255"/>
                    </a:xfrm>
                    <a:prstGeom prst="rect">
                      <a:avLst/>
                    </a:prstGeom>
                    <a:noFill/>
                  </pic:spPr>
                </pic:pic>
              </a:graphicData>
            </a:graphic>
          </wp:anchor>
        </w:drawing>
        <w:t>Compensation and Human Capital Management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69951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729" w:right="439" w:bottom="1440" w:gutter="0" w:footer="0" w:header="0"/>
        </w:sectPr>
      </w:pPr>
    </w:p>
    <w:p>
      <w:pPr>
        <w:spacing w:after="0" w:line="252"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Our CHCM Committee met five times during the year ended December 31, 2025. The members of our CHCM Committee are Ms. Lalor, Chair, Ms. Wienbar and Mr. Vinnakota. The Board has determined that each member of our CHCM Committee is a “non-employee director” within the meaning of SEC Rule 16b-3, and is independent under the NYSE’s listing standards for directors and compensation committee members.</w:t>
      </w:r>
    </w:p>
    <w:p>
      <w:pPr>
        <w:spacing w:after="0" w:line="110" w:lineRule="exact"/>
        <w:rPr>
          <w:sz w:val="20"/>
          <w:szCs w:val="20"/>
          <w:color w:val="auto"/>
        </w:rPr>
      </w:pPr>
    </w:p>
    <w:p>
      <w:pPr>
        <w:jc w:val="both"/>
        <w:spacing w:after="0" w:line="229" w:lineRule="auto"/>
        <w:rPr>
          <w:sz w:val="20"/>
          <w:szCs w:val="20"/>
          <w:color w:val="auto"/>
        </w:rPr>
      </w:pPr>
      <w:r>
        <w:rPr>
          <w:rFonts w:ascii="Arial" w:cs="Arial" w:eastAsia="Arial" w:hAnsi="Arial"/>
          <w:sz w:val="16"/>
          <w:szCs w:val="16"/>
          <w:color w:val="auto"/>
        </w:rPr>
        <w:t>The CHCM Committee is responsible, among its other duties and responsibilities, for determining and approving the compensation and benefits of our Chief Executive Officer and other executive officers, monitoring compensation arrangements applicable to our Chief Executive Officer and other executive officers in light of their performance, effectiveness and other relevant considerations and adopting and administering our equity and incentive plans. Specifically, the CHCM Committee annually reviews and approves the corporate goals and objectives relevant to the compensation of our Chief Executive Officer, evaluates his performance in light of those goals and objectives, and determines his compensation level based on that analysis. The CHCM Committee also annually reviews and approves all elements of the compensation of our other executive officers. Our Chief Executive Officer plays a significant role in developing and assessing achievement against the goals and objectives for other executive officers and makes compensation recommendations to the CHCM Committee based on these evaluations. The CHCM Committee also administers all of the Company’s management incentive compensation plans and equity-based compensation plans. The CHCM Committee makes recommendations to the Board regarding compensation of all executive officer hires, all elements of director compensation, and the adoption of certain amendments to incentive or equity-based compensation plans. The CHCM Committee also assists the Board in its oversight of risk related to the Company’s compensation policies and practices applicable to all Enovis team members. Additionally, the CHCM Committee periodically reviews the Company’s strategies and policies related to human capital management, including with respect to matters such as pay equity, corporate culture, talent development and retention. For further information on our compensation practices, including a description of our processes and procedures for determining compensation, the scope of the CHCM Committee’s authority and management’s role in compensation determinations, please see the Compensation Discussion and Analysis section of this Proxy Statement, which begins on page 27.</w:t>
      </w:r>
    </w:p>
    <w:p>
      <w:pPr>
        <w:spacing w:after="0" w:line="121" w:lineRule="exact"/>
        <w:rPr>
          <w:sz w:val="20"/>
          <w:szCs w:val="20"/>
          <w:color w:val="auto"/>
        </w:rPr>
      </w:pPr>
    </w:p>
    <w:p>
      <w:pPr>
        <w:jc w:val="both"/>
        <w:ind w:right="20"/>
        <w:spacing w:after="0" w:line="228" w:lineRule="auto"/>
        <w:rPr>
          <w:sz w:val="20"/>
          <w:szCs w:val="20"/>
          <w:color w:val="auto"/>
        </w:rPr>
      </w:pPr>
      <w:r>
        <w:rPr>
          <w:rFonts w:ascii="Arial" w:cs="Arial" w:eastAsia="Arial" w:hAnsi="Arial"/>
          <w:sz w:val="16"/>
          <w:szCs w:val="16"/>
          <w:color w:val="auto"/>
        </w:rPr>
        <w:t>Since April 2009, our CHCM Committee has engaged Frederic W. Cook &amp; Co. (“FW Cook”) as its independent compensation consultant to, among other things, formulate an appropriate peer group to be used by the CHCM Committee and to provide competitive comparison data and for other compensation consulting services as requested by the CHCM Committee. Additional information on the nature of the information and services provided by our independent compensation consultant can be found below in the Compensation Discussion and Analysis.</w:t>
      </w:r>
    </w:p>
    <w:p>
      <w:pPr>
        <w:spacing w:after="0" w:line="81" w:lineRule="exact"/>
        <w:rPr>
          <w:sz w:val="20"/>
          <w:szCs w:val="20"/>
          <w:color w:val="auto"/>
        </w:rPr>
      </w:pPr>
    </w:p>
    <w:p>
      <w:pPr>
        <w:spacing w:after="0"/>
        <w:rPr>
          <w:sz w:val="20"/>
          <w:szCs w:val="20"/>
          <w:color w:val="auto"/>
        </w:rPr>
      </w:pPr>
      <w:r>
        <w:rPr>
          <w:rFonts w:ascii="Arial" w:cs="Arial" w:eastAsia="Arial" w:hAnsi="Arial"/>
          <w:sz w:val="32"/>
          <w:szCs w:val="32"/>
          <w:b w:val="1"/>
          <w:bCs w:val="1"/>
          <w:color w:val="C8102E"/>
        </w:rPr>
        <w:t>Compensation Committee Interlocks and Insider Participation</w:t>
      </w:r>
    </w:p>
    <w:p>
      <w:pPr>
        <w:spacing w:after="0" w:line="148"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No member of the CHCM Committee is or has ever been an officer or an employee of the Company or any of its subsidiaries, and no CHCM Committee member has any interlocking or insider relationship with the Company which is required to be reported under the rules of the SEC.</w:t>
      </w:r>
    </w:p>
    <w:p>
      <w:pPr>
        <w:spacing w:after="0" w:line="72" w:lineRule="exact"/>
        <w:rPr>
          <w:sz w:val="20"/>
          <w:szCs w:val="20"/>
          <w:color w:val="auto"/>
        </w:rPr>
      </w:pPr>
    </w:p>
    <w:p>
      <w:pPr>
        <w:spacing w:after="0"/>
        <w:rPr>
          <w:sz w:val="20"/>
          <w:szCs w:val="20"/>
          <w:color w:val="auto"/>
        </w:rPr>
      </w:pPr>
      <w:r>
        <w:rPr>
          <w:rFonts w:ascii="Arial" w:cs="Arial" w:eastAsia="Arial" w:hAnsi="Arial"/>
          <w:sz w:val="32"/>
          <w:szCs w:val="32"/>
          <w:b w:val="1"/>
          <w:bCs w:val="1"/>
          <w:color w:val="C8102E"/>
        </w:rPr>
        <w:t>Mandatory Director Retirement Age</w:t>
      </w:r>
    </w:p>
    <w:p>
      <w:pPr>
        <w:spacing w:after="0" w:line="148"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In December 2024, the Nominating and Corporate Governance Committee adopted amendments to our Corporate Governance Guidelines to introduce mandatory director retirement at age 75 as the general policy of the Company. Pursuant to the updated guidelines, no director having reached the age of 75 years will be nominated for re-election or re-appointment to the Board, subject to waiver by the Board in individual circumstances.</w:t>
      </w:r>
    </w:p>
    <w:p>
      <w:pPr>
        <w:spacing w:after="0" w:line="80" w:lineRule="exact"/>
        <w:rPr>
          <w:sz w:val="20"/>
          <w:szCs w:val="20"/>
          <w:color w:val="auto"/>
        </w:rPr>
      </w:pPr>
    </w:p>
    <w:p>
      <w:pPr>
        <w:spacing w:after="0"/>
        <w:rPr>
          <w:sz w:val="20"/>
          <w:szCs w:val="20"/>
          <w:color w:val="auto"/>
        </w:rPr>
      </w:pPr>
      <w:r>
        <w:rPr>
          <w:rFonts w:ascii="Arial" w:cs="Arial" w:eastAsia="Arial" w:hAnsi="Arial"/>
          <w:sz w:val="32"/>
          <w:szCs w:val="32"/>
          <w:b w:val="1"/>
          <w:bCs w:val="1"/>
          <w:color w:val="C8102E"/>
        </w:rPr>
        <w:t>Identification of Director Candidates and Director Nomination Process</w:t>
      </w:r>
    </w:p>
    <w:p>
      <w:pPr>
        <w:spacing w:after="0" w:line="148" w:lineRule="exact"/>
        <w:rPr>
          <w:sz w:val="20"/>
          <w:szCs w:val="20"/>
          <w:color w:val="auto"/>
        </w:rPr>
      </w:pPr>
    </w:p>
    <w:p>
      <w:pPr>
        <w:jc w:val="both"/>
        <w:spacing w:after="0" w:line="225" w:lineRule="auto"/>
        <w:rPr>
          <w:sz w:val="20"/>
          <w:szCs w:val="20"/>
          <w:color w:val="auto"/>
        </w:rPr>
      </w:pPr>
      <w:r>
        <w:rPr>
          <w:rFonts w:ascii="Arial" w:cs="Arial" w:eastAsia="Arial" w:hAnsi="Arial"/>
          <w:sz w:val="16"/>
          <w:szCs w:val="16"/>
          <w:color w:val="auto"/>
        </w:rPr>
        <w:t>The Nominating and Corporate Governance Committee considers candidates for Board membership suggested by its members and other Board members, as well as by management and stockholders. The Nominating and Corporate Governance Committee may also use outside consultants and third-party search firms to assist in identifying candidates. The Nominating and Corporate Governance Committee is responsible for assessing whether a candidate may qualify as an independent director. Each possible candidate is discussed and evaluated in detail before being recommended to the Board. The Nominating and Corporate Governance Committee utilizes the same criteria for evaluating candidates regardless of the source of the referral.</w:t>
      </w:r>
    </w:p>
    <w:p>
      <w:pPr>
        <w:spacing w:after="0" w:line="137" w:lineRule="exact"/>
        <w:rPr>
          <w:sz w:val="20"/>
          <w:szCs w:val="20"/>
          <w:color w:val="auto"/>
        </w:rPr>
      </w:pPr>
    </w:p>
    <w:p>
      <w:pPr>
        <w:ind w:left="7520"/>
        <w:spacing w:after="0"/>
        <w:tabs>
          <w:tab w:leader="none" w:pos="10800" w:val="left"/>
        </w:tabs>
        <w:rPr>
          <w:sz w:val="20"/>
          <w:szCs w:val="20"/>
          <w:color w:val="auto"/>
        </w:rPr>
      </w:pPr>
      <w:r>
        <w:rPr>
          <w:sz w:val="1"/>
          <w:szCs w:val="1"/>
          <w:color w:val="auto"/>
        </w:rPr>
        <w:drawing>
          <wp:inline distT="0" distB="0" distL="0" distR="0">
            <wp:extent cx="685800" cy="163195"/>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0" cy="163195"/>
                    </a:xfrm>
                    <a:prstGeom prst="rect">
                      <a:avLst/>
                    </a:prstGeom>
                    <a:noFill/>
                    <a:ln>
                      <a:noFill/>
                    </a:ln>
                  </pic:spPr>
                </pic:pic>
              </a:graphicData>
            </a:graphic>
          </wp:inline>
        </w:drawing>
      </w:r>
      <w:r>
        <w:rPr>
          <w:rFonts w:ascii="Arial" w:cs="Arial" w:eastAsia="Arial" w:hAnsi="Arial"/>
          <w:sz w:val="18"/>
          <w:szCs w:val="18"/>
          <w:color w:val="auto"/>
        </w:rPr>
        <w:t xml:space="preserve"> - 2026 Proxy Statement</w:t>
      </w:r>
      <w:r>
        <w:rPr>
          <w:sz w:val="20"/>
          <w:szCs w:val="20"/>
          <w:color w:val="auto"/>
        </w:rPr>
        <w:tab/>
      </w: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-186690</wp:posOffset>
            </wp:positionV>
            <wp:extent cx="6995160" cy="3340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334010"/>
                    </a:xfrm>
                    <a:prstGeom prst="rect">
                      <a:avLst/>
                    </a:prstGeom>
                    <a:noFill/>
                  </pic:spPr>
                </pic:pic>
              </a:graphicData>
            </a:graphic>
          </wp:anchor>
        </w:drawing>
      </w:r>
    </w:p>
    <w:p>
      <w:pPr>
        <w:sectPr>
          <w:pgSz w:w="11900" w:h="16838" w:orient="portrait"/>
          <w:cols w:equalWidth="0" w:num="1">
            <w:col w:w="11020"/>
          </w:cols>
          <w:pgMar w:left="440" w:top="729" w:right="439" w:bottom="1440" w:gutter="0" w:footer="0" w:header="0"/>
          <w:type w:val="continuous"/>
        </w:sectPr>
      </w:pPr>
    </w:p>
    <w:bookmarkStart w:id="23" w:name="page24"/>
    <w:bookmarkEnd w:id="23"/>
    <w:p>
      <w:pPr>
        <w:jc w:val="both"/>
        <w:ind w:right="20"/>
        <w:spacing w:after="0" w:line="222" w:lineRule="auto"/>
        <w:rPr>
          <w:sz w:val="20"/>
          <w:szCs w:val="20"/>
          <w:color w:val="auto"/>
        </w:rPr>
      </w:pPr>
      <w:r>
        <w:rPr>
          <w:rFonts w:ascii="Arial" w:cs="Arial" w:eastAsia="Arial" w:hAnsi="Arial"/>
          <w:sz w:val="16"/>
          <w:szCs w:val="16"/>
          <w:color w:val="auto"/>
        </w:rPr>
        <w:t>The Nominating and Corporate Governance Committee recommends, and the Board nominates, candidates to stand for election as directors. Stockholders may nominate persons to be elected as directors and, as noted above, may suggest candidates for consideration by the Nominating and Corporate Governance Committee. If a stockholder wishes to suggest a person to the Nominating and Corporate Governance Committee for consideration as a director candidate, he or she must provide the same information as required of a stockholder who intends to nominate a director pursuant to the procedures contained in Section 3.3 of our Bylaws, in accordance with the same deadlines applicable to director nominations, as described below under “General Matters—Stockholder Proposals and Nominations.”</w:t>
      </w:r>
    </w:p>
    <w:p>
      <w:pPr>
        <w:spacing w:after="0" w:line="97" w:lineRule="exact"/>
        <w:rPr>
          <w:sz w:val="20"/>
          <w:szCs w:val="20"/>
          <w:color w:val="auto"/>
        </w:rPr>
      </w:pPr>
    </w:p>
    <w:p>
      <w:pPr>
        <w:spacing w:after="0"/>
        <w:rPr>
          <w:sz w:val="20"/>
          <w:szCs w:val="20"/>
          <w:color w:val="auto"/>
        </w:rPr>
      </w:pPr>
      <w:r>
        <w:rPr>
          <w:rFonts w:ascii="Arial" w:cs="Arial" w:eastAsia="Arial" w:hAnsi="Arial"/>
          <w:sz w:val="32"/>
          <w:szCs w:val="32"/>
          <w:b w:val="1"/>
          <w:bCs w:val="1"/>
          <w:color w:val="C8102E"/>
        </w:rPr>
        <w:t>Board Leadership Structure</w:t>
      </w:r>
    </w:p>
    <w:p>
      <w:pPr>
        <w:spacing w:after="0" w:line="148" w:lineRule="exact"/>
        <w:rPr>
          <w:sz w:val="20"/>
          <w:szCs w:val="20"/>
          <w:color w:val="auto"/>
        </w:rPr>
      </w:pPr>
    </w:p>
    <w:p>
      <w:pPr>
        <w:jc w:val="both"/>
        <w:spacing w:after="0" w:line="225" w:lineRule="auto"/>
        <w:rPr>
          <w:sz w:val="20"/>
          <w:szCs w:val="20"/>
          <w:color w:val="auto"/>
        </w:rPr>
      </w:pPr>
      <w:r>
        <w:rPr>
          <w:rFonts w:ascii="Arial" w:cs="Arial" w:eastAsia="Arial" w:hAnsi="Arial"/>
          <w:sz w:val="16"/>
          <w:szCs w:val="16"/>
          <w:color w:val="auto"/>
        </w:rPr>
        <w:t>On May 21, 2025, the Board appointed Sharon Wienbar, then serving as our Lead Independent Director, to serve as Chair of the Board. In arriving at its decision, the Board considered Ms. Wienbar’s extensive knowledge of the Company having served on the Board since 2016, her leadership experience on other public and private company boards, her business acumen and deep understanding of growth and innovation drivers, and her strong leadership as Lead Independent Director, a role that she held since May 2023. Prior to Ms. Wienbar’s appointment as Chair, the position was held by Matt Trerotola, our former Chief Executive Officer, from May 2023 until his retirement from the Board following our 2025 annual meeting of stockholders.</w:t>
      </w:r>
    </w:p>
    <w:p>
      <w:pPr>
        <w:spacing w:after="0" w:line="110"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We believe that the presence of a strong independent Chair ensures robust independent leadership on the Board and enhances the Board’s ability to evaluate management performance and fulfill its oversight role. In addition, we believe that Ms. Wienbar’s experience and extensive knowledge of our Company has helped facilitate a smooth leadership transition for Mr. McDonald, who assumed the role of CEO effective as of May 12, 2025.</w:t>
      </w:r>
    </w:p>
    <w:p>
      <w:pPr>
        <w:spacing w:after="0" w:line="110" w:lineRule="exact"/>
        <w:rPr>
          <w:sz w:val="20"/>
          <w:szCs w:val="20"/>
          <w:color w:val="auto"/>
        </w:rPr>
      </w:pPr>
    </w:p>
    <w:p>
      <w:pPr>
        <w:jc w:val="both"/>
        <w:spacing w:after="0" w:line="222" w:lineRule="auto"/>
        <w:rPr>
          <w:sz w:val="20"/>
          <w:szCs w:val="20"/>
          <w:color w:val="auto"/>
        </w:rPr>
      </w:pPr>
      <w:r>
        <w:rPr>
          <w:rFonts w:ascii="Arial" w:cs="Arial" w:eastAsia="Arial" w:hAnsi="Arial"/>
          <w:sz w:val="16"/>
          <w:szCs w:val="16"/>
          <w:color w:val="auto"/>
        </w:rPr>
        <w:t>Our Board’s goal is to achieve the best possible Board leadership structure to facilitate effective oversight and management of our Company. The Board believes that there is no single, generally accepted approach to providing effective Board leadership, and that the leadership structure of the Board may vary from time to time based on the individuals serving on the Board and the specific circumstances facing the Company. To that end, our Corporate Governance Guidelines specify that the Board does not have a formal policy as to whether the positions of Chair of the Board and Chief Executive Officer should be held by separate persons, or whether the Chair should be independent, and that the Board’s policy is instead to adopt the practice that best serves the Company’s needs at any particular time.</w:t>
      </w:r>
    </w:p>
    <w:p>
      <w:pPr>
        <w:spacing w:after="0" w:line="83" w:lineRule="exact"/>
        <w:rPr>
          <w:sz w:val="20"/>
          <w:szCs w:val="20"/>
          <w:color w:val="auto"/>
        </w:rPr>
      </w:pPr>
    </w:p>
    <w:p>
      <w:pPr>
        <w:spacing w:after="0"/>
        <w:rPr>
          <w:sz w:val="20"/>
          <w:szCs w:val="20"/>
          <w:color w:val="auto"/>
        </w:rPr>
      </w:pPr>
      <w:r>
        <w:rPr>
          <w:rFonts w:ascii="Arial" w:cs="Arial" w:eastAsia="Arial" w:hAnsi="Arial"/>
          <w:sz w:val="32"/>
          <w:szCs w:val="32"/>
          <w:b w:val="1"/>
          <w:bCs w:val="1"/>
          <w:color w:val="C8102E"/>
        </w:rPr>
        <w:t>Board Evaluation Process</w:t>
      </w:r>
    </w:p>
    <w:p>
      <w:pPr>
        <w:spacing w:after="0" w:line="148"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The Board and its committees conduct self-assessments annually at their February meetings. The Nominating and Corporate Governance Committee oversees the process. The annual evaluation procedure is summarized below.</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6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C8102E"/>
              </w:rPr>
              <w:t>Action and Timeframe</w:t>
            </w:r>
          </w:p>
        </w:tc>
        <w:tc>
          <w:tcPr>
            <w:tcW w:w="7760" w:type="dxa"/>
            <w:vAlign w:val="bottom"/>
            <w:tcBorders>
              <w:bottom w:val="single" w:sz="8" w:color="auto"/>
            </w:tcBorders>
          </w:tcPr>
          <w:p>
            <w:pPr>
              <w:ind w:left="600"/>
              <w:spacing w:after="0"/>
              <w:rPr>
                <w:sz w:val="20"/>
                <w:szCs w:val="20"/>
                <w:color w:val="auto"/>
              </w:rPr>
            </w:pPr>
            <w:r>
              <w:rPr>
                <w:rFonts w:ascii="Arial" w:cs="Arial" w:eastAsia="Arial" w:hAnsi="Arial"/>
                <w:sz w:val="16"/>
                <w:szCs w:val="16"/>
                <w:b w:val="1"/>
                <w:bCs w:val="1"/>
                <w:color w:val="C8102E"/>
              </w:rPr>
              <w:t>Description</w:t>
            </w:r>
          </w:p>
        </w:tc>
      </w:tr>
      <w:tr>
        <w:trPr>
          <w:trHeight w:val="128"/>
        </w:trPr>
        <w:tc>
          <w:tcPr>
            <w:tcW w:w="3260" w:type="dxa"/>
            <w:vAlign w:val="bottom"/>
            <w:shd w:val="clear" w:color="auto" w:fill="E9E9E9"/>
          </w:tcPr>
          <w:p>
            <w:pPr>
              <w:ind w:left="100"/>
              <w:spacing w:after="0" w:line="129" w:lineRule="exact"/>
              <w:rPr>
                <w:sz w:val="20"/>
                <w:szCs w:val="20"/>
                <w:color w:val="auto"/>
              </w:rPr>
            </w:pPr>
            <w:r>
              <w:rPr>
                <w:rFonts w:ascii="Arial" w:cs="Arial" w:eastAsia="Arial" w:hAnsi="Arial"/>
                <w:sz w:val="14"/>
                <w:szCs w:val="14"/>
                <w:color w:val="auto"/>
              </w:rPr>
              <w:t>Preparation – November/December</w:t>
            </w:r>
          </w:p>
        </w:tc>
        <w:tc>
          <w:tcPr>
            <w:tcW w:w="7760" w:type="dxa"/>
            <w:vAlign w:val="bottom"/>
            <w:shd w:val="clear" w:color="auto" w:fill="E9E9E9"/>
          </w:tcPr>
          <w:p>
            <w:pPr>
              <w:ind w:left="600"/>
              <w:spacing w:after="0" w:line="129" w:lineRule="exact"/>
              <w:rPr>
                <w:sz w:val="20"/>
                <w:szCs w:val="20"/>
                <w:color w:val="auto"/>
              </w:rPr>
            </w:pPr>
            <w:r>
              <w:rPr>
                <w:rFonts w:ascii="Arial" w:cs="Arial" w:eastAsia="Arial" w:hAnsi="Arial"/>
                <w:sz w:val="14"/>
                <w:szCs w:val="14"/>
                <w:color w:val="auto"/>
              </w:rPr>
              <w:t>Each director receives draft materials for the annual evaluation of (i) the Board’s performance and</w:t>
            </w:r>
          </w:p>
        </w:tc>
      </w:tr>
      <w:tr>
        <w:trPr>
          <w:trHeight w:val="162"/>
        </w:trPr>
        <w:tc>
          <w:tcPr>
            <w:tcW w:w="3260" w:type="dxa"/>
            <w:vAlign w:val="bottom"/>
            <w:shd w:val="clear" w:color="auto" w:fill="E9E9E9"/>
          </w:tcPr>
          <w:p>
            <w:pPr>
              <w:spacing w:after="0"/>
              <w:rPr>
                <w:sz w:val="14"/>
                <w:szCs w:val="14"/>
                <w:color w:val="auto"/>
              </w:rPr>
            </w:pPr>
          </w:p>
        </w:tc>
        <w:tc>
          <w:tcPr>
            <w:tcW w:w="7760" w:type="dxa"/>
            <w:vAlign w:val="bottom"/>
            <w:shd w:val="clear" w:color="auto" w:fill="E9E9E9"/>
          </w:tcPr>
          <w:p>
            <w:pPr>
              <w:ind w:left="600"/>
              <w:spacing w:after="0" w:line="162" w:lineRule="exact"/>
              <w:rPr>
                <w:sz w:val="20"/>
                <w:szCs w:val="20"/>
                <w:color w:val="auto"/>
              </w:rPr>
            </w:pPr>
            <w:r>
              <w:rPr>
                <w:rFonts w:ascii="Arial" w:cs="Arial" w:eastAsia="Arial" w:hAnsi="Arial"/>
                <w:sz w:val="16"/>
                <w:szCs w:val="16"/>
                <w:color w:val="auto"/>
              </w:rPr>
              <w:t>(ii) the performance of his or her committee(s). The materials include the Board and committee</w:t>
            </w:r>
          </w:p>
        </w:tc>
      </w:tr>
      <w:tr>
        <w:trPr>
          <w:trHeight w:val="162"/>
        </w:trPr>
        <w:tc>
          <w:tcPr>
            <w:tcW w:w="3260" w:type="dxa"/>
            <w:vAlign w:val="bottom"/>
            <w:shd w:val="clear" w:color="auto" w:fill="E9E9E9"/>
          </w:tcPr>
          <w:p>
            <w:pPr>
              <w:spacing w:after="0"/>
              <w:rPr>
                <w:sz w:val="14"/>
                <w:szCs w:val="14"/>
                <w:color w:val="auto"/>
              </w:rPr>
            </w:pPr>
          </w:p>
        </w:tc>
        <w:tc>
          <w:tcPr>
            <w:tcW w:w="7760" w:type="dxa"/>
            <w:vAlign w:val="bottom"/>
            <w:shd w:val="clear" w:color="auto" w:fill="E9E9E9"/>
          </w:tcPr>
          <w:p>
            <w:pPr>
              <w:ind w:left="600"/>
              <w:spacing w:after="0" w:line="162" w:lineRule="exact"/>
              <w:rPr>
                <w:sz w:val="20"/>
                <w:szCs w:val="20"/>
                <w:color w:val="auto"/>
              </w:rPr>
            </w:pPr>
            <w:r>
              <w:rPr>
                <w:rFonts w:ascii="Arial" w:cs="Arial" w:eastAsia="Arial" w:hAnsi="Arial"/>
                <w:sz w:val="16"/>
                <w:szCs w:val="16"/>
                <w:color w:val="auto"/>
              </w:rPr>
              <w:t>self-assessment questionnaires. In advance of the assessment, questions are revised and</w:t>
            </w:r>
          </w:p>
        </w:tc>
      </w:tr>
      <w:tr>
        <w:trPr>
          <w:trHeight w:val="162"/>
        </w:trPr>
        <w:tc>
          <w:tcPr>
            <w:tcW w:w="3260" w:type="dxa"/>
            <w:vAlign w:val="bottom"/>
            <w:shd w:val="clear" w:color="auto" w:fill="E9E9E9"/>
          </w:tcPr>
          <w:p>
            <w:pPr>
              <w:spacing w:after="0"/>
              <w:rPr>
                <w:sz w:val="14"/>
                <w:szCs w:val="14"/>
                <w:color w:val="auto"/>
              </w:rPr>
            </w:pPr>
          </w:p>
        </w:tc>
        <w:tc>
          <w:tcPr>
            <w:tcW w:w="7760" w:type="dxa"/>
            <w:vAlign w:val="bottom"/>
            <w:shd w:val="clear" w:color="auto" w:fill="E9E9E9"/>
          </w:tcPr>
          <w:p>
            <w:pPr>
              <w:ind w:left="600"/>
              <w:spacing w:after="0" w:line="162" w:lineRule="exact"/>
              <w:rPr>
                <w:sz w:val="20"/>
                <w:szCs w:val="20"/>
                <w:color w:val="auto"/>
              </w:rPr>
            </w:pPr>
            <w:r>
              <w:rPr>
                <w:rFonts w:ascii="Arial" w:cs="Arial" w:eastAsia="Arial" w:hAnsi="Arial"/>
                <w:sz w:val="16"/>
                <w:szCs w:val="16"/>
                <w:color w:val="auto"/>
              </w:rPr>
              <w:t>supplemented based on the input received from the Board members and, prior to distribution, the</w:t>
            </w:r>
          </w:p>
        </w:tc>
      </w:tr>
      <w:tr>
        <w:trPr>
          <w:trHeight w:val="162"/>
        </w:trPr>
        <w:tc>
          <w:tcPr>
            <w:tcW w:w="3260" w:type="dxa"/>
            <w:vAlign w:val="bottom"/>
            <w:shd w:val="clear" w:color="auto" w:fill="E9E9E9"/>
          </w:tcPr>
          <w:p>
            <w:pPr>
              <w:spacing w:after="0"/>
              <w:rPr>
                <w:sz w:val="14"/>
                <w:szCs w:val="14"/>
                <w:color w:val="auto"/>
              </w:rPr>
            </w:pPr>
          </w:p>
        </w:tc>
        <w:tc>
          <w:tcPr>
            <w:tcW w:w="7760" w:type="dxa"/>
            <w:vAlign w:val="bottom"/>
            <w:shd w:val="clear" w:color="auto" w:fill="E9E9E9"/>
          </w:tcPr>
          <w:p>
            <w:pPr>
              <w:ind w:left="600"/>
              <w:spacing w:after="0" w:line="162" w:lineRule="exact"/>
              <w:rPr>
                <w:sz w:val="20"/>
                <w:szCs w:val="20"/>
                <w:color w:val="auto"/>
              </w:rPr>
            </w:pPr>
            <w:r>
              <w:rPr>
                <w:rFonts w:ascii="Arial" w:cs="Arial" w:eastAsia="Arial" w:hAnsi="Arial"/>
                <w:sz w:val="16"/>
                <w:szCs w:val="16"/>
                <w:color w:val="auto"/>
              </w:rPr>
              <w:t>Chair of the Nominating and Corporate Governance Committee leads a final review in the</w:t>
            </w:r>
          </w:p>
        </w:tc>
      </w:tr>
      <w:tr>
        <w:trPr>
          <w:trHeight w:val="189"/>
        </w:trPr>
        <w:tc>
          <w:tcPr>
            <w:tcW w:w="3260" w:type="dxa"/>
            <w:vAlign w:val="bottom"/>
            <w:shd w:val="clear" w:color="auto" w:fill="E9E9E9"/>
          </w:tcPr>
          <w:p>
            <w:pPr>
              <w:spacing w:after="0"/>
              <w:rPr>
                <w:sz w:val="16"/>
                <w:szCs w:val="16"/>
                <w:color w:val="auto"/>
              </w:rPr>
            </w:pPr>
          </w:p>
        </w:tc>
        <w:tc>
          <w:tcPr>
            <w:tcW w:w="7760" w:type="dxa"/>
            <w:vAlign w:val="bottom"/>
            <w:shd w:val="clear" w:color="auto" w:fill="E9E9E9"/>
          </w:tcPr>
          <w:p>
            <w:pPr>
              <w:ind w:left="600"/>
              <w:spacing w:after="0"/>
              <w:rPr>
                <w:sz w:val="20"/>
                <w:szCs w:val="20"/>
                <w:color w:val="auto"/>
              </w:rPr>
            </w:pPr>
            <w:r>
              <w:rPr>
                <w:rFonts w:ascii="Arial" w:cs="Arial" w:eastAsia="Arial" w:hAnsi="Arial"/>
                <w:sz w:val="16"/>
                <w:szCs w:val="16"/>
                <w:color w:val="auto"/>
              </w:rPr>
              <w:t>December Board and committee meetings.</w:t>
            </w:r>
          </w:p>
        </w:tc>
      </w:tr>
      <w:tr>
        <w:trPr>
          <w:trHeight w:val="135"/>
        </w:trPr>
        <w:tc>
          <w:tcPr>
            <w:tcW w:w="3260" w:type="dxa"/>
            <w:vAlign w:val="bottom"/>
          </w:tcPr>
          <w:p>
            <w:pPr>
              <w:ind w:left="100"/>
              <w:spacing w:after="0" w:line="135" w:lineRule="exact"/>
              <w:rPr>
                <w:sz w:val="20"/>
                <w:szCs w:val="20"/>
                <w:color w:val="auto"/>
              </w:rPr>
            </w:pPr>
            <w:r>
              <w:rPr>
                <w:rFonts w:ascii="Arial" w:cs="Arial" w:eastAsia="Arial" w:hAnsi="Arial"/>
                <w:sz w:val="15"/>
                <w:szCs w:val="15"/>
                <w:color w:val="auto"/>
              </w:rPr>
              <w:t>Assessment – December/January</w:t>
            </w:r>
          </w:p>
        </w:tc>
        <w:tc>
          <w:tcPr>
            <w:tcW w:w="7760" w:type="dxa"/>
            <w:vAlign w:val="bottom"/>
          </w:tcPr>
          <w:p>
            <w:pPr>
              <w:ind w:left="600"/>
              <w:spacing w:after="0" w:line="135" w:lineRule="exact"/>
              <w:rPr>
                <w:sz w:val="20"/>
                <w:szCs w:val="20"/>
                <w:color w:val="auto"/>
              </w:rPr>
            </w:pPr>
            <w:r>
              <w:rPr>
                <w:rFonts w:ascii="Arial" w:cs="Arial" w:eastAsia="Arial" w:hAnsi="Arial"/>
                <w:sz w:val="15"/>
                <w:szCs w:val="15"/>
                <w:color w:val="auto"/>
              </w:rPr>
              <w:t>Each director is asked to consider a list of questions to assist with the evaluation of the Board and</w:t>
            </w:r>
          </w:p>
        </w:tc>
      </w:tr>
      <w:tr>
        <w:trPr>
          <w:trHeight w:val="162"/>
        </w:trPr>
        <w:tc>
          <w:tcPr>
            <w:tcW w:w="3260" w:type="dxa"/>
            <w:vAlign w:val="bottom"/>
          </w:tcPr>
          <w:p>
            <w:pPr>
              <w:spacing w:after="0"/>
              <w:rPr>
                <w:sz w:val="14"/>
                <w:szCs w:val="14"/>
                <w:color w:val="auto"/>
              </w:rPr>
            </w:pPr>
          </w:p>
        </w:tc>
        <w:tc>
          <w:tcPr>
            <w:tcW w:w="7760" w:type="dxa"/>
            <w:vAlign w:val="bottom"/>
          </w:tcPr>
          <w:p>
            <w:pPr>
              <w:ind w:left="600"/>
              <w:spacing w:after="0" w:line="162" w:lineRule="exact"/>
              <w:rPr>
                <w:sz w:val="20"/>
                <w:szCs w:val="20"/>
                <w:color w:val="auto"/>
              </w:rPr>
            </w:pPr>
            <w:r>
              <w:rPr>
                <w:rFonts w:ascii="Arial" w:cs="Arial" w:eastAsia="Arial" w:hAnsi="Arial"/>
                <w:sz w:val="16"/>
                <w:szCs w:val="16"/>
                <w:color w:val="auto"/>
              </w:rPr>
              <w:t>its committees, covering topics such as Board composition, the conduct and effectiveness of</w:t>
            </w:r>
          </w:p>
        </w:tc>
      </w:tr>
      <w:tr>
        <w:trPr>
          <w:trHeight w:val="162"/>
        </w:trPr>
        <w:tc>
          <w:tcPr>
            <w:tcW w:w="3260" w:type="dxa"/>
            <w:vAlign w:val="bottom"/>
          </w:tcPr>
          <w:p>
            <w:pPr>
              <w:spacing w:after="0"/>
              <w:rPr>
                <w:sz w:val="14"/>
                <w:szCs w:val="14"/>
                <w:color w:val="auto"/>
              </w:rPr>
            </w:pPr>
          </w:p>
        </w:tc>
        <w:tc>
          <w:tcPr>
            <w:tcW w:w="7760" w:type="dxa"/>
            <w:vAlign w:val="bottom"/>
          </w:tcPr>
          <w:p>
            <w:pPr>
              <w:ind w:left="600"/>
              <w:spacing w:after="0" w:line="162" w:lineRule="exact"/>
              <w:rPr>
                <w:sz w:val="20"/>
                <w:szCs w:val="20"/>
                <w:color w:val="auto"/>
              </w:rPr>
            </w:pPr>
            <w:r>
              <w:rPr>
                <w:rFonts w:ascii="Arial" w:cs="Arial" w:eastAsia="Arial" w:hAnsi="Arial"/>
                <w:sz w:val="16"/>
                <w:szCs w:val="16"/>
                <w:color w:val="auto"/>
              </w:rPr>
              <w:t>meetings, quality of discussions, roles and responsibilities, quality and quantity of information</w:t>
            </w:r>
          </w:p>
        </w:tc>
      </w:tr>
      <w:tr>
        <w:trPr>
          <w:trHeight w:val="162"/>
        </w:trPr>
        <w:tc>
          <w:tcPr>
            <w:tcW w:w="3260" w:type="dxa"/>
            <w:vAlign w:val="bottom"/>
          </w:tcPr>
          <w:p>
            <w:pPr>
              <w:spacing w:after="0"/>
              <w:rPr>
                <w:sz w:val="14"/>
                <w:szCs w:val="14"/>
                <w:color w:val="auto"/>
              </w:rPr>
            </w:pPr>
          </w:p>
        </w:tc>
        <w:tc>
          <w:tcPr>
            <w:tcW w:w="7760" w:type="dxa"/>
            <w:vAlign w:val="bottom"/>
          </w:tcPr>
          <w:p>
            <w:pPr>
              <w:ind w:left="600"/>
              <w:spacing w:after="0" w:line="162" w:lineRule="exact"/>
              <w:rPr>
                <w:sz w:val="20"/>
                <w:szCs w:val="20"/>
                <w:color w:val="auto"/>
              </w:rPr>
            </w:pPr>
            <w:r>
              <w:rPr>
                <w:rFonts w:ascii="Arial" w:cs="Arial" w:eastAsia="Arial" w:hAnsi="Arial"/>
                <w:sz w:val="16"/>
                <w:szCs w:val="16"/>
                <w:color w:val="auto"/>
              </w:rPr>
              <w:t>provided,  and  other  opportunities  for  improvement.  In  addition,  during  January  2026,  the</w:t>
            </w:r>
          </w:p>
        </w:tc>
      </w:tr>
      <w:tr>
        <w:trPr>
          <w:trHeight w:val="162"/>
        </w:trPr>
        <w:tc>
          <w:tcPr>
            <w:tcW w:w="3260" w:type="dxa"/>
            <w:vAlign w:val="bottom"/>
          </w:tcPr>
          <w:p>
            <w:pPr>
              <w:spacing w:after="0"/>
              <w:rPr>
                <w:sz w:val="14"/>
                <w:szCs w:val="14"/>
                <w:color w:val="auto"/>
              </w:rPr>
            </w:pPr>
          </w:p>
        </w:tc>
        <w:tc>
          <w:tcPr>
            <w:tcW w:w="7760" w:type="dxa"/>
            <w:vAlign w:val="bottom"/>
          </w:tcPr>
          <w:p>
            <w:pPr>
              <w:ind w:left="600"/>
              <w:spacing w:after="0" w:line="162" w:lineRule="exact"/>
              <w:rPr>
                <w:sz w:val="20"/>
                <w:szCs w:val="20"/>
                <w:color w:val="auto"/>
              </w:rPr>
            </w:pPr>
            <w:r>
              <w:rPr>
                <w:rFonts w:ascii="Arial" w:cs="Arial" w:eastAsia="Arial" w:hAnsi="Arial"/>
                <w:sz w:val="16"/>
                <w:szCs w:val="16"/>
                <w:color w:val="auto"/>
              </w:rPr>
              <w:t>Nominating  and  Corporate  Governance  Committee  scheduled  and  conducted  one-one-one</w:t>
            </w:r>
          </w:p>
        </w:tc>
      </w:tr>
      <w:tr>
        <w:trPr>
          <w:trHeight w:val="189"/>
        </w:trPr>
        <w:tc>
          <w:tcPr>
            <w:tcW w:w="3260" w:type="dxa"/>
            <w:vAlign w:val="bottom"/>
            <w:tcBorders>
              <w:bottom w:val="single" w:sz="8" w:color="auto"/>
            </w:tcBorders>
          </w:tcPr>
          <w:p>
            <w:pPr>
              <w:spacing w:after="0"/>
              <w:rPr>
                <w:sz w:val="16"/>
                <w:szCs w:val="16"/>
                <w:color w:val="auto"/>
              </w:rPr>
            </w:pPr>
          </w:p>
        </w:tc>
        <w:tc>
          <w:tcPr>
            <w:tcW w:w="776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interviews with individual directors to discuss these topics and identify potential enhancements.</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-118745</wp:posOffset>
            </wp:positionV>
            <wp:extent cx="762635" cy="3860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2635" cy="38608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69951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652" w:right="4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90"/>
        </w:trPr>
        <w:tc>
          <w:tcPr>
            <w:tcW w:w="35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C8102E"/>
              </w:rPr>
              <w:t>Action and Timeframe</w:t>
            </w:r>
          </w:p>
        </w:tc>
        <w:tc>
          <w:tcPr>
            <w:tcW w:w="750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C8102E"/>
              </w:rPr>
              <w:t>Description</w:t>
            </w:r>
          </w:p>
        </w:tc>
      </w:tr>
      <w:tr>
        <w:trPr>
          <w:trHeight w:val="128"/>
        </w:trPr>
        <w:tc>
          <w:tcPr>
            <w:tcW w:w="3520" w:type="dxa"/>
            <w:vAlign w:val="bottom"/>
            <w:shd w:val="clear" w:color="auto" w:fill="E9E9E9"/>
          </w:tcPr>
          <w:p>
            <w:pPr>
              <w:ind w:left="100"/>
              <w:spacing w:after="0" w:line="129" w:lineRule="exact"/>
              <w:rPr>
                <w:sz w:val="20"/>
                <w:szCs w:val="20"/>
                <w:color w:val="auto"/>
              </w:rPr>
            </w:pPr>
            <w:r>
              <w:rPr>
                <w:rFonts w:ascii="Arial" w:cs="Arial" w:eastAsia="Arial" w:hAnsi="Arial"/>
                <w:sz w:val="14"/>
                <w:szCs w:val="14"/>
                <w:color w:val="auto"/>
              </w:rPr>
              <w:t>Review and Discussion – February</w:t>
            </w:r>
          </w:p>
        </w:tc>
        <w:tc>
          <w:tcPr>
            <w:tcW w:w="7500" w:type="dxa"/>
            <w:vAlign w:val="bottom"/>
            <w:shd w:val="clear" w:color="auto" w:fill="E9E9E9"/>
          </w:tcPr>
          <w:p>
            <w:pPr>
              <w:ind w:left="340"/>
              <w:spacing w:after="0" w:line="129" w:lineRule="exact"/>
              <w:rPr>
                <w:sz w:val="20"/>
                <w:szCs w:val="20"/>
                <w:color w:val="auto"/>
              </w:rPr>
            </w:pPr>
            <w:r>
              <w:rPr>
                <w:rFonts w:ascii="Arial" w:cs="Arial" w:eastAsia="Arial" w:hAnsi="Arial"/>
                <w:sz w:val="14"/>
                <w:szCs w:val="14"/>
                <w:color w:val="auto"/>
              </w:rPr>
              <w:t>The Board and its committees receive a report summarizing the annual evaluations as well as a</w:t>
            </w:r>
          </w:p>
        </w:tc>
      </w:tr>
      <w:tr>
        <w:trPr>
          <w:trHeight w:val="162"/>
        </w:trPr>
        <w:tc>
          <w:tcPr>
            <w:tcW w:w="3520" w:type="dxa"/>
            <w:vAlign w:val="bottom"/>
            <w:shd w:val="clear" w:color="auto" w:fill="E9E9E9"/>
          </w:tcPr>
          <w:p>
            <w:pPr>
              <w:spacing w:after="0"/>
              <w:rPr>
                <w:sz w:val="14"/>
                <w:szCs w:val="14"/>
                <w:color w:val="auto"/>
              </w:rPr>
            </w:pPr>
          </w:p>
        </w:tc>
        <w:tc>
          <w:tcPr>
            <w:tcW w:w="7500" w:type="dxa"/>
            <w:vAlign w:val="bottom"/>
            <w:shd w:val="clear" w:color="auto" w:fill="E9E9E9"/>
          </w:tcPr>
          <w:p>
            <w:pPr>
              <w:ind w:left="340"/>
              <w:spacing w:after="0" w:line="162" w:lineRule="exact"/>
              <w:rPr>
                <w:sz w:val="20"/>
                <w:szCs w:val="20"/>
                <w:color w:val="auto"/>
              </w:rPr>
            </w:pPr>
            <w:r>
              <w:rPr>
                <w:rFonts w:ascii="Arial" w:cs="Arial" w:eastAsia="Arial" w:hAnsi="Arial"/>
                <w:sz w:val="16"/>
                <w:szCs w:val="16"/>
                <w:color w:val="auto"/>
              </w:rPr>
              <w:t>year-over-year comparison. The reports are distributed for consideration in advance of and</w:t>
            </w:r>
          </w:p>
        </w:tc>
      </w:tr>
      <w:tr>
        <w:trPr>
          <w:trHeight w:val="162"/>
        </w:trPr>
        <w:tc>
          <w:tcPr>
            <w:tcW w:w="3520" w:type="dxa"/>
            <w:vAlign w:val="bottom"/>
            <w:shd w:val="clear" w:color="auto" w:fill="E9E9E9"/>
          </w:tcPr>
          <w:p>
            <w:pPr>
              <w:spacing w:after="0"/>
              <w:rPr>
                <w:sz w:val="14"/>
                <w:szCs w:val="14"/>
                <w:color w:val="auto"/>
              </w:rPr>
            </w:pPr>
          </w:p>
        </w:tc>
        <w:tc>
          <w:tcPr>
            <w:tcW w:w="7500" w:type="dxa"/>
            <w:vAlign w:val="bottom"/>
            <w:shd w:val="clear" w:color="auto" w:fill="E9E9E9"/>
          </w:tcPr>
          <w:p>
            <w:pPr>
              <w:ind w:left="340"/>
              <w:spacing w:after="0" w:line="162" w:lineRule="exact"/>
              <w:rPr>
                <w:sz w:val="20"/>
                <w:szCs w:val="20"/>
                <w:color w:val="auto"/>
              </w:rPr>
            </w:pPr>
            <w:r>
              <w:rPr>
                <w:rFonts w:ascii="Arial" w:cs="Arial" w:eastAsia="Arial" w:hAnsi="Arial"/>
                <w:sz w:val="16"/>
                <w:szCs w:val="16"/>
                <w:color w:val="auto"/>
              </w:rPr>
              <w:t>discussed at the February Board and committee meetings. The committee chairs report to the</w:t>
            </w:r>
          </w:p>
        </w:tc>
      </w:tr>
      <w:tr>
        <w:trPr>
          <w:trHeight w:val="162"/>
        </w:trPr>
        <w:tc>
          <w:tcPr>
            <w:tcW w:w="3520" w:type="dxa"/>
            <w:vAlign w:val="bottom"/>
            <w:shd w:val="clear" w:color="auto" w:fill="E9E9E9"/>
          </w:tcPr>
          <w:p>
            <w:pPr>
              <w:spacing w:after="0"/>
              <w:rPr>
                <w:sz w:val="14"/>
                <w:szCs w:val="14"/>
                <w:color w:val="auto"/>
              </w:rPr>
            </w:pPr>
          </w:p>
        </w:tc>
        <w:tc>
          <w:tcPr>
            <w:tcW w:w="7500" w:type="dxa"/>
            <w:vAlign w:val="bottom"/>
            <w:shd w:val="clear" w:color="auto" w:fill="E9E9E9"/>
          </w:tcPr>
          <w:p>
            <w:pPr>
              <w:ind w:left="340"/>
              <w:spacing w:after="0" w:line="162" w:lineRule="exact"/>
              <w:rPr>
                <w:sz w:val="20"/>
                <w:szCs w:val="20"/>
                <w:color w:val="auto"/>
              </w:rPr>
            </w:pPr>
            <w:r>
              <w:rPr>
                <w:rFonts w:ascii="Arial" w:cs="Arial" w:eastAsia="Arial" w:hAnsi="Arial"/>
                <w:sz w:val="16"/>
                <w:szCs w:val="16"/>
                <w:color w:val="auto"/>
              </w:rPr>
              <w:t>Board on their respective committee evaluations, noting any actionable items. Past evaluations</w:t>
            </w:r>
          </w:p>
        </w:tc>
      </w:tr>
      <w:tr>
        <w:trPr>
          <w:trHeight w:val="162"/>
        </w:trPr>
        <w:tc>
          <w:tcPr>
            <w:tcW w:w="3520" w:type="dxa"/>
            <w:vAlign w:val="bottom"/>
            <w:shd w:val="clear" w:color="auto" w:fill="E9E9E9"/>
          </w:tcPr>
          <w:p>
            <w:pPr>
              <w:spacing w:after="0"/>
              <w:rPr>
                <w:sz w:val="14"/>
                <w:szCs w:val="14"/>
                <w:color w:val="auto"/>
              </w:rPr>
            </w:pPr>
          </w:p>
        </w:tc>
        <w:tc>
          <w:tcPr>
            <w:tcW w:w="7500" w:type="dxa"/>
            <w:vAlign w:val="bottom"/>
            <w:shd w:val="clear" w:color="auto" w:fill="E9E9E9"/>
          </w:tcPr>
          <w:p>
            <w:pPr>
              <w:ind w:left="340"/>
              <w:spacing w:after="0" w:line="162" w:lineRule="exact"/>
              <w:rPr>
                <w:sz w:val="20"/>
                <w:szCs w:val="20"/>
                <w:color w:val="auto"/>
              </w:rPr>
            </w:pPr>
            <w:r>
              <w:rPr>
                <w:rFonts w:ascii="Arial" w:cs="Arial" w:eastAsia="Arial" w:hAnsi="Arial"/>
                <w:sz w:val="16"/>
                <w:szCs w:val="16"/>
                <w:color w:val="auto"/>
              </w:rPr>
              <w:t>have addressed a wide range of topics such as Board materials, Board composition, director</w:t>
            </w:r>
          </w:p>
        </w:tc>
      </w:tr>
      <w:tr>
        <w:trPr>
          <w:trHeight w:val="189"/>
        </w:trPr>
        <w:tc>
          <w:tcPr>
            <w:tcW w:w="3520" w:type="dxa"/>
            <w:vAlign w:val="bottom"/>
            <w:shd w:val="clear" w:color="auto" w:fill="E9E9E9"/>
          </w:tcPr>
          <w:p>
            <w:pPr>
              <w:spacing w:after="0"/>
              <w:rPr>
                <w:sz w:val="16"/>
                <w:szCs w:val="16"/>
                <w:color w:val="auto"/>
              </w:rPr>
            </w:pPr>
          </w:p>
        </w:tc>
        <w:tc>
          <w:tcPr>
            <w:tcW w:w="7500" w:type="dxa"/>
            <w:vAlign w:val="bottom"/>
            <w:shd w:val="clear" w:color="auto" w:fill="E9E9E9"/>
          </w:tcPr>
          <w:p>
            <w:pPr>
              <w:ind w:left="340"/>
              <w:spacing w:after="0"/>
              <w:rPr>
                <w:sz w:val="20"/>
                <w:szCs w:val="20"/>
                <w:color w:val="auto"/>
              </w:rPr>
            </w:pPr>
            <w:r>
              <w:rPr>
                <w:rFonts w:ascii="Arial" w:cs="Arial" w:eastAsia="Arial" w:hAnsi="Arial"/>
                <w:sz w:val="16"/>
                <w:szCs w:val="16"/>
                <w:color w:val="auto"/>
              </w:rPr>
              <w:t>education and on-boarding, and allocation of meeting times.</w:t>
            </w:r>
          </w:p>
        </w:tc>
      </w:tr>
      <w:tr>
        <w:trPr>
          <w:trHeight w:val="135"/>
        </w:trPr>
        <w:tc>
          <w:tcPr>
            <w:tcW w:w="3520" w:type="dxa"/>
            <w:vAlign w:val="bottom"/>
          </w:tcPr>
          <w:p>
            <w:pPr>
              <w:ind w:left="100"/>
              <w:spacing w:after="0" w:line="135" w:lineRule="exact"/>
              <w:rPr>
                <w:sz w:val="20"/>
                <w:szCs w:val="20"/>
                <w:color w:val="auto"/>
              </w:rPr>
            </w:pPr>
            <w:r>
              <w:rPr>
                <w:rFonts w:ascii="Arial" w:cs="Arial" w:eastAsia="Arial" w:hAnsi="Arial"/>
                <w:sz w:val="15"/>
                <w:szCs w:val="15"/>
                <w:color w:val="auto"/>
              </w:rPr>
              <w:t>Actionable Items and Follow-Up – Ongoing</w:t>
            </w:r>
          </w:p>
        </w:tc>
        <w:tc>
          <w:tcPr>
            <w:tcW w:w="7500" w:type="dxa"/>
            <w:vAlign w:val="bottom"/>
          </w:tcPr>
          <w:p>
            <w:pPr>
              <w:ind w:left="340"/>
              <w:spacing w:after="0" w:line="135" w:lineRule="exact"/>
              <w:rPr>
                <w:sz w:val="20"/>
                <w:szCs w:val="20"/>
                <w:color w:val="auto"/>
              </w:rPr>
            </w:pPr>
            <w:r>
              <w:rPr>
                <w:rFonts w:ascii="Arial" w:cs="Arial" w:eastAsia="Arial" w:hAnsi="Arial"/>
                <w:sz w:val="15"/>
                <w:szCs w:val="15"/>
                <w:color w:val="auto"/>
              </w:rPr>
              <w:t>The Board and committees address any actionable items throughout the year, including a mid-</w:t>
            </w:r>
          </w:p>
        </w:tc>
      </w:tr>
      <w:tr>
        <w:trPr>
          <w:trHeight w:val="189"/>
        </w:trPr>
        <w:tc>
          <w:tcPr>
            <w:tcW w:w="3520" w:type="dxa"/>
            <w:vAlign w:val="bottom"/>
            <w:tcBorders>
              <w:bottom w:val="single" w:sz="8" w:color="auto"/>
            </w:tcBorders>
          </w:tcPr>
          <w:p>
            <w:pPr>
              <w:spacing w:after="0"/>
              <w:rPr>
                <w:sz w:val="16"/>
                <w:szCs w:val="16"/>
                <w:color w:val="auto"/>
              </w:rPr>
            </w:pPr>
          </w:p>
        </w:tc>
        <w:tc>
          <w:tcPr>
            <w:tcW w:w="750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year check-in and end of year assessment against the actionable items identified in February.</w:t>
            </w:r>
          </w:p>
        </w:tc>
      </w:tr>
    </w:tbl>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C8102E"/>
        </w:rPr>
        <w:t>Board’s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69951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23"/>
          <w:szCs w:val="23"/>
          <w:color w:val="auto"/>
        </w:rPr>
        <w:t> Full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951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2" w:lineRule="exact"/>
        <w:rPr>
          <w:sz w:val="20"/>
          <w:szCs w:val="20"/>
          <w:color w:val="auto"/>
        </w:rPr>
      </w:pPr>
    </w:p>
    <w:p>
      <w:pPr>
        <w:jc w:val="both"/>
        <w:ind w:right="20"/>
        <w:spacing w:after="0" w:line="219" w:lineRule="auto"/>
        <w:rPr>
          <w:sz w:val="20"/>
          <w:szCs w:val="20"/>
          <w:color w:val="auto"/>
        </w:rPr>
      </w:pPr>
      <w:r>
        <w:rPr>
          <w:rFonts w:ascii="Arial" w:cs="Arial" w:eastAsia="Arial" w:hAnsi="Arial"/>
          <w:sz w:val="16"/>
          <w:szCs w:val="16"/>
          <w:color w:val="auto"/>
        </w:rPr>
        <w:t>The Board maintains responsibility for oversight of risks that may affect the Company. The Board discharges this duty primarily through its standing committees and also considers risk in its strategic planning for the Company and in its consideration of acquisitions. The Board engages in discussions about risk at each quarterly meeting, where it receives reports from its committees, as applicable, about the risk oversight activities within their respective areas of responsibility. In coordination with the Audit Committee, the Board reviews the Company’s enterprise risk management with the Company’s senior leaders, with a focus on those risks that have the highest probability and greatest impact to the Company. In addition, the Company maintains a Compliance Steering Committee, which includes all members of the Company’s executive leadership team, as well as leaders of key functional areas, such as compliance, supply chain and information technology. The Compliance Steering Committee meets on a quarterly basis to review enterprise risks, as well as related mitigation efforts, and management provides regular updates to the Board on significant matters that are discussed at such meetings.</w:t>
      </w:r>
    </w:p>
    <w:p>
      <w:pPr>
        <w:spacing w:after="0" w:line="115" w:lineRule="exact"/>
        <w:rPr>
          <w:sz w:val="20"/>
          <w:szCs w:val="20"/>
          <w:color w:val="auto"/>
        </w:rPr>
      </w:pPr>
    </w:p>
    <w:p>
      <w:pPr>
        <w:jc w:val="both"/>
        <w:ind w:right="20"/>
        <w:spacing w:after="0" w:line="228" w:lineRule="auto"/>
        <w:rPr>
          <w:sz w:val="20"/>
          <w:szCs w:val="20"/>
          <w:color w:val="auto"/>
        </w:rPr>
      </w:pPr>
      <w:r>
        <w:rPr>
          <w:rFonts w:ascii="Arial" w:cs="Arial" w:eastAsia="Arial" w:hAnsi="Arial"/>
          <w:sz w:val="16"/>
          <w:szCs w:val="16"/>
          <w:color w:val="auto"/>
        </w:rPr>
        <w:t>The Audit, Nominating and Corporate Governance and CHCM Committees each make full reports to the Board of Directors at each regularly scheduled meeting regarding each committee’s considerations and actions, and risk considerations are presented to and discussed with the Board by management as part of strategic planning sessions and when considering potential acquisitions. Further details regarding the roles of the Board’s standing committees with respect to risk oversight are set forth below.</w:t>
      </w:r>
    </w:p>
    <w:p>
      <w:pPr>
        <w:spacing w:after="0" w:line="148" w:lineRule="exact"/>
        <w:rPr>
          <w:sz w:val="20"/>
          <w:szCs w:val="20"/>
          <w:color w:val="auto"/>
        </w:rPr>
      </w:pPr>
    </w:p>
    <w:p>
      <w:pPr>
        <w:spacing w:after="0"/>
        <w:rPr>
          <w:sz w:val="20"/>
          <w:szCs w:val="20"/>
          <w:color w:val="auto"/>
        </w:rPr>
      </w:pPr>
      <w:r>
        <w:rPr>
          <w:rFonts w:ascii="Arial" w:cs="Arial" w:eastAsia="Arial" w:hAnsi="Arial"/>
          <w:sz w:val="23"/>
          <w:szCs w:val="23"/>
          <w:color w:val="auto"/>
        </w:rPr>
        <w:t>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-164465</wp:posOffset>
            </wp:positionV>
            <wp:extent cx="6995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23495</wp:posOffset>
            </wp:positionV>
            <wp:extent cx="6995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2" w:lineRule="exact"/>
        <w:rPr>
          <w:sz w:val="20"/>
          <w:szCs w:val="20"/>
          <w:color w:val="auto"/>
        </w:rPr>
      </w:pPr>
    </w:p>
    <w:p>
      <w:pPr>
        <w:jc w:val="both"/>
        <w:ind w:right="20"/>
        <w:spacing w:after="0" w:line="228" w:lineRule="auto"/>
        <w:rPr>
          <w:sz w:val="20"/>
          <w:szCs w:val="20"/>
          <w:color w:val="auto"/>
        </w:rPr>
      </w:pPr>
      <w:r>
        <w:rPr>
          <w:rFonts w:ascii="Arial" w:cs="Arial" w:eastAsia="Arial" w:hAnsi="Arial"/>
          <w:sz w:val="16"/>
          <w:szCs w:val="16"/>
          <w:color w:val="auto"/>
        </w:rPr>
        <w:t>The Audit Committee (i) receives reports from and discusses with management, our internal audit team, and our independent registered public accounting firm all major risk exposures (whether financial, operating or otherwise), (ii) reviews the Company’s policies with respect to risk assessment and enterprise risk management, including with respect to cybersecurity risks, and (iii) oversees compliance with legal and regulatory requirements and our ethics program, including our Code of Business Conduct.</w:t>
      </w:r>
    </w:p>
    <w:p>
      <w:pPr>
        <w:spacing w:after="0" w:line="111" w:lineRule="exact"/>
        <w:rPr>
          <w:sz w:val="20"/>
          <w:szCs w:val="20"/>
          <w:color w:val="auto"/>
        </w:rPr>
      </w:pPr>
    </w:p>
    <w:p>
      <w:pPr>
        <w:jc w:val="both"/>
        <w:spacing w:after="0" w:line="225" w:lineRule="auto"/>
        <w:rPr>
          <w:sz w:val="20"/>
          <w:szCs w:val="20"/>
          <w:color w:val="auto"/>
        </w:rPr>
      </w:pPr>
      <w:r>
        <w:rPr>
          <w:rFonts w:ascii="Arial" w:cs="Arial" w:eastAsia="Arial" w:hAnsi="Arial"/>
          <w:sz w:val="16"/>
          <w:szCs w:val="16"/>
          <w:color w:val="auto"/>
        </w:rPr>
        <w:t>On an annual basis, management (i) provides the Audit Committee with a comprehensive overview of the Company’s compliance, information security and cybersecurity programs and initiatives and (ii) reviews its assessment of key enterprise risks and focus areas with the Audit Committee, utilizing a “risk radar” approach developed from meetings with key executives, external benchmarking discussions and reviews of industry thought leadership. Such assessment takes into account, among other things, potential impact to financial statements, regulatory and compliance considerations, potential impact to the Company’s brand and reputation, and the Company’s ability to meet customer demands.</w:t>
      </w:r>
    </w:p>
    <w:p>
      <w:pPr>
        <w:spacing w:after="0" w:line="110"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Management reports to the Audit Committee on a quarterly basis regarding the Company’s information security and cybersecurity programs, including the Company’s training, processes, controls and procedures in these areas, as well as its efforts to monitor and improve its cybersecurity defenses and response plans. In addition, management provides regular updates to the Audit Committee on compliance and other matters that are raised through the Company’s ethics hotline and other internal channels.</w:t>
      </w:r>
    </w:p>
    <w:p>
      <w:pPr>
        <w:spacing w:after="0" w:line="161" w:lineRule="exact"/>
        <w:rPr>
          <w:sz w:val="20"/>
          <w:szCs w:val="20"/>
          <w:color w:val="auto"/>
        </w:rPr>
      </w:pPr>
    </w:p>
    <w:p>
      <w:pPr>
        <w:spacing w:after="0"/>
        <w:rPr>
          <w:sz w:val="20"/>
          <w:szCs w:val="20"/>
          <w:color w:val="auto"/>
        </w:rPr>
      </w:pPr>
      <w:r>
        <w:rPr>
          <w:rFonts w:ascii="Arial" w:cs="Arial" w:eastAsia="Arial" w:hAnsi="Arial"/>
          <w:sz w:val="23"/>
          <w:szCs w:val="23"/>
          <w:color w:val="auto"/>
        </w:rPr>
        <w:t> 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-164465</wp:posOffset>
            </wp:positionV>
            <wp:extent cx="6995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23495</wp:posOffset>
            </wp:positionV>
            <wp:extent cx="699516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2" w:lineRule="exact"/>
        <w:rPr>
          <w:sz w:val="20"/>
          <w:szCs w:val="20"/>
          <w:color w:val="auto"/>
        </w:rPr>
      </w:pPr>
    </w:p>
    <w:p>
      <w:pPr>
        <w:jc w:val="both"/>
        <w:ind w:right="20"/>
        <w:spacing w:after="0" w:line="228" w:lineRule="auto"/>
        <w:rPr>
          <w:sz w:val="20"/>
          <w:szCs w:val="20"/>
          <w:color w:val="auto"/>
        </w:rPr>
      </w:pPr>
      <w:r>
        <w:rPr>
          <w:rFonts w:ascii="Arial" w:cs="Arial" w:eastAsia="Arial" w:hAnsi="Arial"/>
          <w:sz w:val="16"/>
          <w:szCs w:val="16"/>
          <w:color w:val="auto"/>
        </w:rPr>
        <w:t>The Nominating and Corporate Governance Committee oversees the corporate governance principles and governance structures that contribute to successful risk oversight and management. Pursuant to its charter, the Nominating and Corporate Governance Committee has primary oversight responsibility for reviewing the Company’s undertaking with respect to environmental, social and governance matters, and reviews environmental, social and governance trends and developments with management as a standing agenda item at each meeting.</w:t>
      </w:r>
    </w:p>
    <w:p>
      <w:pPr>
        <w:spacing w:after="0" w:line="138" w:lineRule="exact"/>
        <w:rPr>
          <w:sz w:val="20"/>
          <w:szCs w:val="20"/>
          <w:color w:val="auto"/>
        </w:rPr>
      </w:pPr>
    </w:p>
    <w:p>
      <w:pPr>
        <w:ind w:left="7520"/>
        <w:spacing w:after="0"/>
        <w:tabs>
          <w:tab w:leader="none" w:pos="10800" w:val="left"/>
        </w:tabs>
        <w:rPr>
          <w:sz w:val="20"/>
          <w:szCs w:val="20"/>
          <w:color w:val="auto"/>
        </w:rPr>
      </w:pPr>
      <w:r>
        <w:rPr>
          <w:sz w:val="1"/>
          <w:szCs w:val="1"/>
          <w:color w:val="auto"/>
        </w:rPr>
        <w:drawing>
          <wp:inline distT="0" distB="0" distL="0" distR="0">
            <wp:extent cx="685800" cy="16256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0" cy="162560"/>
                    </a:xfrm>
                    <a:prstGeom prst="rect">
                      <a:avLst/>
                    </a:prstGeom>
                    <a:noFill/>
                    <a:ln>
                      <a:noFill/>
                    </a:ln>
                  </pic:spPr>
                </pic:pic>
              </a:graphicData>
            </a:graphic>
          </wp:inline>
        </w:drawing>
      </w:r>
      <w:r>
        <w:rPr>
          <w:rFonts w:ascii="Arial" w:cs="Arial" w:eastAsia="Arial" w:hAnsi="Arial"/>
          <w:sz w:val="18"/>
          <w:szCs w:val="18"/>
          <w:color w:val="auto"/>
        </w:rPr>
        <w:t xml:space="preserve"> - 2026 Proxy Statement</w:t>
      </w:r>
      <w:r>
        <w:rPr>
          <w:sz w:val="20"/>
          <w:szCs w:val="20"/>
          <w:color w:val="auto"/>
        </w:rPr>
        <w:tab/>
      </w: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-186690</wp:posOffset>
            </wp:positionV>
            <wp:extent cx="6995160" cy="3257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325755"/>
                    </a:xfrm>
                    <a:prstGeom prst="rect">
                      <a:avLst/>
                    </a:prstGeom>
                    <a:noFill/>
                  </pic:spPr>
                </pic:pic>
              </a:graphicData>
            </a:graphic>
          </wp:anchor>
        </w:drawing>
      </w:r>
    </w:p>
    <w:p>
      <w:pPr>
        <w:sectPr>
          <w:pgSz w:w="11900" w:h="16838" w:orient="portrait"/>
          <w:cols w:equalWidth="0" w:num="1">
            <w:col w:w="11020"/>
          </w:cols>
          <w:pgMar w:left="440" w:top="679" w:right="439" w:bottom="1440" w:gutter="0" w:footer="0" w:header="0"/>
        </w:sectPr>
      </w:pPr>
    </w:p>
    <w:bookmarkStart w:id="25" w:name="page26"/>
    <w:bookmarkEnd w:id="25"/>
    <w:p>
      <w:pPr>
        <w:spacing w:after="0"/>
        <w:rPr>
          <w:sz w:val="20"/>
          <w:szCs w:val="20"/>
          <w:color w:val="auto"/>
        </w:rPr>
      </w:pPr>
      <w:r>
        <w:rPr>
          <w:rFonts w:ascii="Arial" w:cs="Arial" w:eastAsia="Arial" w:hAnsi="Arial"/>
          <w:sz w:val="23"/>
          <w:szCs w:val="23"/>
          <w:color w:val="auto"/>
        </w:rPr>
        <w:t> CHCM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-164465</wp:posOffset>
            </wp:positionV>
            <wp:extent cx="69951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23495</wp:posOffset>
            </wp:positionV>
            <wp:extent cx="699516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2" w:lineRule="exact"/>
        <w:rPr>
          <w:sz w:val="20"/>
          <w:szCs w:val="20"/>
          <w:color w:val="auto"/>
        </w:rPr>
      </w:pPr>
    </w:p>
    <w:p>
      <w:pPr>
        <w:jc w:val="both"/>
        <w:spacing w:after="0" w:line="222" w:lineRule="auto"/>
        <w:rPr>
          <w:sz w:val="20"/>
          <w:szCs w:val="20"/>
          <w:color w:val="auto"/>
        </w:rPr>
      </w:pPr>
      <w:r>
        <w:rPr>
          <w:rFonts w:ascii="Arial" w:cs="Arial" w:eastAsia="Arial" w:hAnsi="Arial"/>
          <w:sz w:val="16"/>
          <w:szCs w:val="16"/>
          <w:color w:val="auto"/>
        </w:rPr>
        <w:t>The CHCM Committee has direct oversight for the management of certain risks associated with compensation policies and practices, as further discussed below under “Compensation Discussion and Analysis—Compensation Program and Risk.” The CHCM Committee also reviews the Company’s strategies and policies related to human capital management, including with respect to matters such as pay equity, corporate culture, talent development and retention. In addition, the CHCM Committee administers and implements the Company’s clawback policies, including the Enovis Corporation Policy for Recovery of Erroneously Awarded Compensation, including interpreting such policies, reviewing and evaluating such policies and recommending updates or modifications to such policies to the Board for consideration.</w:t>
      </w:r>
    </w:p>
    <w:p>
      <w:pPr>
        <w:spacing w:after="0" w:line="97" w:lineRule="exact"/>
        <w:rPr>
          <w:sz w:val="20"/>
          <w:szCs w:val="20"/>
          <w:color w:val="auto"/>
        </w:rPr>
      </w:pPr>
    </w:p>
    <w:p>
      <w:pPr>
        <w:spacing w:after="0"/>
        <w:rPr>
          <w:sz w:val="20"/>
          <w:szCs w:val="20"/>
          <w:color w:val="auto"/>
        </w:rPr>
      </w:pPr>
      <w:r>
        <w:rPr>
          <w:rFonts w:ascii="Arial" w:cs="Arial" w:eastAsia="Arial" w:hAnsi="Arial"/>
          <w:sz w:val="32"/>
          <w:szCs w:val="32"/>
          <w:b w:val="1"/>
          <w:bCs w:val="1"/>
          <w:color w:val="C8102E"/>
        </w:rPr>
        <w:t>Standards of Conduct</w:t>
      </w:r>
    </w:p>
    <w:p>
      <w:pPr>
        <w:spacing w:after="0" w:line="198" w:lineRule="exact"/>
        <w:rPr>
          <w:sz w:val="20"/>
          <w:szCs w:val="20"/>
          <w:color w:val="auto"/>
        </w:rPr>
      </w:pPr>
    </w:p>
    <w:p>
      <w:pPr>
        <w:spacing w:after="0"/>
        <w:rPr>
          <w:sz w:val="20"/>
          <w:szCs w:val="20"/>
          <w:color w:val="auto"/>
        </w:rPr>
      </w:pPr>
      <w:r>
        <w:rPr>
          <w:rFonts w:ascii="Arial" w:cs="Arial" w:eastAsia="Arial" w:hAnsi="Arial"/>
          <w:sz w:val="23"/>
          <w:szCs w:val="23"/>
          <w:color w:val="auto"/>
        </w:rPr>
        <w:t> Corporate Governance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-164465</wp:posOffset>
            </wp:positionV>
            <wp:extent cx="6995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23495</wp:posOffset>
            </wp:positionV>
            <wp:extent cx="69951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The Board has adopted Corporate Governance Guidelines, which set forth a framework to assist the Board in the exercise of its responsibilities. The Corporate Governance Guidelines cover, among other things, the composition and certain functions of the Board and its committees, executive sessions, Board responsibilities, expectations for directors, director orientation and continuing education,</w:t>
      </w:r>
    </w:p>
    <w:p>
      <w:pPr>
        <w:spacing w:after="0" w:line="147" w:lineRule="exact"/>
        <w:rPr>
          <w:sz w:val="20"/>
          <w:szCs w:val="20"/>
          <w:color w:val="auto"/>
        </w:rPr>
      </w:pPr>
    </w:p>
    <w:p>
      <w:pPr>
        <w:spacing w:after="0"/>
        <w:rPr>
          <w:sz w:val="20"/>
          <w:szCs w:val="20"/>
          <w:color w:val="auto"/>
        </w:rPr>
      </w:pPr>
      <w:r>
        <w:rPr>
          <w:rFonts w:ascii="Arial" w:cs="Arial" w:eastAsia="Arial" w:hAnsi="Arial"/>
          <w:sz w:val="23"/>
          <w:szCs w:val="23"/>
          <w:color w:val="auto"/>
        </w:rPr>
        <w:t> Code of Business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-164465</wp:posOffset>
            </wp:positionV>
            <wp:extent cx="69951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23495</wp:posOffset>
            </wp:positionV>
            <wp:extent cx="69951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0"/>
          <w:szCs w:val="20"/>
          <w:color w:val="auto"/>
        </w:rPr>
      </w:pPr>
    </w:p>
    <w:p>
      <w:pPr>
        <w:jc w:val="both"/>
        <w:ind w:right="20"/>
        <w:spacing w:after="0" w:line="222" w:lineRule="auto"/>
        <w:rPr>
          <w:sz w:val="20"/>
          <w:szCs w:val="20"/>
          <w:color w:val="auto"/>
        </w:rPr>
      </w:pPr>
      <w:r>
        <w:rPr>
          <w:rFonts w:ascii="Arial" w:cs="Arial" w:eastAsia="Arial" w:hAnsi="Arial"/>
          <w:sz w:val="16"/>
          <w:szCs w:val="16"/>
          <w:color w:val="auto"/>
        </w:rPr>
        <w:t>As part of our system of corporate governance, the Board has also adopted a Code of Business Conduct (the “Code of Conduct”), that is applicable to all directors, officers and employees of the Company. The Code of Conduct sets forth Company policies, expectations and procedures on a number of topics, including but not limited to conflicts of interest, compliance with laws, rules and regulations (including insider trading laws), honesty and ethical conduct, and quality. The Code of Conduct also sets forth procedures for reporting violations of the Code of Conduct and investigations thereof. If the Board grants any waivers from our Code of Conduct to any of our directors or executive officers, or if we amend our Code of Conduct, we will, if required, disclose these matters through our website within four business days following such waiver or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97790</wp:posOffset>
            </wp:positionV>
            <wp:extent cx="699516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23"/>
          <w:szCs w:val="23"/>
          <w:color w:val="auto"/>
        </w:rPr>
        <w:t> 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95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9" w:lineRule="exact"/>
        <w:rPr>
          <w:sz w:val="20"/>
          <w:szCs w:val="20"/>
          <w:color w:val="auto"/>
        </w:rPr>
      </w:pPr>
    </w:p>
    <w:p>
      <w:pPr>
        <w:jc w:val="both"/>
        <w:ind w:right="20"/>
        <w:spacing w:after="0" w:line="222" w:lineRule="auto"/>
        <w:rPr>
          <w:sz w:val="20"/>
          <w:szCs w:val="20"/>
          <w:color w:val="auto"/>
        </w:rPr>
      </w:pPr>
      <w:r>
        <w:rPr>
          <w:rFonts w:ascii="Arial" w:cs="Arial" w:eastAsia="Arial" w:hAnsi="Arial"/>
          <w:sz w:val="16"/>
          <w:szCs w:val="16"/>
          <w:color w:val="auto"/>
        </w:rPr>
        <w:t>The CHCM Committee has adopted and maintains the Enovis Corporation Policy for Recovery of Erroneously Awarded Compensation in compliance with SEC rules and NYSE listing standards which applies to our executive officers. The policy mandates the recovery of any erroneously awarded incentive-based compensation in the event that the Company is required to restate its financial results due to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See page 38 for further details on our clawback policy.</w:t>
      </w:r>
    </w:p>
    <w:p>
      <w:pPr>
        <w:spacing w:after="0" w:line="163" w:lineRule="exact"/>
        <w:rPr>
          <w:sz w:val="20"/>
          <w:szCs w:val="20"/>
          <w:color w:val="auto"/>
        </w:rPr>
      </w:pPr>
    </w:p>
    <w:p>
      <w:pPr>
        <w:spacing w:after="0"/>
        <w:rPr>
          <w:sz w:val="20"/>
          <w:szCs w:val="20"/>
          <w:color w:val="auto"/>
        </w:rPr>
      </w:pPr>
      <w:r>
        <w:rPr>
          <w:rFonts w:ascii="Arial" w:cs="Arial" w:eastAsia="Arial" w:hAnsi="Arial"/>
          <w:sz w:val="23"/>
          <w:szCs w:val="23"/>
          <w:color w:val="auto"/>
        </w:rPr>
        <w:t> Policies on Insider Trading, Hedging, Pledging and Stock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-164465</wp:posOffset>
            </wp:positionV>
            <wp:extent cx="69951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23495</wp:posOffset>
            </wp:positionV>
            <wp:extent cx="69951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2" w:lineRule="exact"/>
        <w:rPr>
          <w:sz w:val="20"/>
          <w:szCs w:val="20"/>
          <w:color w:val="auto"/>
        </w:rPr>
      </w:pPr>
    </w:p>
    <w:p>
      <w:pPr>
        <w:jc w:val="both"/>
        <w:spacing w:after="0" w:line="218" w:lineRule="auto"/>
        <w:rPr>
          <w:sz w:val="20"/>
          <w:szCs w:val="20"/>
          <w:color w:val="auto"/>
        </w:rPr>
      </w:pPr>
      <w:r>
        <w:rPr>
          <w:rFonts w:ascii="Arial" w:cs="Arial" w:eastAsia="Arial" w:hAnsi="Arial"/>
          <w:sz w:val="16"/>
          <w:szCs w:val="16"/>
          <w:color w:val="auto"/>
        </w:rPr>
        <w:t>The Company has an insider trading policy that governs the purchase, sale, and/or other dispositions of our securities by directors, officers, employees, contractors, consultants and other persons designated by the Company that we believe is reasonably designed to promote compliance with insider trading laws, rules and regulations, and the listing requirements of the New York Stock Exchange. In addition, our insider trading policy requires prior legal department review and approval of any Rule 10b5-1 trading plans, and prohibits any director, officer or employee of the Company from engaging in short sales, transactions in derivative securities (including put and call options), or other forms of hedging and monetization transactions, such as zero-cost collars, equity swaps, exchange funds and forward sale contracts, that allow the holder to limit or eliminate the risk of a decrease in the value of the Company’s securities. Our Corporate Governance Guidelines and insider trading policy prohibit pledging of Enovis stock by employees and directors. Further, we have stock ownership policies applicable to our directors and executives to promote alignment of interests between our stockholders, directors and management, as described in greater detail further in this Proxy Statement.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-118745</wp:posOffset>
            </wp:positionV>
            <wp:extent cx="762635" cy="3860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2635" cy="38608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134620</wp:posOffset>
            </wp:positionV>
            <wp:extent cx="69951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689" w:right="439" w:bottom="1440" w:gutter="0" w:footer="0" w:header="0"/>
        </w:sectPr>
      </w:pPr>
    </w:p>
    <w:bookmarkStart w:id="26" w:name="page27"/>
    <w:bookmarkEnd w:id="26"/>
    <w:p>
      <w:pPr>
        <w:spacing w:after="0"/>
        <w:rPr>
          <w:sz w:val="20"/>
          <w:szCs w:val="20"/>
          <w:color w:val="auto"/>
        </w:rPr>
      </w:pPr>
      <w:r>
        <w:rPr>
          <w:rFonts w:ascii="Arial" w:cs="Arial" w:eastAsia="Arial" w:hAnsi="Arial"/>
          <w:sz w:val="23"/>
          <w:szCs w:val="23"/>
          <w:color w:val="auto"/>
        </w:rPr>
        <w:t>  Where to Find Our Key Governance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-164465</wp:posOffset>
            </wp:positionV>
            <wp:extent cx="69951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23495</wp:posOffset>
            </wp:positionV>
            <wp:extent cx="69951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Corporate Governance Guidelines and Code of Conduct are available on the Company’s website at www.enovis.com on the Investors page under the Corporate Governance tab. These materials also are available in print to any stockholder upon request to: Corporate Secretary, Enovis Corporation, 2711 Centerville Road, Suite 400, Wilmington, DE 19808.</w:t>
      </w:r>
    </w:p>
    <w:p>
      <w:pPr>
        <w:spacing w:after="0" w:line="94" w:lineRule="exact"/>
        <w:rPr>
          <w:sz w:val="20"/>
          <w:szCs w:val="20"/>
          <w:color w:val="auto"/>
        </w:rPr>
      </w:pPr>
    </w:p>
    <w:p>
      <w:pPr>
        <w:spacing w:after="0"/>
        <w:rPr>
          <w:sz w:val="20"/>
          <w:szCs w:val="20"/>
          <w:color w:val="auto"/>
        </w:rPr>
      </w:pPr>
      <w:r>
        <w:rPr>
          <w:rFonts w:ascii="Arial" w:cs="Arial" w:eastAsia="Arial" w:hAnsi="Arial"/>
          <w:sz w:val="32"/>
          <w:szCs w:val="32"/>
          <w:b w:val="1"/>
          <w:bCs w:val="1"/>
          <w:color w:val="C8102E"/>
        </w:rPr>
        <w:t>Certain Relationships and Related Person Transactions</w:t>
      </w:r>
    </w:p>
    <w:p>
      <w:pPr>
        <w:spacing w:after="0" w:line="198" w:lineRule="exact"/>
        <w:rPr>
          <w:sz w:val="20"/>
          <w:szCs w:val="20"/>
          <w:color w:val="auto"/>
        </w:rPr>
      </w:pPr>
    </w:p>
    <w:p>
      <w:pPr>
        <w:spacing w:after="0"/>
        <w:rPr>
          <w:sz w:val="20"/>
          <w:szCs w:val="20"/>
          <w:color w:val="auto"/>
        </w:rPr>
      </w:pPr>
      <w:r>
        <w:rPr>
          <w:rFonts w:ascii="Arial" w:cs="Arial" w:eastAsia="Arial" w:hAnsi="Arial"/>
          <w:sz w:val="23"/>
          <w:szCs w:val="23"/>
          <w:color w:val="auto"/>
        </w:rPr>
        <w:t> Policies and Procedures for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-164465</wp:posOffset>
            </wp:positionV>
            <wp:extent cx="69951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23495</wp:posOffset>
            </wp:positionV>
            <wp:extent cx="69951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2" w:lineRule="exact"/>
        <w:rPr>
          <w:sz w:val="20"/>
          <w:szCs w:val="20"/>
          <w:color w:val="auto"/>
        </w:rPr>
      </w:pPr>
    </w:p>
    <w:p>
      <w:pPr>
        <w:jc w:val="both"/>
        <w:ind w:right="20"/>
        <w:spacing w:after="0" w:line="218" w:lineRule="auto"/>
        <w:rPr>
          <w:sz w:val="20"/>
          <w:szCs w:val="20"/>
          <w:color w:val="auto"/>
        </w:rPr>
      </w:pPr>
      <w:r>
        <w:rPr>
          <w:rFonts w:ascii="Arial" w:cs="Arial" w:eastAsia="Arial" w:hAnsi="Arial"/>
          <w:sz w:val="16"/>
          <w:szCs w:val="16"/>
          <w:color w:val="auto"/>
        </w:rPr>
        <w:t>We have adopted a written Policy Regarding Related Person Transactions pursuant to which our Nominating and Corporate Governance Committee or a majority of the disinterested members of our Board generally must approve related person transactions in advance. The policy applies to any transaction or series of similar transactions involving more than $120,000 in which the Company is a participant and in which a “related person” has a direct or indirect material interest. “Related persons” include the Company’s directors, nominees for director, executive officers, and greater than 5% stockholders, as well as the immediate family members of the foregoing. In approving or rejecting the proposed transaction, our Nominating and Corporate Governance Committee takes into account, among other factors it deems appropriate, whether the proposed related person transaction is on terms no less favorable than terms generally available to an unaffiliated third party under the same or similar circumstances, the extent of the person’s interest in the transaction and, if applicable, the impact on a director’s independence. Under the policy, if we discover related person transactions that have not been approved, the Nominating and Corporate Governance Committee is to be notified and will determine the appropriate action, including ratification, rescission or amendment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96520</wp:posOffset>
            </wp:positionV>
            <wp:extent cx="69951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23"/>
          <w:szCs w:val="23"/>
          <w:color w:val="auto"/>
        </w:rPr>
        <w:t> Relationships and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951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9" w:lineRule="exact"/>
        <w:rPr>
          <w:sz w:val="20"/>
          <w:szCs w:val="20"/>
          <w:color w:val="auto"/>
        </w:rPr>
      </w:pPr>
    </w:p>
    <w:p>
      <w:pPr>
        <w:jc w:val="both"/>
        <w:ind w:right="20"/>
        <w:spacing w:after="0" w:line="228" w:lineRule="auto"/>
        <w:rPr>
          <w:sz w:val="20"/>
          <w:szCs w:val="20"/>
          <w:color w:val="auto"/>
        </w:rPr>
      </w:pPr>
      <w:r>
        <w:rPr>
          <w:rFonts w:ascii="Arial" w:cs="Arial" w:eastAsia="Arial" w:hAnsi="Arial"/>
          <w:sz w:val="16"/>
          <w:szCs w:val="16"/>
          <w:color w:val="auto"/>
        </w:rPr>
        <w:t>Hayden Shirley, who serves as Vice President – Global Product Management and U.S. Marketing for the Company’s Reconstructive business, is the son of Brady R. Shirley, a director and former executive officer of the Company. In 2025, Mr. H. Shirley earned approximately $456,957 in salary and incentive compensation. He was also granted restricted stock unit awards with respect to 4,778 shares, which vest ratably over a three-year period. His compensation is consistent with the total compensation provided to other employees of the same level with similar responsibilities.</w:t>
      </w:r>
    </w:p>
    <w:p>
      <w:pPr>
        <w:spacing w:after="0" w:line="108" w:lineRule="exact"/>
        <w:rPr>
          <w:sz w:val="20"/>
          <w:szCs w:val="20"/>
          <w:color w:val="auto"/>
        </w:rPr>
      </w:pPr>
    </w:p>
    <w:p>
      <w:pPr>
        <w:spacing w:after="0"/>
        <w:rPr>
          <w:sz w:val="20"/>
          <w:szCs w:val="20"/>
          <w:color w:val="auto"/>
        </w:rPr>
      </w:pPr>
      <w:r>
        <w:rPr>
          <w:rFonts w:ascii="Arial" w:cs="Arial" w:eastAsia="Arial" w:hAnsi="Arial"/>
          <w:sz w:val="32"/>
          <w:szCs w:val="32"/>
          <w:b w:val="1"/>
          <w:bCs w:val="1"/>
          <w:color w:val="C8102E"/>
        </w:rPr>
        <w:t>Contacting the Board of Directors</w:t>
      </w:r>
    </w:p>
    <w:p>
      <w:pPr>
        <w:spacing w:after="0" w:line="148"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The Board of Directors has established a process for stockholders and interested parties to communicate with the Board. Stockholders and interested parties wishing to communicate with our Board may do so by writing to any of the members of the Board, the Chair of the Board, or the non-management members of the Board as a group, at:</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Enovis Corporation</w:t>
      </w:r>
    </w:p>
    <w:p>
      <w:pPr>
        <w:ind w:left="320"/>
        <w:spacing w:after="0" w:line="211" w:lineRule="auto"/>
        <w:rPr>
          <w:sz w:val="20"/>
          <w:szCs w:val="20"/>
          <w:color w:val="auto"/>
        </w:rPr>
      </w:pPr>
      <w:r>
        <w:rPr>
          <w:rFonts w:ascii="Arial" w:cs="Arial" w:eastAsia="Arial" w:hAnsi="Arial"/>
          <w:sz w:val="16"/>
          <w:szCs w:val="16"/>
          <w:color w:val="auto"/>
        </w:rPr>
        <w:t>2711 Centerville Road, Suite 400</w:t>
      </w:r>
    </w:p>
    <w:p>
      <w:pPr>
        <w:ind w:left="320"/>
        <w:spacing w:after="0" w:line="211" w:lineRule="auto"/>
        <w:rPr>
          <w:sz w:val="20"/>
          <w:szCs w:val="20"/>
          <w:color w:val="auto"/>
        </w:rPr>
      </w:pPr>
      <w:r>
        <w:rPr>
          <w:rFonts w:ascii="Arial" w:cs="Arial" w:eastAsia="Arial" w:hAnsi="Arial"/>
          <w:sz w:val="16"/>
          <w:szCs w:val="16"/>
          <w:color w:val="auto"/>
        </w:rPr>
        <w:t>Wilmington, Delaware 19808</w:t>
      </w:r>
    </w:p>
    <w:p>
      <w:pPr>
        <w:ind w:left="320"/>
        <w:spacing w:after="0"/>
        <w:rPr>
          <w:sz w:val="20"/>
          <w:szCs w:val="20"/>
          <w:color w:val="auto"/>
        </w:rPr>
      </w:pPr>
      <w:r>
        <w:rPr>
          <w:rFonts w:ascii="Arial" w:cs="Arial" w:eastAsia="Arial" w:hAnsi="Arial"/>
          <w:sz w:val="16"/>
          <w:szCs w:val="16"/>
          <w:color w:val="auto"/>
        </w:rPr>
        <w:t>Attn: Corporate Secretary</w:t>
      </w:r>
    </w:p>
    <w:p>
      <w:pPr>
        <w:spacing w:after="0" w:line="138" w:lineRule="exact"/>
        <w:rPr>
          <w:sz w:val="20"/>
          <w:szCs w:val="20"/>
          <w:color w:val="auto"/>
        </w:rPr>
      </w:pPr>
    </w:p>
    <w:p>
      <w:pPr>
        <w:jc w:val="both"/>
        <w:spacing w:after="0" w:line="218" w:lineRule="auto"/>
        <w:rPr>
          <w:sz w:val="20"/>
          <w:szCs w:val="20"/>
          <w:color w:val="auto"/>
        </w:rPr>
      </w:pPr>
      <w:r>
        <w:rPr>
          <w:rFonts w:ascii="Arial" w:cs="Arial" w:eastAsia="Arial" w:hAnsi="Arial"/>
          <w:sz w:val="16"/>
          <w:szCs w:val="16"/>
          <w:color w:val="auto"/>
        </w:rPr>
        <w:t>Our Policy Regarding Stockholder Communications with the Board of Directors (the “Board Communications Policy”) requires that any stockholder communication to members of the Board prominently display the legend “Board Communication” in order to indicate to the Corporate Secretary that it is communication subject to our policy and will be received and processed by the Corporate Secretary’s office. Each communication received by the Corporate Secretary is copied for our files and promptly forwarded to the addressee. In our Board Communications Policy, the Board has requested that certain items not related to the Board’s duties and responsibilities be excluded from forwarded communications, such as mass mailings and business advertisements. In addition, the Corporate Secretary is not required to forward any communication that the Corporate Secretary, in good faith, determines to be frivolous, unduly hostile, threatening, illegal or similarly unsuitable. However, the Corporate Secretary maintains a list of each communication subject to this policy that is not forwarded, and on a quarterly basis delivers the list to the Chair of the Board. In addition, each communication subject to this policy that is not forwarded because it was determined by the Secretary to be frivolous, commercial advertising, irrelevant or similarly unsuitable is nevertheless retained in our files and made available at the request of any member of the Board to whom such communication was addressed.</w:t>
      </w:r>
    </w:p>
    <w:p>
      <w:pPr>
        <w:spacing w:after="0" w:line="138" w:lineRule="exact"/>
        <w:rPr>
          <w:sz w:val="20"/>
          <w:szCs w:val="20"/>
          <w:color w:val="auto"/>
        </w:rPr>
      </w:pPr>
    </w:p>
    <w:p>
      <w:pPr>
        <w:ind w:left="7520"/>
        <w:spacing w:after="0"/>
        <w:tabs>
          <w:tab w:leader="none" w:pos="10800" w:val="left"/>
        </w:tabs>
        <w:rPr>
          <w:sz w:val="20"/>
          <w:szCs w:val="20"/>
          <w:color w:val="auto"/>
        </w:rPr>
      </w:pPr>
      <w:r>
        <w:rPr>
          <w:sz w:val="1"/>
          <w:szCs w:val="1"/>
          <w:color w:val="auto"/>
        </w:rPr>
        <w:drawing>
          <wp:inline distT="0" distB="0" distL="0" distR="0">
            <wp:extent cx="685800" cy="163195"/>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0" cy="163195"/>
                    </a:xfrm>
                    <a:prstGeom prst="rect">
                      <a:avLst/>
                    </a:prstGeom>
                    <a:noFill/>
                    <a:ln>
                      <a:noFill/>
                    </a:ln>
                  </pic:spPr>
                </pic:pic>
              </a:graphicData>
            </a:graphic>
          </wp:inline>
        </w:drawing>
      </w:r>
      <w:r>
        <w:rPr>
          <w:rFonts w:ascii="Arial" w:cs="Arial" w:eastAsia="Arial" w:hAnsi="Arial"/>
          <w:sz w:val="18"/>
          <w:szCs w:val="18"/>
          <w:color w:val="auto"/>
        </w:rPr>
        <w:t xml:space="preserve"> - 2026 Proxy Statement</w:t>
      </w:r>
      <w:r>
        <w:rPr>
          <w:sz w:val="20"/>
          <w:szCs w:val="20"/>
          <w:color w:val="auto"/>
        </w:rPr>
        <w:tab/>
      </w: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-186690</wp:posOffset>
            </wp:positionV>
            <wp:extent cx="6995160" cy="3257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325755"/>
                    </a:xfrm>
                    <a:prstGeom prst="rect">
                      <a:avLst/>
                    </a:prstGeom>
                    <a:noFill/>
                  </pic:spPr>
                </pic:pic>
              </a:graphicData>
            </a:graphic>
          </wp:anchor>
        </w:drawing>
      </w:r>
    </w:p>
    <w:p>
      <w:pPr>
        <w:sectPr>
          <w:pgSz w:w="11900" w:h="16838" w:orient="portrait"/>
          <w:cols w:equalWidth="0" w:num="1">
            <w:col w:w="11020"/>
          </w:cols>
          <w:pgMar w:left="440" w:top="675" w:right="439" w:bottom="1440" w:gutter="0" w:footer="0" w:header="0"/>
        </w:sectPr>
      </w:pPr>
    </w:p>
    <w:bookmarkStart w:id="27" w:name="page28"/>
    <w:bookmarkEnd w:id="27"/>
    <w:p>
      <w:pPr>
        <w:ind w:left="644" w:hanging="644"/>
        <w:spacing w:after="0"/>
        <w:tabs>
          <w:tab w:leader="none" w:pos="644" w:val="left"/>
        </w:tabs>
        <w:numPr>
          <w:ilvl w:val="0"/>
          <w:numId w:val="63"/>
        </w:numPr>
        <w:rPr>
          <w:rFonts w:ascii="MS PGothic" w:cs="MS PGothic" w:eastAsia="MS PGothic" w:hAnsi="MS PGothic"/>
          <w:sz w:val="47"/>
          <w:szCs w:val="47"/>
          <w:color w:val="C8102E"/>
        </w:rPr>
      </w:pPr>
      <w:r>
        <w:rPr>
          <w:rFonts w:ascii="Arial" w:cs="Arial" w:eastAsia="Arial" w:hAnsi="Arial"/>
          <w:sz w:val="47"/>
          <w:szCs w:val="47"/>
          <w:color w:val="auto"/>
        </w:rPr>
        <w:t>DIRECTOR COMPENSATION</w:t>
      </w:r>
    </w:p>
    <w:p>
      <w:pPr>
        <w:spacing w:after="0" w:line="145" w:lineRule="exact"/>
        <w:rPr>
          <w:sz w:val="20"/>
          <w:szCs w:val="20"/>
          <w:color w:val="auto"/>
        </w:rPr>
      </w:pPr>
    </w:p>
    <w:p>
      <w:pPr>
        <w:jc w:val="both"/>
        <w:ind w:left="4" w:right="20"/>
        <w:spacing w:after="0" w:line="228" w:lineRule="auto"/>
        <w:rPr>
          <w:sz w:val="20"/>
          <w:szCs w:val="20"/>
          <w:color w:val="auto"/>
        </w:rPr>
      </w:pPr>
      <w:r>
        <w:rPr>
          <w:rFonts w:ascii="Arial" w:cs="Arial" w:eastAsia="Arial" w:hAnsi="Arial"/>
          <w:sz w:val="16"/>
          <w:szCs w:val="16"/>
          <w:color w:val="auto"/>
        </w:rPr>
        <w:t>Our Board, at the recommendation of our CHCM Committee, sets the compensation program for non-employee directors. The CHCM Committee reviews this program on an annual basis and recommends changes as appropriate based on its evaluation of competitive levels for director compensation, utilizing peer company data provided by the Committee’s independent compensation consultant and its reasoned business judgment. See “Role of Compensation Consultants and Peer Data Review” on page 37.</w:t>
      </w:r>
    </w:p>
    <w:p>
      <w:pPr>
        <w:spacing w:after="0" w:line="11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C8102E"/>
        </w:rPr>
        <w:t>ELEMENTS OF COMPENSATION</w:t>
      </w:r>
    </w:p>
    <w:p>
      <w:pPr>
        <w:spacing w:after="0" w:line="149" w:lineRule="exact"/>
        <w:rPr>
          <w:sz w:val="20"/>
          <w:szCs w:val="20"/>
          <w:color w:val="auto"/>
        </w:rPr>
      </w:pPr>
    </w:p>
    <w:p>
      <w:pPr>
        <w:ind w:left="4"/>
        <w:spacing w:after="0"/>
        <w:rPr>
          <w:sz w:val="20"/>
          <w:szCs w:val="20"/>
          <w:color w:val="auto"/>
        </w:rPr>
      </w:pPr>
      <w:r>
        <w:rPr>
          <w:rFonts w:ascii="Arial" w:cs="Arial" w:eastAsia="Arial" w:hAnsi="Arial"/>
          <w:sz w:val="16"/>
          <w:szCs w:val="16"/>
          <w:color w:val="auto"/>
        </w:rPr>
        <w:t>In 2025, non-employee Board members received compensation under the following compensation program:</w:t>
      </w:r>
    </w:p>
    <w:p>
      <w:pPr>
        <w:spacing w:after="0" w:line="78" w:lineRule="exact"/>
        <w:rPr>
          <w:sz w:val="20"/>
          <w:szCs w:val="20"/>
          <w:color w:val="auto"/>
        </w:rPr>
      </w:pPr>
    </w:p>
    <w:p>
      <w:pPr>
        <w:ind w:left="324" w:hanging="324"/>
        <w:spacing w:after="0"/>
        <w:tabs>
          <w:tab w:leader="none" w:pos="324" w:val="left"/>
        </w:tabs>
        <w:numPr>
          <w:ilvl w:val="0"/>
          <w:numId w:val="64"/>
        </w:numPr>
        <w:rPr>
          <w:rFonts w:ascii="MS PGothic" w:cs="MS PGothic" w:eastAsia="MS PGothic" w:hAnsi="MS PGothic"/>
          <w:sz w:val="29"/>
          <w:szCs w:val="29"/>
          <w:color w:val="C8102E"/>
          <w:vertAlign w:val="superscript"/>
        </w:rPr>
      </w:pPr>
      <w:r>
        <w:rPr>
          <w:rFonts w:ascii="Arial" w:cs="Arial" w:eastAsia="Arial" w:hAnsi="Arial"/>
          <w:sz w:val="16"/>
          <w:szCs w:val="16"/>
          <w:color w:val="auto"/>
        </w:rPr>
        <w:t>an annual cash retainer of $70,000;</w:t>
      </w:r>
    </w:p>
    <w:p>
      <w:pPr>
        <w:spacing w:after="0" w:line="138" w:lineRule="exact"/>
        <w:rPr>
          <w:rFonts w:ascii="MS PGothic" w:cs="MS PGothic" w:eastAsia="MS PGothic" w:hAnsi="MS PGothic"/>
          <w:sz w:val="29"/>
          <w:szCs w:val="29"/>
          <w:color w:val="C8102E"/>
          <w:vertAlign w:val="superscript"/>
        </w:rPr>
      </w:pPr>
    </w:p>
    <w:p>
      <w:pPr>
        <w:jc w:val="both"/>
        <w:ind w:left="324" w:right="20" w:hanging="324"/>
        <w:spacing w:after="0" w:line="190" w:lineRule="auto"/>
        <w:tabs>
          <w:tab w:leader="none" w:pos="324" w:val="left"/>
        </w:tabs>
        <w:numPr>
          <w:ilvl w:val="0"/>
          <w:numId w:val="64"/>
        </w:numPr>
        <w:rPr>
          <w:rFonts w:ascii="MS PGothic" w:cs="MS PGothic" w:eastAsia="MS PGothic" w:hAnsi="MS PGothic"/>
          <w:sz w:val="29"/>
          <w:szCs w:val="29"/>
          <w:color w:val="C8102E"/>
          <w:vertAlign w:val="superscript"/>
        </w:rPr>
      </w:pPr>
      <w:r>
        <w:rPr>
          <w:rFonts w:ascii="Arial" w:cs="Arial" w:eastAsia="Arial" w:hAnsi="Arial"/>
          <w:sz w:val="16"/>
          <w:szCs w:val="16"/>
          <w:color w:val="auto"/>
        </w:rPr>
        <w:t>an annual equity award valued at $230,000, calculated under the same valuation approach applied in determining our annual equity grants as described in “Compensation Discussion and Analysis—Additional Compensation Information—Equity Grant Practice,” and awarded in connection with our annual meeting of stockholders, which consists entirely of RSUs that vest after one year of service on the Board;</w:t>
      </w:r>
    </w:p>
    <w:p>
      <w:pPr>
        <w:spacing w:after="0" w:line="138" w:lineRule="exact"/>
        <w:rPr>
          <w:rFonts w:ascii="MS PGothic" w:cs="MS PGothic" w:eastAsia="MS PGothic" w:hAnsi="MS PGothic"/>
          <w:sz w:val="29"/>
          <w:szCs w:val="29"/>
          <w:color w:val="C8102E"/>
          <w:vertAlign w:val="superscript"/>
        </w:rPr>
      </w:pPr>
    </w:p>
    <w:p>
      <w:pPr>
        <w:jc w:val="both"/>
        <w:ind w:left="324" w:right="20" w:hanging="324"/>
        <w:spacing w:after="0" w:line="196" w:lineRule="auto"/>
        <w:tabs>
          <w:tab w:leader="none" w:pos="324" w:val="left"/>
        </w:tabs>
        <w:numPr>
          <w:ilvl w:val="0"/>
          <w:numId w:val="64"/>
        </w:numPr>
        <w:rPr>
          <w:rFonts w:ascii="MS PGothic" w:cs="MS PGothic" w:eastAsia="MS PGothic" w:hAnsi="MS PGothic"/>
          <w:sz w:val="29"/>
          <w:szCs w:val="29"/>
          <w:color w:val="C8102E"/>
          <w:vertAlign w:val="superscript"/>
        </w:rPr>
      </w:pPr>
      <w:r>
        <w:rPr>
          <w:rFonts w:ascii="Arial" w:cs="Arial" w:eastAsia="Arial" w:hAnsi="Arial"/>
          <w:sz w:val="16"/>
          <w:szCs w:val="16"/>
          <w:color w:val="auto"/>
        </w:rPr>
        <w:t>a $40,000 annual cash retainer for service as the Lead Independent Director, a $25,000 annual cash retainer for service as the Audit Committee Chair, a $20,000 annual cash retainer for service as CHCM Committee Chair, and a $15,000 annual cash retainer for service as Nominating and Corporate Governance Committee Chair; and</w:t>
      </w:r>
    </w:p>
    <w:p>
      <w:pPr>
        <w:spacing w:after="0" w:line="48" w:lineRule="exact"/>
        <w:rPr>
          <w:rFonts w:ascii="MS PGothic" w:cs="MS PGothic" w:eastAsia="MS PGothic" w:hAnsi="MS PGothic"/>
          <w:sz w:val="29"/>
          <w:szCs w:val="29"/>
          <w:color w:val="C8102E"/>
          <w:vertAlign w:val="superscript"/>
        </w:rPr>
      </w:pPr>
    </w:p>
    <w:p>
      <w:pPr>
        <w:ind w:left="324" w:hanging="324"/>
        <w:spacing w:after="0"/>
        <w:tabs>
          <w:tab w:leader="none" w:pos="324" w:val="left"/>
        </w:tabs>
        <w:numPr>
          <w:ilvl w:val="0"/>
          <w:numId w:val="64"/>
        </w:numPr>
        <w:rPr>
          <w:rFonts w:ascii="MS PGothic" w:cs="MS PGothic" w:eastAsia="MS PGothic" w:hAnsi="MS PGothic"/>
          <w:sz w:val="29"/>
          <w:szCs w:val="29"/>
          <w:color w:val="C8102E"/>
          <w:vertAlign w:val="superscript"/>
        </w:rPr>
      </w:pPr>
      <w:r>
        <w:rPr>
          <w:rFonts w:ascii="Arial" w:cs="Arial" w:eastAsia="Arial" w:hAnsi="Arial"/>
          <w:sz w:val="16"/>
          <w:szCs w:val="16"/>
          <w:color w:val="auto"/>
        </w:rPr>
        <w:t>in the case of any director who joins the Board following the grant date of the annual equity award, a pro-rated portion of the annual equity award.</w:t>
      </w:r>
    </w:p>
    <w:p>
      <w:pPr>
        <w:spacing w:after="0" w:line="125" w:lineRule="exact"/>
        <w:rPr>
          <w:sz w:val="20"/>
          <w:szCs w:val="20"/>
          <w:color w:val="auto"/>
        </w:rPr>
      </w:pPr>
    </w:p>
    <w:p>
      <w:pPr>
        <w:jc w:val="both"/>
        <w:ind w:left="4"/>
        <w:spacing w:after="0" w:line="227" w:lineRule="auto"/>
        <w:rPr>
          <w:sz w:val="20"/>
          <w:szCs w:val="20"/>
          <w:color w:val="auto"/>
        </w:rPr>
      </w:pPr>
      <w:r>
        <w:rPr>
          <w:rFonts w:ascii="Arial" w:cs="Arial" w:eastAsia="Arial" w:hAnsi="Arial"/>
          <w:sz w:val="16"/>
          <w:szCs w:val="16"/>
          <w:color w:val="auto"/>
        </w:rPr>
        <w:t>Ms. Wienbar, who was elected to serve as Chair of the Board, effective upon Mr. Trerotola’s retirement at the 2025 Annual Meeting, received an annual cash retainer of $150,000 for her service as Chair. Such retainer was prorated for 2025 from the date of her appointment as Chair and replaced her retainer as Lead Independent Director.</w:t>
      </w:r>
    </w:p>
    <w:p>
      <w:pPr>
        <w:spacing w:after="0" w:line="11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C8102E"/>
        </w:rPr>
        <w:t>STOCK OWNERSHIP POLICY FOR DIRECTORS</w:t>
      </w:r>
    </w:p>
    <w:p>
      <w:pPr>
        <w:spacing w:after="0" w:line="149" w:lineRule="exact"/>
        <w:rPr>
          <w:sz w:val="20"/>
          <w:szCs w:val="20"/>
          <w:color w:val="auto"/>
        </w:rPr>
      </w:pPr>
    </w:p>
    <w:p>
      <w:pPr>
        <w:jc w:val="both"/>
        <w:ind w:left="4" w:right="20"/>
        <w:spacing w:after="0" w:line="234" w:lineRule="auto"/>
        <w:rPr>
          <w:sz w:val="20"/>
          <w:szCs w:val="20"/>
          <w:color w:val="auto"/>
        </w:rPr>
      </w:pPr>
      <w:r>
        <w:rPr>
          <w:rFonts w:ascii="Arial" w:cs="Arial" w:eastAsia="Arial" w:hAnsi="Arial"/>
          <w:sz w:val="16"/>
          <w:szCs w:val="16"/>
          <w:color w:val="auto"/>
        </w:rPr>
        <w:t>The Board has also approved a stock ownership policy for our non-employee directors. Each non-employee director is required to own shares of our common stock (including shares issuable upon exercise of stock options and shares underlying RSUs) with a value equal to five times the annual cash retainer within five years of joining the Board. All of our directors have achieved these ownership targets as of the date of this Proxy Statement.</w:t>
      </w:r>
    </w:p>
    <w:p>
      <w:pPr>
        <w:spacing w:after="0" w:line="110" w:lineRule="exact"/>
        <w:rPr>
          <w:sz w:val="20"/>
          <w:szCs w:val="20"/>
          <w:color w:val="auto"/>
        </w:rPr>
      </w:pPr>
    </w:p>
    <w:p>
      <w:pPr>
        <w:jc w:val="both"/>
        <w:ind w:left="4"/>
        <w:spacing w:after="0" w:line="234" w:lineRule="auto"/>
        <w:rPr>
          <w:sz w:val="20"/>
          <w:szCs w:val="20"/>
          <w:color w:val="auto"/>
        </w:rPr>
      </w:pPr>
      <w:r>
        <w:rPr>
          <w:rFonts w:ascii="Arial" w:cs="Arial" w:eastAsia="Arial" w:hAnsi="Arial"/>
          <w:sz w:val="16"/>
          <w:szCs w:val="16"/>
          <w:color w:val="auto"/>
        </w:rPr>
        <w:t>Further, our Board has adopted a policy prohibiting any director (or executive officer) from pledging as security under any obligation any shares of Company stock that he or she directly or indirectly owns and controls, and providing that pledged shares of Company common stock do not count toward our stock ownership requirements.</w:t>
      </w:r>
    </w:p>
    <w:p>
      <w:pPr>
        <w:spacing w:after="0" w:line="11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C8102E"/>
        </w:rPr>
        <w:t>DEFERRED COMPENSATION PLAN FOR DIRECTORS</w:t>
      </w:r>
    </w:p>
    <w:p>
      <w:pPr>
        <w:spacing w:after="0" w:line="135" w:lineRule="exact"/>
        <w:rPr>
          <w:sz w:val="20"/>
          <w:szCs w:val="20"/>
          <w:color w:val="auto"/>
        </w:rPr>
      </w:pPr>
    </w:p>
    <w:p>
      <w:pPr>
        <w:jc w:val="both"/>
        <w:ind w:left="4" w:right="20"/>
        <w:spacing w:after="0" w:line="221" w:lineRule="auto"/>
        <w:rPr>
          <w:sz w:val="20"/>
          <w:szCs w:val="20"/>
          <w:color w:val="auto"/>
        </w:rPr>
      </w:pPr>
      <w:r>
        <w:rPr>
          <w:rFonts w:ascii="Arial" w:cs="Arial" w:eastAsia="Arial" w:hAnsi="Arial"/>
          <w:sz w:val="16"/>
          <w:szCs w:val="16"/>
          <w:color w:val="auto"/>
        </w:rPr>
        <w:t>The Board has adopted a Director Deferred Compensation Plan which permits non-employee directors to receive, at their discretion, deferred stock units (“DSUs”) in lieu of their annual cash retainers and committee chairperson retainers. A director who elects to receive DSUs receives a number of units determined by dividing the cash fees earned during, and deferred for, the quarter by the closing price of our common stock on the date of the grant, which is the last trading day of the quarter. A non-employee director also may convert director RSU grants to DSUs under the plan. DSUs granted to our directors convert to shares of our common stock after separation from service, based upon a schedule elected by the director in advance. In the event that a director elects to receive DSUs, the director will receive dividend equivalent rights on such DSUs to the extent dividends are issued on our common stock. Dividend equivalents are deemed reinvested in additional DSUs (or fractions thereof) at the dividend payment date.</w:t>
      </w:r>
    </w:p>
    <w:p>
      <w:pPr>
        <w:spacing w:after="0" w:line="110" w:lineRule="exact"/>
        <w:rPr>
          <w:sz w:val="20"/>
          <w:szCs w:val="20"/>
          <w:color w:val="auto"/>
        </w:rPr>
      </w:pPr>
    </w:p>
    <w:p>
      <w:pPr>
        <w:jc w:val="both"/>
        <w:ind w:left="4" w:right="20"/>
        <w:spacing w:after="0" w:line="251" w:lineRule="auto"/>
        <w:rPr>
          <w:sz w:val="20"/>
          <w:szCs w:val="20"/>
          <w:color w:val="auto"/>
        </w:rPr>
      </w:pPr>
      <w:r>
        <w:rPr>
          <w:rFonts w:ascii="Arial" w:cs="Arial" w:eastAsia="Arial" w:hAnsi="Arial"/>
          <w:sz w:val="16"/>
          <w:szCs w:val="16"/>
          <w:color w:val="auto"/>
        </w:rPr>
        <w:t>We also reimburse all directors for travel and other necessary business expenses incurred in the performance of their services on our Board and the committees thereof and extend coverage to them under our directors’ and officers’ indemnity insurance policies.</w:t>
      </w:r>
    </w:p>
    <w:p>
      <w:pPr>
        <w:spacing w:after="0" w:line="164" w:lineRule="exact"/>
        <w:rPr>
          <w:sz w:val="20"/>
          <w:szCs w:val="20"/>
          <w:color w:val="auto"/>
        </w:rPr>
      </w:pPr>
    </w:p>
    <w:p>
      <w:pPr>
        <w:ind w:left="4"/>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-118745</wp:posOffset>
            </wp:positionV>
            <wp:extent cx="762635" cy="3860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2635" cy="386080"/>
                    </a:xfrm>
                    <a:prstGeom prst="rect">
                      <a:avLst/>
                    </a:prstGeom>
                    <a:noFill/>
                  </pic:spPr>
                </pic:pic>
              </a:graphicData>
            </a:graphic>
          </wp:anchor>
        </w:drawing>
      </w:r>
    </w:p>
    <w:p>
      <w:pPr>
        <w:ind w:left="1584"/>
        <w:spacing w:after="0"/>
        <w:rPr>
          <w:sz w:val="20"/>
          <w:szCs w:val="20"/>
          <w:color w:val="auto"/>
        </w:rPr>
      </w:pPr>
      <w:r>
        <w:rPr>
          <w:rFonts w:ascii="Arial" w:cs="Arial" w:eastAsia="Arial" w:hAnsi="Arial"/>
          <w:sz w:val="18"/>
          <w:szCs w:val="18"/>
          <w:color w:val="auto"/>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699516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602" w:right="439" w:bottom="1440" w:gutter="0" w:footer="0" w:header="0"/>
        </w:sectPr>
      </w:pPr>
    </w:p>
    <w:bookmarkStart w:id="28" w:name="page29"/>
    <w:bookmarkEnd w:id="28"/>
    <w:p>
      <w:pPr>
        <w:ind w:left="4" w:right="20"/>
        <w:spacing w:after="0" w:line="251" w:lineRule="auto"/>
        <w:rPr>
          <w:sz w:val="20"/>
          <w:szCs w:val="20"/>
          <w:color w:val="auto"/>
        </w:rPr>
      </w:pPr>
      <w:r>
        <w:rPr>
          <w:rFonts w:ascii="Arial" w:cs="Arial" w:eastAsia="Arial" w:hAnsi="Arial"/>
          <w:sz w:val="16"/>
          <w:szCs w:val="16"/>
          <w:color w:val="auto"/>
        </w:rPr>
        <w:t>The following table sets forth information regarding compensation paid to our non-employee directors during 2025. Compensation for Mr. McDonald, our Chief Executive Officer, is set forth in the Summary Compensation Table. He does not receive any additional compensation for his service as a director.</w:t>
      </w:r>
    </w:p>
    <w:p>
      <w:pPr>
        <w:spacing w:after="0" w:line="11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C8102E"/>
        </w:rPr>
        <w:t>DIRECTOR COMPENSATION FOR 2025</w:t>
      </w:r>
    </w:p>
    <w:p>
      <w:pPr>
        <w:spacing w:after="0" w:line="141" w:lineRule="exact"/>
        <w:rPr>
          <w:sz w:val="20"/>
          <w:szCs w:val="20"/>
          <w:color w:val="auto"/>
        </w:rPr>
      </w:pPr>
    </w:p>
    <w:tbl>
      <w:tblPr>
        <w:tblLayout w:type="fixed"/>
        <w:tblInd w:w="4" w:type="dxa"/>
        <w:tblCellMar>
          <w:top w:w="0" w:type="dxa"/>
          <w:left w:w="0" w:type="dxa"/>
          <w:bottom w:w="0" w:type="dxa"/>
          <w:right w:w="0" w:type="dxa"/>
        </w:tblCellMar>
      </w:tblPr>
      <w:tr>
        <w:trPr>
          <w:trHeight w:val="184"/>
        </w:trPr>
        <w:tc>
          <w:tcPr>
            <w:tcW w:w="3560" w:type="dxa"/>
            <w:vAlign w:val="bottom"/>
          </w:tcPr>
          <w:p>
            <w:pPr>
              <w:spacing w:after="0"/>
              <w:rPr>
                <w:sz w:val="16"/>
                <w:szCs w:val="16"/>
                <w:color w:val="auto"/>
              </w:rPr>
            </w:pPr>
          </w:p>
        </w:tc>
        <w:tc>
          <w:tcPr>
            <w:tcW w:w="4120" w:type="dxa"/>
            <w:vAlign w:val="bottom"/>
          </w:tcPr>
          <w:p>
            <w:pPr>
              <w:jc w:val="right"/>
              <w:ind w:right="740"/>
              <w:spacing w:after="0"/>
              <w:rPr>
                <w:sz w:val="20"/>
                <w:szCs w:val="20"/>
                <w:color w:val="auto"/>
              </w:rPr>
            </w:pPr>
            <w:r>
              <w:rPr>
                <w:rFonts w:ascii="Arial" w:cs="Arial" w:eastAsia="Arial" w:hAnsi="Arial"/>
                <w:sz w:val="16"/>
                <w:szCs w:val="16"/>
                <w:b w:val="1"/>
                <w:bCs w:val="1"/>
                <w:color w:val="C8102E"/>
              </w:rPr>
              <w:t>Fees Earned or</w:t>
            </w:r>
          </w:p>
        </w:tc>
        <w:tc>
          <w:tcPr>
            <w:tcW w:w="2000" w:type="dxa"/>
            <w:vAlign w:val="bottom"/>
          </w:tcPr>
          <w:p>
            <w:pPr>
              <w:jc w:val="right"/>
              <w:ind w:right="699"/>
              <w:spacing w:after="0"/>
              <w:rPr>
                <w:sz w:val="20"/>
                <w:szCs w:val="20"/>
                <w:color w:val="auto"/>
              </w:rPr>
            </w:pPr>
            <w:r>
              <w:rPr>
                <w:rFonts w:ascii="Arial" w:cs="Arial" w:eastAsia="Arial" w:hAnsi="Arial"/>
                <w:sz w:val="16"/>
                <w:szCs w:val="16"/>
                <w:b w:val="1"/>
                <w:bCs w:val="1"/>
                <w:color w:val="C8102E"/>
              </w:rPr>
              <w:t>Stock</w:t>
            </w:r>
          </w:p>
        </w:tc>
        <w:tc>
          <w:tcPr>
            <w:tcW w:w="13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C8102E"/>
              </w:rPr>
              <w:t>Total</w:t>
            </w:r>
          </w:p>
        </w:tc>
        <w:tc>
          <w:tcPr>
            <w:tcW w:w="0" w:type="dxa"/>
            <w:vAlign w:val="bottom"/>
          </w:tcPr>
          <w:p>
            <w:pPr>
              <w:spacing w:after="0"/>
              <w:rPr>
                <w:sz w:val="1"/>
                <w:szCs w:val="1"/>
                <w:color w:val="auto"/>
              </w:rPr>
            </w:pPr>
          </w:p>
        </w:tc>
      </w:tr>
      <w:tr>
        <w:trPr>
          <w:trHeight w:val="162"/>
        </w:trPr>
        <w:tc>
          <w:tcPr>
            <w:tcW w:w="3560" w:type="dxa"/>
            <w:vAlign w:val="bottom"/>
            <w:vMerge w:val="restart"/>
          </w:tcPr>
          <w:p>
            <w:pPr>
              <w:ind w:left="60"/>
              <w:spacing w:after="0"/>
              <w:rPr>
                <w:sz w:val="20"/>
                <w:szCs w:val="20"/>
                <w:color w:val="auto"/>
              </w:rPr>
            </w:pPr>
            <w:r>
              <w:rPr>
                <w:rFonts w:ascii="Arial" w:cs="Arial" w:eastAsia="Arial" w:hAnsi="Arial"/>
                <w:sz w:val="16"/>
                <w:szCs w:val="16"/>
                <w:b w:val="1"/>
                <w:bCs w:val="1"/>
                <w:color w:val="C8102E"/>
              </w:rPr>
              <w:t>Name</w:t>
            </w:r>
          </w:p>
        </w:tc>
        <w:tc>
          <w:tcPr>
            <w:tcW w:w="4120" w:type="dxa"/>
            <w:vAlign w:val="bottom"/>
          </w:tcPr>
          <w:p>
            <w:pPr>
              <w:jc w:val="right"/>
              <w:ind w:right="740"/>
              <w:spacing w:after="0" w:line="162" w:lineRule="exact"/>
              <w:rPr>
                <w:sz w:val="20"/>
                <w:szCs w:val="20"/>
                <w:color w:val="auto"/>
              </w:rPr>
            </w:pPr>
            <w:r>
              <w:rPr>
                <w:rFonts w:ascii="Arial" w:cs="Arial" w:eastAsia="Arial" w:hAnsi="Arial"/>
                <w:sz w:val="16"/>
                <w:szCs w:val="16"/>
                <w:b w:val="1"/>
                <w:bCs w:val="1"/>
                <w:color w:val="C8102E"/>
              </w:rPr>
              <w:t>Paid in Cash</w:t>
            </w:r>
          </w:p>
        </w:tc>
        <w:tc>
          <w:tcPr>
            <w:tcW w:w="2000" w:type="dxa"/>
            <w:vAlign w:val="bottom"/>
          </w:tcPr>
          <w:p>
            <w:pPr>
              <w:jc w:val="right"/>
              <w:ind w:right="699"/>
              <w:spacing w:after="0" w:line="162" w:lineRule="exact"/>
              <w:rPr>
                <w:sz w:val="20"/>
                <w:szCs w:val="20"/>
                <w:color w:val="auto"/>
              </w:rPr>
            </w:pPr>
            <w:r>
              <w:rPr>
                <w:rFonts w:ascii="Arial" w:cs="Arial" w:eastAsia="Arial" w:hAnsi="Arial"/>
                <w:sz w:val="16"/>
                <w:szCs w:val="16"/>
                <w:b w:val="1"/>
                <w:bCs w:val="1"/>
                <w:color w:val="C8102E"/>
              </w:rPr>
              <w:t>Awards</w:t>
            </w: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560" w:type="dxa"/>
            <w:vAlign w:val="bottom"/>
            <w:tcBorders>
              <w:bottom w:val="single" w:sz="8" w:color="auto"/>
            </w:tcBorders>
            <w:vMerge w:val="continue"/>
          </w:tcPr>
          <w:p>
            <w:pPr>
              <w:spacing w:after="0"/>
              <w:rPr>
                <w:sz w:val="16"/>
                <w:szCs w:val="16"/>
                <w:color w:val="auto"/>
              </w:rPr>
            </w:pPr>
          </w:p>
        </w:tc>
        <w:tc>
          <w:tcPr>
            <w:tcW w:w="4120" w:type="dxa"/>
            <w:vAlign w:val="bottom"/>
            <w:tcBorders>
              <w:bottom w:val="single" w:sz="8" w:color="auto"/>
            </w:tcBorders>
          </w:tcPr>
          <w:p>
            <w:pPr>
              <w:jc w:val="right"/>
              <w:ind w:right="740"/>
              <w:spacing w:after="0"/>
              <w:rPr>
                <w:sz w:val="20"/>
                <w:szCs w:val="20"/>
                <w:color w:val="auto"/>
              </w:rPr>
            </w:pPr>
            <w:r>
              <w:rPr>
                <w:rFonts w:ascii="Arial" w:cs="Arial" w:eastAsia="Arial" w:hAnsi="Arial"/>
                <w:sz w:val="16"/>
                <w:szCs w:val="16"/>
                <w:b w:val="1"/>
                <w:bCs w:val="1"/>
                <w:color w:val="C8102E"/>
              </w:rPr>
              <w:t>($)</w:t>
            </w:r>
          </w:p>
        </w:tc>
        <w:tc>
          <w:tcPr>
            <w:tcW w:w="2000" w:type="dxa"/>
            <w:vAlign w:val="bottom"/>
            <w:tcBorders>
              <w:bottom w:val="single" w:sz="8" w:color="auto"/>
            </w:tcBorders>
          </w:tcPr>
          <w:p>
            <w:pPr>
              <w:ind w:left="1020"/>
              <w:spacing w:after="0"/>
              <w:rPr>
                <w:sz w:val="20"/>
                <w:szCs w:val="20"/>
                <w:color w:val="auto"/>
              </w:rPr>
            </w:pPr>
            <w:r>
              <w:rPr>
                <w:rFonts w:ascii="Arial" w:cs="Arial" w:eastAsia="Arial" w:hAnsi="Arial"/>
                <w:sz w:val="16"/>
                <w:szCs w:val="16"/>
                <w:b w:val="1"/>
                <w:bCs w:val="1"/>
                <w:color w:val="C8102E"/>
              </w:rPr>
              <w:t>($)</w:t>
            </w:r>
            <w:r>
              <w:rPr>
                <w:rFonts w:ascii="Arial" w:cs="Arial" w:eastAsia="Arial" w:hAnsi="Arial"/>
                <w:sz w:val="10"/>
                <w:szCs w:val="10"/>
                <w:b w:val="1"/>
                <w:bCs w:val="1"/>
                <w:color w:val="C8102E"/>
              </w:rPr>
              <w:t>(1)</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C8102E"/>
              </w:rPr>
              <w:t>($)</w:t>
            </w:r>
          </w:p>
        </w:tc>
        <w:tc>
          <w:tcPr>
            <w:tcW w:w="0" w:type="dxa"/>
            <w:vAlign w:val="bottom"/>
          </w:tcPr>
          <w:p>
            <w:pPr>
              <w:spacing w:after="0"/>
              <w:rPr>
                <w:sz w:val="1"/>
                <w:szCs w:val="1"/>
                <w:color w:val="auto"/>
              </w:rPr>
            </w:pPr>
          </w:p>
        </w:tc>
      </w:tr>
      <w:tr>
        <w:trPr>
          <w:trHeight w:val="156"/>
        </w:trPr>
        <w:tc>
          <w:tcPr>
            <w:tcW w:w="3560" w:type="dxa"/>
            <w:vAlign w:val="bottom"/>
            <w:shd w:val="clear" w:color="auto" w:fill="EDEDEE"/>
          </w:tcPr>
          <w:p>
            <w:pPr>
              <w:ind w:left="60"/>
              <w:spacing w:after="0" w:line="155" w:lineRule="exact"/>
              <w:rPr>
                <w:sz w:val="20"/>
                <w:szCs w:val="20"/>
                <w:color w:val="auto"/>
              </w:rPr>
            </w:pPr>
            <w:r>
              <w:rPr>
                <w:rFonts w:ascii="Arial" w:cs="Arial" w:eastAsia="Arial" w:hAnsi="Arial"/>
                <w:sz w:val="16"/>
                <w:szCs w:val="16"/>
                <w:b w:val="1"/>
                <w:bCs w:val="1"/>
                <w:color w:val="auto"/>
              </w:rPr>
              <w:t>Barbara Bodem</w:t>
            </w:r>
          </w:p>
        </w:tc>
        <w:tc>
          <w:tcPr>
            <w:tcW w:w="4120" w:type="dxa"/>
            <w:vAlign w:val="bottom"/>
            <w:shd w:val="clear" w:color="auto" w:fill="EDEDEE"/>
          </w:tcPr>
          <w:p>
            <w:pPr>
              <w:jc w:val="right"/>
              <w:ind w:right="740"/>
              <w:spacing w:after="0" w:line="155" w:lineRule="exact"/>
              <w:rPr>
                <w:sz w:val="20"/>
                <w:szCs w:val="20"/>
                <w:color w:val="auto"/>
              </w:rPr>
            </w:pPr>
            <w:r>
              <w:rPr>
                <w:rFonts w:ascii="Arial" w:cs="Arial" w:eastAsia="Arial" w:hAnsi="Arial"/>
                <w:sz w:val="16"/>
                <w:szCs w:val="16"/>
                <w:color w:val="auto"/>
              </w:rPr>
              <w:t>70,000</w:t>
            </w:r>
          </w:p>
        </w:tc>
        <w:tc>
          <w:tcPr>
            <w:tcW w:w="2000" w:type="dxa"/>
            <w:vAlign w:val="bottom"/>
            <w:shd w:val="clear" w:color="auto" w:fill="EDEDEE"/>
          </w:tcPr>
          <w:p>
            <w:pPr>
              <w:ind w:left="640"/>
              <w:spacing w:after="0" w:line="155" w:lineRule="exact"/>
              <w:rPr>
                <w:sz w:val="20"/>
                <w:szCs w:val="20"/>
                <w:color w:val="auto"/>
              </w:rPr>
            </w:pPr>
            <w:r>
              <w:rPr>
                <w:rFonts w:ascii="Arial" w:cs="Arial" w:eastAsia="Arial" w:hAnsi="Arial"/>
                <w:sz w:val="16"/>
                <w:szCs w:val="16"/>
                <w:color w:val="auto"/>
              </w:rPr>
              <w:t>230,006</w:t>
            </w:r>
          </w:p>
        </w:tc>
        <w:tc>
          <w:tcPr>
            <w:tcW w:w="1340" w:type="dxa"/>
            <w:vAlign w:val="bottom"/>
            <w:shd w:val="clear" w:color="auto" w:fill="EDEDEE"/>
          </w:tcPr>
          <w:p>
            <w:pPr>
              <w:jc w:val="right"/>
              <w:ind w:right="39"/>
              <w:spacing w:after="0" w:line="155" w:lineRule="exact"/>
              <w:rPr>
                <w:sz w:val="20"/>
                <w:szCs w:val="20"/>
                <w:color w:val="auto"/>
              </w:rPr>
            </w:pPr>
            <w:r>
              <w:rPr>
                <w:rFonts w:ascii="Arial" w:cs="Arial" w:eastAsia="Arial" w:hAnsi="Arial"/>
                <w:sz w:val="16"/>
                <w:szCs w:val="16"/>
                <w:color w:val="auto"/>
              </w:rPr>
              <w:t>300,006</w:t>
            </w:r>
          </w:p>
        </w:tc>
        <w:tc>
          <w:tcPr>
            <w:tcW w:w="0" w:type="dxa"/>
            <w:vAlign w:val="bottom"/>
          </w:tcPr>
          <w:p>
            <w:pPr>
              <w:spacing w:after="0"/>
              <w:rPr>
                <w:sz w:val="1"/>
                <w:szCs w:val="1"/>
                <w:color w:val="auto"/>
              </w:rPr>
            </w:pPr>
          </w:p>
        </w:tc>
      </w:tr>
      <w:tr>
        <w:trPr>
          <w:trHeight w:val="162"/>
        </w:trPr>
        <w:tc>
          <w:tcPr>
            <w:tcW w:w="3560" w:type="dxa"/>
            <w:vAlign w:val="bottom"/>
          </w:tcPr>
          <w:p>
            <w:pPr>
              <w:ind w:left="60"/>
              <w:spacing w:after="0" w:line="162" w:lineRule="exact"/>
              <w:rPr>
                <w:sz w:val="20"/>
                <w:szCs w:val="20"/>
                <w:color w:val="auto"/>
              </w:rPr>
            </w:pPr>
            <w:r>
              <w:rPr>
                <w:rFonts w:ascii="Arial" w:cs="Arial" w:eastAsia="Arial" w:hAnsi="Arial"/>
                <w:sz w:val="16"/>
                <w:szCs w:val="16"/>
                <w:b w:val="1"/>
                <w:bCs w:val="1"/>
                <w:color w:val="auto"/>
              </w:rPr>
              <w:t>Liam J. Kelly</w:t>
            </w:r>
          </w:p>
        </w:tc>
        <w:tc>
          <w:tcPr>
            <w:tcW w:w="4120" w:type="dxa"/>
            <w:vAlign w:val="bottom"/>
          </w:tcPr>
          <w:p>
            <w:pPr>
              <w:jc w:val="right"/>
              <w:ind w:right="740"/>
              <w:spacing w:after="0" w:line="162" w:lineRule="exact"/>
              <w:rPr>
                <w:sz w:val="20"/>
                <w:szCs w:val="20"/>
                <w:color w:val="auto"/>
              </w:rPr>
            </w:pPr>
            <w:r>
              <w:rPr>
                <w:rFonts w:ascii="Arial" w:cs="Arial" w:eastAsia="Arial" w:hAnsi="Arial"/>
                <w:sz w:val="16"/>
                <w:szCs w:val="16"/>
                <w:color w:val="auto"/>
              </w:rPr>
              <w:t>70,000</w:t>
            </w:r>
          </w:p>
        </w:tc>
        <w:tc>
          <w:tcPr>
            <w:tcW w:w="2000" w:type="dxa"/>
            <w:vAlign w:val="bottom"/>
          </w:tcPr>
          <w:p>
            <w:pPr>
              <w:ind w:left="640"/>
              <w:spacing w:after="0" w:line="162" w:lineRule="exact"/>
              <w:rPr>
                <w:sz w:val="20"/>
                <w:szCs w:val="20"/>
                <w:color w:val="auto"/>
              </w:rPr>
            </w:pPr>
            <w:r>
              <w:rPr>
                <w:rFonts w:ascii="Arial" w:cs="Arial" w:eastAsia="Arial" w:hAnsi="Arial"/>
                <w:sz w:val="16"/>
                <w:szCs w:val="16"/>
                <w:color w:val="auto"/>
              </w:rPr>
              <w:t>230,006</w:t>
            </w:r>
          </w:p>
        </w:tc>
        <w:tc>
          <w:tcPr>
            <w:tcW w:w="1340" w:type="dxa"/>
            <w:vAlign w:val="bottom"/>
          </w:tcPr>
          <w:p>
            <w:pPr>
              <w:jc w:val="right"/>
              <w:ind w:right="39"/>
              <w:spacing w:after="0" w:line="162" w:lineRule="exact"/>
              <w:rPr>
                <w:sz w:val="20"/>
                <w:szCs w:val="20"/>
                <w:color w:val="auto"/>
              </w:rPr>
            </w:pPr>
            <w:r>
              <w:rPr>
                <w:rFonts w:ascii="Arial" w:cs="Arial" w:eastAsia="Arial" w:hAnsi="Arial"/>
                <w:sz w:val="16"/>
                <w:szCs w:val="16"/>
                <w:color w:val="auto"/>
              </w:rPr>
              <w:t>300,006</w:t>
            </w:r>
          </w:p>
        </w:tc>
        <w:tc>
          <w:tcPr>
            <w:tcW w:w="0" w:type="dxa"/>
            <w:vAlign w:val="bottom"/>
          </w:tcPr>
          <w:p>
            <w:pPr>
              <w:spacing w:after="0"/>
              <w:rPr>
                <w:sz w:val="1"/>
                <w:szCs w:val="1"/>
                <w:color w:val="auto"/>
              </w:rPr>
            </w:pPr>
          </w:p>
        </w:tc>
      </w:tr>
      <w:tr>
        <w:trPr>
          <w:trHeight w:val="189"/>
        </w:trPr>
        <w:tc>
          <w:tcPr>
            <w:tcW w:w="3560" w:type="dxa"/>
            <w:vAlign w:val="bottom"/>
            <w:shd w:val="clear" w:color="auto" w:fill="EDEDEE"/>
          </w:tcPr>
          <w:p>
            <w:pPr>
              <w:ind w:left="60"/>
              <w:spacing w:after="0"/>
              <w:rPr>
                <w:sz w:val="20"/>
                <w:szCs w:val="20"/>
                <w:color w:val="auto"/>
              </w:rPr>
            </w:pPr>
            <w:r>
              <w:rPr>
                <w:rFonts w:ascii="Arial" w:cs="Arial" w:eastAsia="Arial" w:hAnsi="Arial"/>
                <w:sz w:val="16"/>
                <w:szCs w:val="16"/>
                <w:b w:val="1"/>
                <w:bCs w:val="1"/>
                <w:color w:val="auto"/>
              </w:rPr>
              <w:t>Angela Lalor</w:t>
            </w:r>
          </w:p>
        </w:tc>
        <w:tc>
          <w:tcPr>
            <w:tcW w:w="4120" w:type="dxa"/>
            <w:vAlign w:val="bottom"/>
            <w:shd w:val="clear" w:color="auto" w:fill="EDEDEE"/>
          </w:tcPr>
          <w:p>
            <w:pPr>
              <w:jc w:val="right"/>
              <w:ind w:right="560"/>
              <w:spacing w:after="0" w:line="189" w:lineRule="exact"/>
              <w:rPr>
                <w:sz w:val="20"/>
                <w:szCs w:val="20"/>
                <w:color w:val="auto"/>
              </w:rPr>
            </w:pPr>
            <w:r>
              <w:rPr>
                <w:rFonts w:ascii="Arial" w:cs="Arial" w:eastAsia="Arial" w:hAnsi="Arial"/>
                <w:sz w:val="14"/>
                <w:szCs w:val="14"/>
                <w:color w:val="auto"/>
              </w:rPr>
              <w:t>90,000</w:t>
            </w:r>
            <w:r>
              <w:rPr>
                <w:rFonts w:ascii="Arial" w:cs="Arial" w:eastAsia="Arial" w:hAnsi="Arial"/>
                <w:sz w:val="21"/>
                <w:szCs w:val="21"/>
                <w:color w:val="auto"/>
                <w:vertAlign w:val="superscript"/>
              </w:rPr>
              <w:t>(2)</w:t>
            </w:r>
          </w:p>
        </w:tc>
        <w:tc>
          <w:tcPr>
            <w:tcW w:w="2000" w:type="dxa"/>
            <w:vAlign w:val="bottom"/>
            <w:shd w:val="clear" w:color="auto" w:fill="EDEDEE"/>
          </w:tcPr>
          <w:p>
            <w:pPr>
              <w:ind w:left="640"/>
              <w:spacing w:after="0"/>
              <w:rPr>
                <w:sz w:val="20"/>
                <w:szCs w:val="20"/>
                <w:color w:val="auto"/>
              </w:rPr>
            </w:pPr>
            <w:r>
              <w:rPr>
                <w:rFonts w:ascii="Arial" w:cs="Arial" w:eastAsia="Arial" w:hAnsi="Arial"/>
                <w:sz w:val="16"/>
                <w:szCs w:val="16"/>
                <w:color w:val="auto"/>
              </w:rPr>
              <w:t>230,006</w:t>
            </w:r>
            <w:r>
              <w:rPr>
                <w:rFonts w:ascii="Arial" w:cs="Arial" w:eastAsia="Arial" w:hAnsi="Arial"/>
                <w:sz w:val="10"/>
                <w:szCs w:val="10"/>
                <w:color w:val="auto"/>
              </w:rPr>
              <w:t>(3)</w:t>
            </w:r>
          </w:p>
        </w:tc>
        <w:tc>
          <w:tcPr>
            <w:tcW w:w="1340" w:type="dxa"/>
            <w:vAlign w:val="bottom"/>
            <w:shd w:val="clear" w:color="auto" w:fill="EDEDEE"/>
          </w:tcPr>
          <w:p>
            <w:pPr>
              <w:jc w:val="right"/>
              <w:ind w:right="39"/>
              <w:spacing w:after="0"/>
              <w:rPr>
                <w:sz w:val="20"/>
                <w:szCs w:val="20"/>
                <w:color w:val="auto"/>
              </w:rPr>
            </w:pPr>
            <w:r>
              <w:rPr>
                <w:rFonts w:ascii="Arial" w:cs="Arial" w:eastAsia="Arial" w:hAnsi="Arial"/>
                <w:sz w:val="16"/>
                <w:szCs w:val="16"/>
                <w:color w:val="auto"/>
              </w:rPr>
              <w:t>320,006</w:t>
            </w:r>
          </w:p>
        </w:tc>
        <w:tc>
          <w:tcPr>
            <w:tcW w:w="0" w:type="dxa"/>
            <w:vAlign w:val="bottom"/>
          </w:tcPr>
          <w:p>
            <w:pPr>
              <w:spacing w:after="0"/>
              <w:rPr>
                <w:sz w:val="1"/>
                <w:szCs w:val="1"/>
                <w:color w:val="auto"/>
              </w:rPr>
            </w:pPr>
          </w:p>
        </w:tc>
      </w:tr>
      <w:tr>
        <w:trPr>
          <w:trHeight w:val="162"/>
        </w:trPr>
        <w:tc>
          <w:tcPr>
            <w:tcW w:w="3560" w:type="dxa"/>
            <w:vAlign w:val="bottom"/>
          </w:tcPr>
          <w:p>
            <w:pPr>
              <w:ind w:left="60"/>
              <w:spacing w:after="0" w:line="162" w:lineRule="exact"/>
              <w:rPr>
                <w:sz w:val="20"/>
                <w:szCs w:val="20"/>
                <w:color w:val="auto"/>
              </w:rPr>
            </w:pPr>
            <w:r>
              <w:rPr>
                <w:rFonts w:ascii="Arial" w:cs="Arial" w:eastAsia="Arial" w:hAnsi="Arial"/>
                <w:sz w:val="16"/>
                <w:szCs w:val="16"/>
                <w:b w:val="1"/>
                <w:bCs w:val="1"/>
                <w:color w:val="auto"/>
              </w:rPr>
              <w:t>Philip Okala</w:t>
            </w:r>
          </w:p>
        </w:tc>
        <w:tc>
          <w:tcPr>
            <w:tcW w:w="4120" w:type="dxa"/>
            <w:vAlign w:val="bottom"/>
          </w:tcPr>
          <w:p>
            <w:pPr>
              <w:jc w:val="right"/>
              <w:ind w:right="740"/>
              <w:spacing w:after="0" w:line="162" w:lineRule="exact"/>
              <w:rPr>
                <w:sz w:val="20"/>
                <w:szCs w:val="20"/>
                <w:color w:val="auto"/>
              </w:rPr>
            </w:pPr>
            <w:r>
              <w:rPr>
                <w:rFonts w:ascii="Arial" w:cs="Arial" w:eastAsia="Arial" w:hAnsi="Arial"/>
                <w:sz w:val="16"/>
                <w:szCs w:val="16"/>
                <w:color w:val="auto"/>
              </w:rPr>
              <w:t>70,000</w:t>
            </w:r>
          </w:p>
        </w:tc>
        <w:tc>
          <w:tcPr>
            <w:tcW w:w="2000" w:type="dxa"/>
            <w:vAlign w:val="bottom"/>
          </w:tcPr>
          <w:p>
            <w:pPr>
              <w:ind w:left="640"/>
              <w:spacing w:after="0" w:line="162" w:lineRule="exact"/>
              <w:rPr>
                <w:sz w:val="20"/>
                <w:szCs w:val="20"/>
                <w:color w:val="auto"/>
              </w:rPr>
            </w:pPr>
            <w:r>
              <w:rPr>
                <w:rFonts w:ascii="Arial" w:cs="Arial" w:eastAsia="Arial" w:hAnsi="Arial"/>
                <w:sz w:val="16"/>
                <w:szCs w:val="16"/>
                <w:color w:val="auto"/>
              </w:rPr>
              <w:t>230,006</w:t>
            </w:r>
          </w:p>
        </w:tc>
        <w:tc>
          <w:tcPr>
            <w:tcW w:w="1340" w:type="dxa"/>
            <w:vAlign w:val="bottom"/>
          </w:tcPr>
          <w:p>
            <w:pPr>
              <w:jc w:val="right"/>
              <w:ind w:right="39"/>
              <w:spacing w:after="0" w:line="162" w:lineRule="exact"/>
              <w:rPr>
                <w:sz w:val="20"/>
                <w:szCs w:val="20"/>
                <w:color w:val="auto"/>
              </w:rPr>
            </w:pPr>
            <w:r>
              <w:rPr>
                <w:rFonts w:ascii="Arial" w:cs="Arial" w:eastAsia="Arial" w:hAnsi="Arial"/>
                <w:sz w:val="16"/>
                <w:szCs w:val="16"/>
                <w:color w:val="auto"/>
              </w:rPr>
              <w:t>300,006</w:t>
            </w:r>
          </w:p>
        </w:tc>
        <w:tc>
          <w:tcPr>
            <w:tcW w:w="0" w:type="dxa"/>
            <w:vAlign w:val="bottom"/>
          </w:tcPr>
          <w:p>
            <w:pPr>
              <w:spacing w:after="0"/>
              <w:rPr>
                <w:sz w:val="1"/>
                <w:szCs w:val="1"/>
                <w:color w:val="auto"/>
              </w:rPr>
            </w:pPr>
          </w:p>
        </w:tc>
      </w:tr>
      <w:tr>
        <w:trPr>
          <w:trHeight w:val="162"/>
        </w:trPr>
        <w:tc>
          <w:tcPr>
            <w:tcW w:w="3560" w:type="dxa"/>
            <w:vAlign w:val="bottom"/>
            <w:shd w:val="clear" w:color="auto" w:fill="EDEDEE"/>
          </w:tcPr>
          <w:p>
            <w:pPr>
              <w:ind w:left="60"/>
              <w:spacing w:after="0" w:line="162" w:lineRule="exact"/>
              <w:rPr>
                <w:sz w:val="20"/>
                <w:szCs w:val="20"/>
                <w:color w:val="auto"/>
              </w:rPr>
            </w:pPr>
            <w:r>
              <w:rPr>
                <w:rFonts w:ascii="Arial" w:cs="Arial" w:eastAsia="Arial" w:hAnsi="Arial"/>
                <w:sz w:val="16"/>
                <w:szCs w:val="16"/>
                <w:b w:val="1"/>
                <w:bCs w:val="1"/>
                <w:color w:val="auto"/>
              </w:rPr>
              <w:t>Christine Ortiz</w:t>
            </w:r>
          </w:p>
        </w:tc>
        <w:tc>
          <w:tcPr>
            <w:tcW w:w="4120" w:type="dxa"/>
            <w:vAlign w:val="bottom"/>
            <w:shd w:val="clear" w:color="auto" w:fill="EDEDEE"/>
          </w:tcPr>
          <w:p>
            <w:pPr>
              <w:jc w:val="right"/>
              <w:ind w:right="740"/>
              <w:spacing w:after="0" w:line="162" w:lineRule="exact"/>
              <w:rPr>
                <w:sz w:val="20"/>
                <w:szCs w:val="20"/>
                <w:color w:val="auto"/>
              </w:rPr>
            </w:pPr>
            <w:r>
              <w:rPr>
                <w:rFonts w:ascii="Arial" w:cs="Arial" w:eastAsia="Arial" w:hAnsi="Arial"/>
                <w:sz w:val="16"/>
                <w:szCs w:val="16"/>
                <w:color w:val="auto"/>
              </w:rPr>
              <w:t>70,000</w:t>
            </w:r>
          </w:p>
        </w:tc>
        <w:tc>
          <w:tcPr>
            <w:tcW w:w="2000" w:type="dxa"/>
            <w:vAlign w:val="bottom"/>
            <w:shd w:val="clear" w:color="auto" w:fill="EDEDEE"/>
          </w:tcPr>
          <w:p>
            <w:pPr>
              <w:ind w:left="640"/>
              <w:spacing w:after="0" w:line="162" w:lineRule="exact"/>
              <w:rPr>
                <w:sz w:val="20"/>
                <w:szCs w:val="20"/>
                <w:color w:val="auto"/>
              </w:rPr>
            </w:pPr>
            <w:r>
              <w:rPr>
                <w:rFonts w:ascii="Arial" w:cs="Arial" w:eastAsia="Arial" w:hAnsi="Arial"/>
                <w:sz w:val="16"/>
                <w:szCs w:val="16"/>
                <w:color w:val="auto"/>
              </w:rPr>
              <w:t>230,006</w:t>
            </w:r>
            <w:r>
              <w:rPr>
                <w:rFonts w:ascii="Arial" w:cs="Arial" w:eastAsia="Arial" w:hAnsi="Arial"/>
                <w:sz w:val="10"/>
                <w:szCs w:val="10"/>
                <w:color w:val="auto"/>
              </w:rPr>
              <w:t>(3)</w:t>
            </w:r>
          </w:p>
        </w:tc>
        <w:tc>
          <w:tcPr>
            <w:tcW w:w="1340" w:type="dxa"/>
            <w:vAlign w:val="bottom"/>
            <w:shd w:val="clear" w:color="auto" w:fill="EDEDEE"/>
          </w:tcPr>
          <w:p>
            <w:pPr>
              <w:jc w:val="right"/>
              <w:ind w:right="39"/>
              <w:spacing w:after="0" w:line="162" w:lineRule="exact"/>
              <w:rPr>
                <w:sz w:val="20"/>
                <w:szCs w:val="20"/>
                <w:color w:val="auto"/>
              </w:rPr>
            </w:pPr>
            <w:r>
              <w:rPr>
                <w:rFonts w:ascii="Arial" w:cs="Arial" w:eastAsia="Arial" w:hAnsi="Arial"/>
                <w:sz w:val="16"/>
                <w:szCs w:val="16"/>
                <w:color w:val="auto"/>
              </w:rPr>
              <w:t>300,006</w:t>
            </w:r>
          </w:p>
        </w:tc>
        <w:tc>
          <w:tcPr>
            <w:tcW w:w="0" w:type="dxa"/>
            <w:vAlign w:val="bottom"/>
          </w:tcPr>
          <w:p>
            <w:pPr>
              <w:spacing w:after="0"/>
              <w:rPr>
                <w:sz w:val="1"/>
                <w:szCs w:val="1"/>
                <w:color w:val="auto"/>
              </w:rPr>
            </w:pPr>
          </w:p>
        </w:tc>
      </w:tr>
      <w:tr>
        <w:trPr>
          <w:trHeight w:val="162"/>
        </w:trPr>
        <w:tc>
          <w:tcPr>
            <w:tcW w:w="3560" w:type="dxa"/>
            <w:vAlign w:val="bottom"/>
          </w:tcPr>
          <w:p>
            <w:pPr>
              <w:ind w:left="60"/>
              <w:spacing w:after="0" w:line="162" w:lineRule="exact"/>
              <w:rPr>
                <w:sz w:val="20"/>
                <w:szCs w:val="20"/>
                <w:color w:val="auto"/>
              </w:rPr>
            </w:pPr>
            <w:r>
              <w:rPr>
                <w:rFonts w:ascii="Arial" w:cs="Arial" w:eastAsia="Arial" w:hAnsi="Arial"/>
                <w:sz w:val="16"/>
                <w:szCs w:val="16"/>
                <w:b w:val="1"/>
                <w:bCs w:val="1"/>
                <w:color w:val="auto"/>
              </w:rPr>
              <w:t>A. Clayton Perfall</w:t>
            </w:r>
          </w:p>
        </w:tc>
        <w:tc>
          <w:tcPr>
            <w:tcW w:w="4120" w:type="dxa"/>
            <w:vAlign w:val="bottom"/>
          </w:tcPr>
          <w:p>
            <w:pPr>
              <w:jc w:val="right"/>
              <w:ind w:right="740"/>
              <w:spacing w:after="0" w:line="162" w:lineRule="exact"/>
              <w:rPr>
                <w:sz w:val="20"/>
                <w:szCs w:val="20"/>
                <w:color w:val="auto"/>
              </w:rPr>
            </w:pPr>
            <w:r>
              <w:rPr>
                <w:rFonts w:ascii="Arial" w:cs="Arial" w:eastAsia="Arial" w:hAnsi="Arial"/>
                <w:sz w:val="16"/>
                <w:szCs w:val="16"/>
                <w:color w:val="auto"/>
              </w:rPr>
              <w:t>95,000</w:t>
            </w:r>
          </w:p>
        </w:tc>
        <w:tc>
          <w:tcPr>
            <w:tcW w:w="2000" w:type="dxa"/>
            <w:vAlign w:val="bottom"/>
          </w:tcPr>
          <w:p>
            <w:pPr>
              <w:ind w:left="640"/>
              <w:spacing w:after="0" w:line="162" w:lineRule="exact"/>
              <w:rPr>
                <w:sz w:val="20"/>
                <w:szCs w:val="20"/>
                <w:color w:val="auto"/>
              </w:rPr>
            </w:pPr>
            <w:r>
              <w:rPr>
                <w:rFonts w:ascii="Arial" w:cs="Arial" w:eastAsia="Arial" w:hAnsi="Arial"/>
                <w:sz w:val="16"/>
                <w:szCs w:val="16"/>
                <w:color w:val="auto"/>
              </w:rPr>
              <w:t>230,006</w:t>
            </w:r>
          </w:p>
        </w:tc>
        <w:tc>
          <w:tcPr>
            <w:tcW w:w="1340" w:type="dxa"/>
            <w:vAlign w:val="bottom"/>
          </w:tcPr>
          <w:p>
            <w:pPr>
              <w:jc w:val="right"/>
              <w:ind w:right="39"/>
              <w:spacing w:after="0" w:line="162" w:lineRule="exact"/>
              <w:rPr>
                <w:sz w:val="20"/>
                <w:szCs w:val="20"/>
                <w:color w:val="auto"/>
              </w:rPr>
            </w:pPr>
            <w:r>
              <w:rPr>
                <w:rFonts w:ascii="Arial" w:cs="Arial" w:eastAsia="Arial" w:hAnsi="Arial"/>
                <w:sz w:val="16"/>
                <w:szCs w:val="16"/>
                <w:color w:val="auto"/>
              </w:rPr>
              <w:t>325,006</w:t>
            </w:r>
          </w:p>
        </w:tc>
        <w:tc>
          <w:tcPr>
            <w:tcW w:w="0" w:type="dxa"/>
            <w:vAlign w:val="bottom"/>
          </w:tcPr>
          <w:p>
            <w:pPr>
              <w:spacing w:after="0"/>
              <w:rPr>
                <w:sz w:val="1"/>
                <w:szCs w:val="1"/>
                <w:color w:val="auto"/>
              </w:rPr>
            </w:pPr>
          </w:p>
        </w:tc>
      </w:tr>
      <w:tr>
        <w:trPr>
          <w:trHeight w:val="162"/>
        </w:trPr>
        <w:tc>
          <w:tcPr>
            <w:tcW w:w="3560" w:type="dxa"/>
            <w:vAlign w:val="bottom"/>
            <w:shd w:val="clear" w:color="auto" w:fill="EDEDEE"/>
          </w:tcPr>
          <w:p>
            <w:pPr>
              <w:ind w:left="60"/>
              <w:spacing w:after="0" w:line="162" w:lineRule="exact"/>
              <w:rPr>
                <w:sz w:val="20"/>
                <w:szCs w:val="20"/>
                <w:color w:val="auto"/>
              </w:rPr>
            </w:pPr>
            <w:r>
              <w:rPr>
                <w:rFonts w:ascii="Arial" w:cs="Arial" w:eastAsia="Arial" w:hAnsi="Arial"/>
                <w:sz w:val="16"/>
                <w:szCs w:val="16"/>
                <w:b w:val="1"/>
                <w:bCs w:val="1"/>
                <w:color w:val="auto"/>
              </w:rPr>
              <w:t>Brady R. Shirley</w:t>
            </w:r>
          </w:p>
        </w:tc>
        <w:tc>
          <w:tcPr>
            <w:tcW w:w="4120" w:type="dxa"/>
            <w:vAlign w:val="bottom"/>
            <w:shd w:val="clear" w:color="auto" w:fill="EDEDEE"/>
          </w:tcPr>
          <w:p>
            <w:pPr>
              <w:jc w:val="right"/>
              <w:ind w:right="740"/>
              <w:spacing w:after="0" w:line="162" w:lineRule="exact"/>
              <w:rPr>
                <w:sz w:val="20"/>
                <w:szCs w:val="20"/>
                <w:color w:val="auto"/>
              </w:rPr>
            </w:pPr>
            <w:r>
              <w:rPr>
                <w:rFonts w:ascii="Arial" w:cs="Arial" w:eastAsia="Arial" w:hAnsi="Arial"/>
                <w:sz w:val="16"/>
                <w:szCs w:val="16"/>
                <w:color w:val="auto"/>
              </w:rPr>
              <w:t>52,500</w:t>
            </w:r>
          </w:p>
        </w:tc>
        <w:tc>
          <w:tcPr>
            <w:tcW w:w="2000" w:type="dxa"/>
            <w:vAlign w:val="bottom"/>
            <w:shd w:val="clear" w:color="auto" w:fill="EDEDEE"/>
          </w:tcPr>
          <w:p>
            <w:pPr>
              <w:ind w:left="640"/>
              <w:spacing w:after="0" w:line="162" w:lineRule="exact"/>
              <w:rPr>
                <w:sz w:val="20"/>
                <w:szCs w:val="20"/>
                <w:color w:val="auto"/>
              </w:rPr>
            </w:pPr>
            <w:r>
              <w:rPr>
                <w:rFonts w:ascii="Arial" w:cs="Arial" w:eastAsia="Arial" w:hAnsi="Arial"/>
                <w:sz w:val="16"/>
                <w:szCs w:val="16"/>
                <w:color w:val="auto"/>
              </w:rPr>
              <w:t>261,541</w:t>
            </w:r>
            <w:r>
              <w:rPr>
                <w:rFonts w:ascii="Arial" w:cs="Arial" w:eastAsia="Arial" w:hAnsi="Arial"/>
                <w:sz w:val="10"/>
                <w:szCs w:val="10"/>
                <w:color w:val="auto"/>
              </w:rPr>
              <w:t>(4)</w:t>
            </w:r>
          </w:p>
        </w:tc>
        <w:tc>
          <w:tcPr>
            <w:tcW w:w="1340" w:type="dxa"/>
            <w:vAlign w:val="bottom"/>
            <w:shd w:val="clear" w:color="auto" w:fill="EDEDEE"/>
          </w:tcPr>
          <w:p>
            <w:pPr>
              <w:jc w:val="right"/>
              <w:ind w:right="39"/>
              <w:spacing w:after="0" w:line="162" w:lineRule="exact"/>
              <w:rPr>
                <w:sz w:val="20"/>
                <w:szCs w:val="20"/>
                <w:color w:val="auto"/>
              </w:rPr>
            </w:pPr>
            <w:r>
              <w:rPr>
                <w:rFonts w:ascii="Arial" w:cs="Arial" w:eastAsia="Arial" w:hAnsi="Arial"/>
                <w:sz w:val="16"/>
                <w:szCs w:val="16"/>
                <w:color w:val="auto"/>
              </w:rPr>
              <w:t>314,041</w:t>
            </w:r>
          </w:p>
        </w:tc>
        <w:tc>
          <w:tcPr>
            <w:tcW w:w="0" w:type="dxa"/>
            <w:vAlign w:val="bottom"/>
          </w:tcPr>
          <w:p>
            <w:pPr>
              <w:spacing w:after="0"/>
              <w:rPr>
                <w:sz w:val="1"/>
                <w:szCs w:val="1"/>
                <w:color w:val="auto"/>
              </w:rPr>
            </w:pPr>
          </w:p>
        </w:tc>
      </w:tr>
      <w:tr>
        <w:trPr>
          <w:trHeight w:val="162"/>
        </w:trPr>
        <w:tc>
          <w:tcPr>
            <w:tcW w:w="3560" w:type="dxa"/>
            <w:vAlign w:val="bottom"/>
          </w:tcPr>
          <w:p>
            <w:pPr>
              <w:ind w:left="60"/>
              <w:spacing w:after="0" w:line="162" w:lineRule="exact"/>
              <w:rPr>
                <w:sz w:val="20"/>
                <w:szCs w:val="20"/>
                <w:color w:val="auto"/>
              </w:rPr>
            </w:pPr>
            <w:r>
              <w:rPr>
                <w:rFonts w:ascii="Arial" w:cs="Arial" w:eastAsia="Arial" w:hAnsi="Arial"/>
                <w:sz w:val="16"/>
                <w:szCs w:val="16"/>
                <w:b w:val="1"/>
                <w:bCs w:val="1"/>
                <w:color w:val="auto"/>
              </w:rPr>
              <w:t>Rajiv Vinnakota</w:t>
            </w:r>
          </w:p>
        </w:tc>
        <w:tc>
          <w:tcPr>
            <w:tcW w:w="4120" w:type="dxa"/>
            <w:vAlign w:val="bottom"/>
          </w:tcPr>
          <w:p>
            <w:pPr>
              <w:jc w:val="right"/>
              <w:ind w:right="740"/>
              <w:spacing w:after="0" w:line="162" w:lineRule="exact"/>
              <w:rPr>
                <w:sz w:val="20"/>
                <w:szCs w:val="20"/>
                <w:color w:val="auto"/>
              </w:rPr>
            </w:pPr>
            <w:r>
              <w:rPr>
                <w:rFonts w:ascii="Arial" w:cs="Arial" w:eastAsia="Arial" w:hAnsi="Arial"/>
                <w:sz w:val="16"/>
                <w:szCs w:val="16"/>
                <w:color w:val="auto"/>
              </w:rPr>
              <w:t>85,000</w:t>
            </w:r>
          </w:p>
        </w:tc>
        <w:tc>
          <w:tcPr>
            <w:tcW w:w="2000" w:type="dxa"/>
            <w:vAlign w:val="bottom"/>
          </w:tcPr>
          <w:p>
            <w:pPr>
              <w:ind w:left="640"/>
              <w:spacing w:after="0" w:line="162" w:lineRule="exact"/>
              <w:rPr>
                <w:sz w:val="20"/>
                <w:szCs w:val="20"/>
                <w:color w:val="auto"/>
              </w:rPr>
            </w:pPr>
            <w:r>
              <w:rPr>
                <w:rFonts w:ascii="Arial" w:cs="Arial" w:eastAsia="Arial" w:hAnsi="Arial"/>
                <w:sz w:val="16"/>
                <w:szCs w:val="16"/>
                <w:color w:val="auto"/>
              </w:rPr>
              <w:t>230,006</w:t>
            </w:r>
          </w:p>
        </w:tc>
        <w:tc>
          <w:tcPr>
            <w:tcW w:w="1340" w:type="dxa"/>
            <w:vAlign w:val="bottom"/>
          </w:tcPr>
          <w:p>
            <w:pPr>
              <w:jc w:val="right"/>
              <w:ind w:right="39"/>
              <w:spacing w:after="0" w:line="162" w:lineRule="exact"/>
              <w:rPr>
                <w:sz w:val="20"/>
                <w:szCs w:val="20"/>
                <w:color w:val="auto"/>
              </w:rPr>
            </w:pPr>
            <w:r>
              <w:rPr>
                <w:rFonts w:ascii="Arial" w:cs="Arial" w:eastAsia="Arial" w:hAnsi="Arial"/>
                <w:sz w:val="16"/>
                <w:szCs w:val="16"/>
                <w:color w:val="auto"/>
              </w:rPr>
              <w:t>315,006</w:t>
            </w:r>
          </w:p>
        </w:tc>
        <w:tc>
          <w:tcPr>
            <w:tcW w:w="0" w:type="dxa"/>
            <w:vAlign w:val="bottom"/>
          </w:tcPr>
          <w:p>
            <w:pPr>
              <w:spacing w:after="0"/>
              <w:rPr>
                <w:sz w:val="1"/>
                <w:szCs w:val="1"/>
                <w:color w:val="auto"/>
              </w:rPr>
            </w:pPr>
          </w:p>
        </w:tc>
      </w:tr>
      <w:tr>
        <w:trPr>
          <w:trHeight w:val="162"/>
        </w:trPr>
        <w:tc>
          <w:tcPr>
            <w:tcW w:w="3560" w:type="dxa"/>
            <w:vAlign w:val="bottom"/>
            <w:tcBorders>
              <w:bottom w:val="single" w:sz="8" w:color="auto"/>
            </w:tcBorders>
            <w:shd w:val="clear" w:color="auto" w:fill="EDEDEE"/>
          </w:tcPr>
          <w:p>
            <w:pPr>
              <w:ind w:left="60"/>
              <w:spacing w:after="0" w:line="162" w:lineRule="exact"/>
              <w:rPr>
                <w:sz w:val="20"/>
                <w:szCs w:val="20"/>
                <w:color w:val="auto"/>
              </w:rPr>
            </w:pPr>
            <w:r>
              <w:rPr>
                <w:rFonts w:ascii="Arial" w:cs="Arial" w:eastAsia="Arial" w:hAnsi="Arial"/>
                <w:sz w:val="16"/>
                <w:szCs w:val="16"/>
                <w:b w:val="1"/>
                <w:bCs w:val="1"/>
                <w:color w:val="auto"/>
              </w:rPr>
              <w:t>Sharon Wienbar</w:t>
            </w:r>
          </w:p>
        </w:tc>
        <w:tc>
          <w:tcPr>
            <w:tcW w:w="4120" w:type="dxa"/>
            <w:vAlign w:val="bottom"/>
            <w:tcBorders>
              <w:bottom w:val="single" w:sz="8" w:color="auto"/>
            </w:tcBorders>
            <w:shd w:val="clear" w:color="auto" w:fill="EDEDEE"/>
          </w:tcPr>
          <w:p>
            <w:pPr>
              <w:jc w:val="right"/>
              <w:ind w:right="740"/>
              <w:spacing w:after="0" w:line="162" w:lineRule="exact"/>
              <w:rPr>
                <w:sz w:val="20"/>
                <w:szCs w:val="20"/>
                <w:color w:val="auto"/>
              </w:rPr>
            </w:pPr>
            <w:r>
              <w:rPr>
                <w:rFonts w:ascii="Arial" w:cs="Arial" w:eastAsia="Arial" w:hAnsi="Arial"/>
                <w:sz w:val="16"/>
                <w:szCs w:val="16"/>
                <w:color w:val="auto"/>
              </w:rPr>
              <w:t>177,390</w:t>
            </w:r>
          </w:p>
        </w:tc>
        <w:tc>
          <w:tcPr>
            <w:tcW w:w="2000" w:type="dxa"/>
            <w:vAlign w:val="bottom"/>
            <w:tcBorders>
              <w:bottom w:val="single" w:sz="8" w:color="auto"/>
            </w:tcBorders>
            <w:shd w:val="clear" w:color="auto" w:fill="EDEDEE"/>
          </w:tcPr>
          <w:p>
            <w:pPr>
              <w:ind w:left="640"/>
              <w:spacing w:after="0" w:line="162" w:lineRule="exact"/>
              <w:rPr>
                <w:sz w:val="20"/>
                <w:szCs w:val="20"/>
                <w:color w:val="auto"/>
              </w:rPr>
            </w:pPr>
            <w:r>
              <w:rPr>
                <w:rFonts w:ascii="Arial" w:cs="Arial" w:eastAsia="Arial" w:hAnsi="Arial"/>
                <w:sz w:val="16"/>
                <w:szCs w:val="16"/>
                <w:color w:val="auto"/>
              </w:rPr>
              <w:t>230,006</w:t>
            </w:r>
            <w:r>
              <w:rPr>
                <w:rFonts w:ascii="Arial" w:cs="Arial" w:eastAsia="Arial" w:hAnsi="Arial"/>
                <w:sz w:val="10"/>
                <w:szCs w:val="10"/>
                <w:color w:val="auto"/>
              </w:rPr>
              <w:t>(3)</w:t>
            </w:r>
          </w:p>
        </w:tc>
        <w:tc>
          <w:tcPr>
            <w:tcW w:w="1340" w:type="dxa"/>
            <w:vAlign w:val="bottom"/>
            <w:tcBorders>
              <w:bottom w:val="single" w:sz="8" w:color="auto"/>
            </w:tcBorders>
            <w:shd w:val="clear" w:color="auto" w:fill="EDEDEE"/>
          </w:tcPr>
          <w:p>
            <w:pPr>
              <w:jc w:val="right"/>
              <w:ind w:right="39"/>
              <w:spacing w:after="0" w:line="162" w:lineRule="exact"/>
              <w:rPr>
                <w:sz w:val="20"/>
                <w:szCs w:val="20"/>
                <w:color w:val="auto"/>
              </w:rPr>
            </w:pPr>
            <w:r>
              <w:rPr>
                <w:rFonts w:ascii="Arial" w:cs="Arial" w:eastAsia="Arial" w:hAnsi="Arial"/>
                <w:sz w:val="16"/>
                <w:szCs w:val="16"/>
                <w:color w:val="auto"/>
              </w:rPr>
              <w:t>407,396</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left="324" w:right="20" w:hanging="324"/>
        <w:spacing w:after="0" w:line="229" w:lineRule="auto"/>
        <w:tabs>
          <w:tab w:leader="none" w:pos="324" w:val="left"/>
        </w:tabs>
        <w:numPr>
          <w:ilvl w:val="0"/>
          <w:numId w:val="65"/>
        </w:numPr>
        <w:rPr>
          <w:rFonts w:ascii="Arial" w:cs="Arial" w:eastAsia="Arial" w:hAnsi="Arial"/>
          <w:sz w:val="14"/>
          <w:szCs w:val="14"/>
          <w:i w:val="1"/>
          <w:iCs w:val="1"/>
          <w:color w:val="auto"/>
        </w:rPr>
      </w:pPr>
      <w:r>
        <w:rPr>
          <w:rFonts w:ascii="Arial" w:cs="Arial" w:eastAsia="Arial" w:hAnsi="Arial"/>
          <w:sz w:val="14"/>
          <w:szCs w:val="14"/>
          <w:i w:val="1"/>
          <w:iCs w:val="1"/>
          <w:color w:val="auto"/>
        </w:rPr>
        <w:t>Amounts shown in the “Stock Awards” column represent the grant date fair value for stock awards granted to each director during 2025, as computed pursuant to Financial Accounting Standards Board (“FASB”) Accounting Standards Codification (“ASC”) Topic 718 (“FASB ASC Topic 718”). See Note 14 to our consolidated financial statements for the year ended December 31, 2025, included in our Annual Report on Form 10-K filed with the SEC on February 26, 2026. The amounts reflect the grant date fair value of the 2025 annual grant of 6.598 restricted stock units made to each director in connection with the 2025 annual meeting of stockholders, which vest in full on May 21, 2026.</w:t>
      </w:r>
    </w:p>
    <w:p>
      <w:pPr>
        <w:spacing w:after="0" w:line="163" w:lineRule="exact"/>
        <w:rPr>
          <w:rFonts w:ascii="Arial" w:cs="Arial" w:eastAsia="Arial" w:hAnsi="Arial"/>
          <w:sz w:val="14"/>
          <w:szCs w:val="14"/>
          <w:i w:val="1"/>
          <w:iCs w:val="1"/>
          <w:color w:val="auto"/>
        </w:rPr>
      </w:pPr>
    </w:p>
    <w:p>
      <w:pPr>
        <w:jc w:val="both"/>
        <w:ind w:left="324" w:right="20" w:hanging="324"/>
        <w:spacing w:after="0" w:line="234" w:lineRule="auto"/>
        <w:tabs>
          <w:tab w:leader="none" w:pos="324" w:val="left"/>
        </w:tabs>
        <w:numPr>
          <w:ilvl w:val="0"/>
          <w:numId w:val="65"/>
        </w:numPr>
        <w:rPr>
          <w:rFonts w:ascii="Arial" w:cs="Arial" w:eastAsia="Arial" w:hAnsi="Arial"/>
          <w:sz w:val="14"/>
          <w:szCs w:val="14"/>
          <w:i w:val="1"/>
          <w:iCs w:val="1"/>
          <w:color w:val="auto"/>
        </w:rPr>
      </w:pPr>
      <w:r>
        <w:rPr>
          <w:rFonts w:ascii="Arial" w:cs="Arial" w:eastAsia="Arial" w:hAnsi="Arial"/>
          <w:sz w:val="14"/>
          <w:szCs w:val="14"/>
          <w:i w:val="1"/>
          <w:iCs w:val="1"/>
          <w:color w:val="auto"/>
        </w:rPr>
        <w:t>Ms. Lalor elected to receive DSUs in lieu of her annual cash retainer and committee chair retainer. DSUs convert to shares of our common stock after separation from service, based upon a schedule elected by the director in advance. During 2025, the amount of DSUs received in lieu of annual cash retainer and committee chair retainer by Ms. Lalor was 2,894. DSUs received for these cash retainers are considered “vested” and thus are not reflected in the table below.</w:t>
      </w:r>
    </w:p>
    <w:p>
      <w:pPr>
        <w:spacing w:after="0" w:line="177" w:lineRule="exact"/>
        <w:rPr>
          <w:rFonts w:ascii="Arial" w:cs="Arial" w:eastAsia="Arial" w:hAnsi="Arial"/>
          <w:sz w:val="14"/>
          <w:szCs w:val="14"/>
          <w:i w:val="1"/>
          <w:iCs w:val="1"/>
          <w:color w:val="auto"/>
        </w:rPr>
      </w:pPr>
    </w:p>
    <w:p>
      <w:pPr>
        <w:jc w:val="both"/>
        <w:ind w:left="324" w:right="20" w:hanging="324"/>
        <w:spacing w:after="0" w:line="234" w:lineRule="auto"/>
        <w:tabs>
          <w:tab w:leader="none" w:pos="324" w:val="left"/>
        </w:tabs>
        <w:numPr>
          <w:ilvl w:val="0"/>
          <w:numId w:val="65"/>
        </w:numPr>
        <w:rPr>
          <w:rFonts w:ascii="Arial" w:cs="Arial" w:eastAsia="Arial" w:hAnsi="Arial"/>
          <w:sz w:val="14"/>
          <w:szCs w:val="14"/>
          <w:i w:val="1"/>
          <w:iCs w:val="1"/>
          <w:color w:val="auto"/>
        </w:rPr>
      </w:pPr>
      <w:r>
        <w:rPr>
          <w:rFonts w:ascii="Arial" w:cs="Arial" w:eastAsia="Arial" w:hAnsi="Arial"/>
          <w:sz w:val="14"/>
          <w:szCs w:val="14"/>
          <w:i w:val="1"/>
          <w:iCs w:val="1"/>
          <w:color w:val="auto"/>
        </w:rPr>
        <w:t>RSUs granted to each of these directors, which were awarded in connection with the 2025 annual meeting of stockholders, were converted into DSUs at the election of each director. DSUs convert to shares of our common stock after termination of service on the Board, based upon a schedule selected by each director in advance. These DSUs will vest in full on May 21, 2026 in accordance with the vesting schedule applicable to the underlying restricted stock units.</w:t>
      </w:r>
    </w:p>
    <w:p>
      <w:pPr>
        <w:spacing w:after="0" w:line="177" w:lineRule="exact"/>
        <w:rPr>
          <w:rFonts w:ascii="Arial" w:cs="Arial" w:eastAsia="Arial" w:hAnsi="Arial"/>
          <w:sz w:val="14"/>
          <w:szCs w:val="14"/>
          <w:i w:val="1"/>
          <w:iCs w:val="1"/>
          <w:color w:val="auto"/>
        </w:rPr>
      </w:pPr>
    </w:p>
    <w:p>
      <w:pPr>
        <w:ind w:left="324" w:hanging="324"/>
        <w:spacing w:after="0" w:line="261" w:lineRule="auto"/>
        <w:tabs>
          <w:tab w:leader="none" w:pos="324" w:val="left"/>
        </w:tabs>
        <w:numPr>
          <w:ilvl w:val="0"/>
          <w:numId w:val="65"/>
        </w:numPr>
        <w:rPr>
          <w:rFonts w:ascii="Arial" w:cs="Arial" w:eastAsia="Arial" w:hAnsi="Arial"/>
          <w:sz w:val="14"/>
          <w:szCs w:val="14"/>
          <w:i w:val="1"/>
          <w:iCs w:val="1"/>
          <w:color w:val="auto"/>
        </w:rPr>
      </w:pPr>
      <w:r>
        <w:rPr>
          <w:rFonts w:ascii="Arial" w:cs="Arial" w:eastAsia="Arial" w:hAnsi="Arial"/>
          <w:sz w:val="14"/>
          <w:szCs w:val="14"/>
          <w:i w:val="1"/>
          <w:iCs w:val="1"/>
          <w:color w:val="auto"/>
        </w:rPr>
        <w:t>Mr. Shirley completed his service to the Company as an Executive Advisor on March 31, 2025 and ceased to be an employee-director. As a result, Mr. Shirley received a prorated “Stock Award” for the period beginning April 1, 2025 through the annual grant date of May 21, 2025.</w:t>
      </w:r>
    </w:p>
    <w:p>
      <w:pPr>
        <w:spacing w:after="0" w:line="88" w:lineRule="exact"/>
        <w:rPr>
          <w:sz w:val="20"/>
          <w:szCs w:val="20"/>
          <w:color w:val="auto"/>
        </w:rPr>
      </w:pPr>
    </w:p>
    <w:p>
      <w:pPr>
        <w:ind w:left="4" w:right="20"/>
        <w:spacing w:after="0" w:line="251" w:lineRule="auto"/>
        <w:rPr>
          <w:sz w:val="20"/>
          <w:szCs w:val="20"/>
          <w:color w:val="auto"/>
        </w:rPr>
      </w:pPr>
      <w:r>
        <w:rPr>
          <w:rFonts w:ascii="Arial" w:cs="Arial" w:eastAsia="Arial" w:hAnsi="Arial"/>
          <w:sz w:val="16"/>
          <w:szCs w:val="16"/>
          <w:color w:val="auto"/>
        </w:rPr>
        <w:t>As of December 31, 2025, the aggregate number of unvested stock awards and unexercised options outstanding held by each of our non-employee directors then serving at the time was as follows:</w:t>
      </w:r>
    </w:p>
    <w:p>
      <w:pPr>
        <w:spacing w:after="0" w:line="93" w:lineRule="exact"/>
        <w:rPr>
          <w:sz w:val="20"/>
          <w:szCs w:val="20"/>
          <w:color w:val="auto"/>
        </w:rPr>
      </w:pPr>
    </w:p>
    <w:tbl>
      <w:tblPr>
        <w:tblLayout w:type="fixed"/>
        <w:tblInd w:w="4" w:type="dxa"/>
        <w:tblCellMar>
          <w:top w:w="0" w:type="dxa"/>
          <w:left w:w="0" w:type="dxa"/>
          <w:bottom w:w="0" w:type="dxa"/>
          <w:right w:w="0" w:type="dxa"/>
        </w:tblCellMar>
      </w:tblPr>
      <w:tr>
        <w:trPr>
          <w:trHeight w:val="184"/>
        </w:trPr>
        <w:tc>
          <w:tcPr>
            <w:tcW w:w="4720" w:type="dxa"/>
            <w:vAlign w:val="bottom"/>
            <w:vMerge w:val="restart"/>
          </w:tcPr>
          <w:p>
            <w:pPr>
              <w:ind w:left="60"/>
              <w:spacing w:after="0"/>
              <w:rPr>
                <w:sz w:val="20"/>
                <w:szCs w:val="20"/>
                <w:color w:val="auto"/>
              </w:rPr>
            </w:pPr>
            <w:r>
              <w:rPr>
                <w:rFonts w:ascii="Arial" w:cs="Arial" w:eastAsia="Arial" w:hAnsi="Arial"/>
                <w:sz w:val="16"/>
                <w:szCs w:val="16"/>
                <w:b w:val="1"/>
                <w:bCs w:val="1"/>
                <w:color w:val="C8102E"/>
              </w:rPr>
              <w:t>Name</w:t>
            </w:r>
          </w:p>
        </w:tc>
        <w:tc>
          <w:tcPr>
            <w:tcW w:w="4900" w:type="dxa"/>
            <w:vAlign w:val="bottom"/>
          </w:tcPr>
          <w:p>
            <w:pPr>
              <w:jc w:val="right"/>
              <w:ind w:right="598"/>
              <w:spacing w:after="0"/>
              <w:rPr>
                <w:sz w:val="20"/>
                <w:szCs w:val="20"/>
                <w:color w:val="auto"/>
              </w:rPr>
            </w:pPr>
            <w:r>
              <w:rPr>
                <w:rFonts w:ascii="Arial" w:cs="Arial" w:eastAsia="Arial" w:hAnsi="Arial"/>
                <w:sz w:val="16"/>
                <w:szCs w:val="16"/>
                <w:b w:val="1"/>
                <w:bCs w:val="1"/>
                <w:color w:val="C8102E"/>
              </w:rPr>
              <w:t>Restricted</w:t>
            </w:r>
          </w:p>
        </w:tc>
        <w:tc>
          <w:tcPr>
            <w:tcW w:w="1400" w:type="dxa"/>
            <w:vAlign w:val="bottom"/>
            <w:gridSpan w:val="2"/>
          </w:tcPr>
          <w:p>
            <w:pPr>
              <w:jc w:val="right"/>
              <w:ind w:right="35"/>
              <w:spacing w:after="0"/>
              <w:rPr>
                <w:sz w:val="20"/>
                <w:szCs w:val="20"/>
                <w:color w:val="auto"/>
              </w:rPr>
            </w:pPr>
            <w:r>
              <w:rPr>
                <w:rFonts w:ascii="Arial" w:cs="Arial" w:eastAsia="Arial" w:hAnsi="Arial"/>
                <w:sz w:val="16"/>
                <w:szCs w:val="16"/>
                <w:b w:val="1"/>
                <w:bCs w:val="1"/>
                <w:color w:val="C8102E"/>
              </w:rPr>
              <w:t>Stock</w:t>
            </w:r>
          </w:p>
        </w:tc>
        <w:tc>
          <w:tcPr>
            <w:tcW w:w="0" w:type="dxa"/>
            <w:vAlign w:val="bottom"/>
          </w:tcPr>
          <w:p>
            <w:pPr>
              <w:spacing w:after="0"/>
              <w:rPr>
                <w:sz w:val="1"/>
                <w:szCs w:val="1"/>
                <w:color w:val="auto"/>
              </w:rPr>
            </w:pPr>
          </w:p>
        </w:tc>
      </w:tr>
      <w:tr>
        <w:trPr>
          <w:trHeight w:val="189"/>
        </w:trPr>
        <w:tc>
          <w:tcPr>
            <w:tcW w:w="4720" w:type="dxa"/>
            <w:vAlign w:val="bottom"/>
            <w:tcBorders>
              <w:bottom w:val="single" w:sz="8" w:color="auto"/>
            </w:tcBorders>
            <w:vMerge w:val="continue"/>
          </w:tcPr>
          <w:p>
            <w:pPr>
              <w:spacing w:after="0"/>
              <w:rPr>
                <w:sz w:val="16"/>
                <w:szCs w:val="16"/>
                <w:color w:val="auto"/>
              </w:rPr>
            </w:pPr>
          </w:p>
        </w:tc>
        <w:tc>
          <w:tcPr>
            <w:tcW w:w="4900" w:type="dxa"/>
            <w:vAlign w:val="bottom"/>
            <w:tcBorders>
              <w:bottom w:val="single" w:sz="8" w:color="auto"/>
            </w:tcBorders>
          </w:tcPr>
          <w:p>
            <w:pPr>
              <w:jc w:val="right"/>
              <w:ind w:right="598"/>
              <w:spacing w:after="0"/>
              <w:rPr>
                <w:sz w:val="20"/>
                <w:szCs w:val="20"/>
                <w:color w:val="auto"/>
              </w:rPr>
            </w:pPr>
            <w:r>
              <w:rPr>
                <w:rFonts w:ascii="Arial" w:cs="Arial" w:eastAsia="Arial" w:hAnsi="Arial"/>
                <w:sz w:val="16"/>
                <w:szCs w:val="16"/>
                <w:b w:val="1"/>
                <w:bCs w:val="1"/>
                <w:color w:val="C8102E"/>
              </w:rPr>
              <w:t>Stock Units</w:t>
            </w:r>
          </w:p>
        </w:tc>
        <w:tc>
          <w:tcPr>
            <w:tcW w:w="1400" w:type="dxa"/>
            <w:vAlign w:val="bottom"/>
            <w:tcBorders>
              <w:bottom w:val="single" w:sz="8" w:color="auto"/>
            </w:tcBorders>
            <w:gridSpan w:val="2"/>
          </w:tcPr>
          <w:p>
            <w:pPr>
              <w:jc w:val="right"/>
              <w:ind w:right="35"/>
              <w:spacing w:after="0"/>
              <w:rPr>
                <w:sz w:val="20"/>
                <w:szCs w:val="20"/>
                <w:color w:val="auto"/>
              </w:rPr>
            </w:pPr>
            <w:r>
              <w:rPr>
                <w:rFonts w:ascii="Arial" w:cs="Arial" w:eastAsia="Arial" w:hAnsi="Arial"/>
                <w:sz w:val="16"/>
                <w:szCs w:val="16"/>
                <w:b w:val="1"/>
                <w:bCs w:val="1"/>
                <w:color w:val="C8102E"/>
              </w:rPr>
              <w:t>Options</w:t>
            </w:r>
          </w:p>
        </w:tc>
        <w:tc>
          <w:tcPr>
            <w:tcW w:w="0" w:type="dxa"/>
            <w:vAlign w:val="bottom"/>
          </w:tcPr>
          <w:p>
            <w:pPr>
              <w:spacing w:after="0"/>
              <w:rPr>
                <w:sz w:val="1"/>
                <w:szCs w:val="1"/>
                <w:color w:val="auto"/>
              </w:rPr>
            </w:pPr>
          </w:p>
        </w:tc>
      </w:tr>
      <w:tr>
        <w:trPr>
          <w:trHeight w:val="155"/>
        </w:trPr>
        <w:tc>
          <w:tcPr>
            <w:tcW w:w="4720" w:type="dxa"/>
            <w:vAlign w:val="bottom"/>
            <w:shd w:val="clear" w:color="auto" w:fill="EDEDEE"/>
          </w:tcPr>
          <w:p>
            <w:pPr>
              <w:ind w:left="60"/>
              <w:spacing w:after="0" w:line="155" w:lineRule="exact"/>
              <w:rPr>
                <w:sz w:val="20"/>
                <w:szCs w:val="20"/>
                <w:color w:val="auto"/>
              </w:rPr>
            </w:pPr>
            <w:r>
              <w:rPr>
                <w:rFonts w:ascii="Arial" w:cs="Arial" w:eastAsia="Arial" w:hAnsi="Arial"/>
                <w:sz w:val="16"/>
                <w:szCs w:val="16"/>
                <w:b w:val="1"/>
                <w:bCs w:val="1"/>
                <w:color w:val="auto"/>
              </w:rPr>
              <w:t>Barbara Bodem</w:t>
            </w:r>
          </w:p>
        </w:tc>
        <w:tc>
          <w:tcPr>
            <w:tcW w:w="4900" w:type="dxa"/>
            <w:vAlign w:val="bottom"/>
            <w:shd w:val="clear" w:color="auto" w:fill="EDEDEE"/>
          </w:tcPr>
          <w:p>
            <w:pPr>
              <w:jc w:val="right"/>
              <w:ind w:right="598"/>
              <w:spacing w:after="0" w:line="155" w:lineRule="exact"/>
              <w:rPr>
                <w:sz w:val="20"/>
                <w:szCs w:val="20"/>
                <w:color w:val="auto"/>
              </w:rPr>
            </w:pPr>
            <w:r>
              <w:rPr>
                <w:rFonts w:ascii="Arial" w:cs="Arial" w:eastAsia="Arial" w:hAnsi="Arial"/>
                <w:sz w:val="16"/>
                <w:szCs w:val="16"/>
                <w:color w:val="auto"/>
              </w:rPr>
              <w:t>6,598</w:t>
            </w:r>
          </w:p>
        </w:tc>
        <w:tc>
          <w:tcPr>
            <w:tcW w:w="1400" w:type="dxa"/>
            <w:vAlign w:val="bottom"/>
            <w:gridSpan w:val="2"/>
            <w:shd w:val="clear" w:color="auto" w:fill="EDEDEE"/>
          </w:tcPr>
          <w:p>
            <w:pPr>
              <w:jc w:val="right"/>
              <w:ind w:right="35"/>
              <w:spacing w:after="0" w:line="155" w:lineRule="exact"/>
              <w:rPr>
                <w:sz w:val="20"/>
                <w:szCs w:val="20"/>
                <w:color w:val="auto"/>
              </w:rPr>
            </w:pPr>
            <w:r>
              <w:rPr>
                <w:rFonts w:ascii="Arial" w:cs="Arial" w:eastAsia="Arial" w:hAnsi="Arial"/>
                <w:sz w:val="16"/>
                <w:szCs w:val="16"/>
                <w:color w:val="auto"/>
              </w:rPr>
              <w:t>7,631</w:t>
            </w:r>
          </w:p>
        </w:tc>
        <w:tc>
          <w:tcPr>
            <w:tcW w:w="0" w:type="dxa"/>
            <w:vAlign w:val="bottom"/>
          </w:tcPr>
          <w:p>
            <w:pPr>
              <w:spacing w:after="0"/>
              <w:rPr>
                <w:sz w:val="1"/>
                <w:szCs w:val="1"/>
                <w:color w:val="auto"/>
              </w:rPr>
            </w:pPr>
          </w:p>
        </w:tc>
      </w:tr>
      <w:tr>
        <w:trPr>
          <w:trHeight w:val="162"/>
        </w:trPr>
        <w:tc>
          <w:tcPr>
            <w:tcW w:w="4720" w:type="dxa"/>
            <w:vAlign w:val="bottom"/>
          </w:tcPr>
          <w:p>
            <w:pPr>
              <w:ind w:left="60"/>
              <w:spacing w:after="0" w:line="162" w:lineRule="exact"/>
              <w:rPr>
                <w:sz w:val="20"/>
                <w:szCs w:val="20"/>
                <w:color w:val="auto"/>
              </w:rPr>
            </w:pPr>
            <w:r>
              <w:rPr>
                <w:rFonts w:ascii="Arial" w:cs="Arial" w:eastAsia="Arial" w:hAnsi="Arial"/>
                <w:sz w:val="16"/>
                <w:szCs w:val="16"/>
                <w:b w:val="1"/>
                <w:bCs w:val="1"/>
                <w:color w:val="auto"/>
              </w:rPr>
              <w:t>Liam J. Kelly</w:t>
            </w:r>
          </w:p>
        </w:tc>
        <w:tc>
          <w:tcPr>
            <w:tcW w:w="4900" w:type="dxa"/>
            <w:vAlign w:val="bottom"/>
          </w:tcPr>
          <w:p>
            <w:pPr>
              <w:jc w:val="right"/>
              <w:ind w:right="598"/>
              <w:spacing w:after="0" w:line="162" w:lineRule="exact"/>
              <w:rPr>
                <w:sz w:val="20"/>
                <w:szCs w:val="20"/>
                <w:color w:val="auto"/>
              </w:rPr>
            </w:pPr>
            <w:r>
              <w:rPr>
                <w:rFonts w:ascii="Arial" w:cs="Arial" w:eastAsia="Arial" w:hAnsi="Arial"/>
                <w:sz w:val="16"/>
                <w:szCs w:val="16"/>
                <w:color w:val="auto"/>
              </w:rPr>
              <w:t>6,598</w:t>
            </w:r>
          </w:p>
        </w:tc>
        <w:tc>
          <w:tcPr>
            <w:tcW w:w="1400" w:type="dxa"/>
            <w:vAlign w:val="bottom"/>
            <w:gridSpan w:val="2"/>
          </w:tcPr>
          <w:p>
            <w:pPr>
              <w:jc w:val="right"/>
              <w:ind w:right="35"/>
              <w:spacing w:after="0" w:line="162" w:lineRule="exact"/>
              <w:rPr>
                <w:sz w:val="20"/>
                <w:szCs w:val="20"/>
                <w:color w:val="auto"/>
              </w:rPr>
            </w:pPr>
            <w:r>
              <w:rPr>
                <w:rFonts w:ascii="Arial" w:cs="Arial" w:eastAsia="Arial" w:hAnsi="Arial"/>
                <w:sz w:val="16"/>
                <w:szCs w:val="16"/>
                <w:color w:val="auto"/>
              </w:rPr>
              <w:t>12,184</w:t>
            </w:r>
          </w:p>
        </w:tc>
        <w:tc>
          <w:tcPr>
            <w:tcW w:w="0" w:type="dxa"/>
            <w:vAlign w:val="bottom"/>
          </w:tcPr>
          <w:p>
            <w:pPr>
              <w:spacing w:after="0"/>
              <w:rPr>
                <w:sz w:val="1"/>
                <w:szCs w:val="1"/>
                <w:color w:val="auto"/>
              </w:rPr>
            </w:pPr>
          </w:p>
        </w:tc>
      </w:tr>
      <w:tr>
        <w:trPr>
          <w:trHeight w:val="162"/>
        </w:trPr>
        <w:tc>
          <w:tcPr>
            <w:tcW w:w="4720" w:type="dxa"/>
            <w:vAlign w:val="bottom"/>
            <w:shd w:val="clear" w:color="auto" w:fill="EDEDEE"/>
          </w:tcPr>
          <w:p>
            <w:pPr>
              <w:ind w:left="60"/>
              <w:spacing w:after="0" w:line="162" w:lineRule="exact"/>
              <w:rPr>
                <w:sz w:val="20"/>
                <w:szCs w:val="20"/>
                <w:color w:val="auto"/>
              </w:rPr>
            </w:pPr>
            <w:r>
              <w:rPr>
                <w:rFonts w:ascii="Arial" w:cs="Arial" w:eastAsia="Arial" w:hAnsi="Arial"/>
                <w:sz w:val="16"/>
                <w:szCs w:val="16"/>
                <w:b w:val="1"/>
                <w:bCs w:val="1"/>
                <w:color w:val="auto"/>
              </w:rPr>
              <w:t>Angela Lalor</w:t>
            </w:r>
          </w:p>
        </w:tc>
        <w:tc>
          <w:tcPr>
            <w:tcW w:w="4900" w:type="dxa"/>
            <w:vAlign w:val="bottom"/>
            <w:shd w:val="clear" w:color="auto" w:fill="EDEDEE"/>
          </w:tcPr>
          <w:p>
            <w:pPr>
              <w:jc w:val="right"/>
              <w:ind w:right="598"/>
              <w:spacing w:after="0" w:line="162" w:lineRule="exact"/>
              <w:rPr>
                <w:sz w:val="20"/>
                <w:szCs w:val="20"/>
                <w:color w:val="auto"/>
              </w:rPr>
            </w:pPr>
            <w:r>
              <w:rPr>
                <w:rFonts w:ascii="Arial" w:cs="Arial" w:eastAsia="Arial" w:hAnsi="Arial"/>
                <w:sz w:val="16"/>
                <w:szCs w:val="16"/>
                <w:color w:val="auto"/>
              </w:rPr>
              <w:t>6,598</w:t>
            </w:r>
          </w:p>
        </w:tc>
        <w:tc>
          <w:tcPr>
            <w:tcW w:w="1400" w:type="dxa"/>
            <w:vAlign w:val="bottom"/>
            <w:gridSpan w:val="2"/>
            <w:shd w:val="clear" w:color="auto" w:fill="EDEDEE"/>
          </w:tcPr>
          <w:p>
            <w:pPr>
              <w:jc w:val="right"/>
              <w:ind w:right="35"/>
              <w:spacing w:after="0" w:line="162" w:lineRule="exact"/>
              <w:rPr>
                <w:sz w:val="20"/>
                <w:szCs w:val="20"/>
                <w:color w:val="auto"/>
              </w:rPr>
            </w:pPr>
            <w:r>
              <w:rPr>
                <w:rFonts w:ascii="Arial" w:cs="Arial" w:eastAsia="Arial" w:hAnsi="Arial"/>
                <w:sz w:val="16"/>
                <w:szCs w:val="16"/>
                <w:color w:val="auto"/>
              </w:rPr>
              <w:t>7,631</w:t>
            </w:r>
          </w:p>
        </w:tc>
        <w:tc>
          <w:tcPr>
            <w:tcW w:w="0" w:type="dxa"/>
            <w:vAlign w:val="bottom"/>
          </w:tcPr>
          <w:p>
            <w:pPr>
              <w:spacing w:after="0"/>
              <w:rPr>
                <w:sz w:val="1"/>
                <w:szCs w:val="1"/>
                <w:color w:val="auto"/>
              </w:rPr>
            </w:pPr>
          </w:p>
        </w:tc>
      </w:tr>
      <w:tr>
        <w:trPr>
          <w:trHeight w:val="162"/>
        </w:trPr>
        <w:tc>
          <w:tcPr>
            <w:tcW w:w="4720" w:type="dxa"/>
            <w:vAlign w:val="bottom"/>
          </w:tcPr>
          <w:p>
            <w:pPr>
              <w:ind w:left="60"/>
              <w:spacing w:after="0" w:line="162" w:lineRule="exact"/>
              <w:rPr>
                <w:sz w:val="20"/>
                <w:szCs w:val="20"/>
                <w:color w:val="auto"/>
              </w:rPr>
            </w:pPr>
            <w:r>
              <w:rPr>
                <w:rFonts w:ascii="Arial" w:cs="Arial" w:eastAsia="Arial" w:hAnsi="Arial"/>
                <w:sz w:val="16"/>
                <w:szCs w:val="16"/>
                <w:b w:val="1"/>
                <w:bCs w:val="1"/>
                <w:color w:val="auto"/>
              </w:rPr>
              <w:t>Philip Okala</w:t>
            </w:r>
          </w:p>
        </w:tc>
        <w:tc>
          <w:tcPr>
            <w:tcW w:w="4900" w:type="dxa"/>
            <w:vAlign w:val="bottom"/>
          </w:tcPr>
          <w:p>
            <w:pPr>
              <w:jc w:val="right"/>
              <w:ind w:right="598"/>
              <w:spacing w:after="0" w:line="162" w:lineRule="exact"/>
              <w:rPr>
                <w:sz w:val="20"/>
                <w:szCs w:val="20"/>
                <w:color w:val="auto"/>
              </w:rPr>
            </w:pPr>
            <w:r>
              <w:rPr>
                <w:rFonts w:ascii="Arial" w:cs="Arial" w:eastAsia="Arial" w:hAnsi="Arial"/>
                <w:sz w:val="16"/>
                <w:szCs w:val="16"/>
                <w:color w:val="auto"/>
              </w:rPr>
              <w:t>6,598</w:t>
            </w:r>
          </w:p>
        </w:tc>
        <w:tc>
          <w:tcPr>
            <w:tcW w:w="1400" w:type="dxa"/>
            <w:vAlign w:val="bottom"/>
            <w:gridSpan w:val="2"/>
          </w:tcPr>
          <w:p>
            <w:pPr>
              <w:jc w:val="right"/>
              <w:ind w:right="35"/>
              <w:spacing w:after="0" w:line="162" w:lineRule="exact"/>
              <w:rPr>
                <w:sz w:val="20"/>
                <w:szCs w:val="20"/>
                <w:color w:val="auto"/>
              </w:rPr>
            </w:pPr>
            <w:r>
              <w:rPr>
                <w:rFonts w:ascii="Arial" w:cs="Arial" w:eastAsia="Arial" w:hAnsi="Arial"/>
                <w:sz w:val="16"/>
                <w:szCs w:val="16"/>
                <w:color w:val="auto"/>
              </w:rPr>
              <w:t>8,147</w:t>
            </w:r>
          </w:p>
        </w:tc>
        <w:tc>
          <w:tcPr>
            <w:tcW w:w="0" w:type="dxa"/>
            <w:vAlign w:val="bottom"/>
          </w:tcPr>
          <w:p>
            <w:pPr>
              <w:spacing w:after="0"/>
              <w:rPr>
                <w:sz w:val="1"/>
                <w:szCs w:val="1"/>
                <w:color w:val="auto"/>
              </w:rPr>
            </w:pPr>
          </w:p>
        </w:tc>
      </w:tr>
      <w:tr>
        <w:trPr>
          <w:trHeight w:val="162"/>
        </w:trPr>
        <w:tc>
          <w:tcPr>
            <w:tcW w:w="4720" w:type="dxa"/>
            <w:vAlign w:val="bottom"/>
            <w:shd w:val="clear" w:color="auto" w:fill="EDEDEE"/>
          </w:tcPr>
          <w:p>
            <w:pPr>
              <w:ind w:left="60"/>
              <w:spacing w:after="0" w:line="162" w:lineRule="exact"/>
              <w:rPr>
                <w:sz w:val="20"/>
                <w:szCs w:val="20"/>
                <w:color w:val="auto"/>
              </w:rPr>
            </w:pPr>
            <w:r>
              <w:rPr>
                <w:rFonts w:ascii="Arial" w:cs="Arial" w:eastAsia="Arial" w:hAnsi="Arial"/>
                <w:sz w:val="16"/>
                <w:szCs w:val="16"/>
                <w:b w:val="1"/>
                <w:bCs w:val="1"/>
                <w:color w:val="auto"/>
              </w:rPr>
              <w:t>Christine Ortiz</w:t>
            </w:r>
          </w:p>
        </w:tc>
        <w:tc>
          <w:tcPr>
            <w:tcW w:w="4900" w:type="dxa"/>
            <w:vAlign w:val="bottom"/>
            <w:shd w:val="clear" w:color="auto" w:fill="EDEDEE"/>
          </w:tcPr>
          <w:p>
            <w:pPr>
              <w:jc w:val="right"/>
              <w:ind w:right="598"/>
              <w:spacing w:after="0" w:line="162" w:lineRule="exact"/>
              <w:rPr>
                <w:sz w:val="20"/>
                <w:szCs w:val="20"/>
                <w:color w:val="auto"/>
              </w:rPr>
            </w:pPr>
            <w:r>
              <w:rPr>
                <w:rFonts w:ascii="Arial" w:cs="Arial" w:eastAsia="Arial" w:hAnsi="Arial"/>
                <w:sz w:val="16"/>
                <w:szCs w:val="16"/>
                <w:color w:val="auto"/>
              </w:rPr>
              <w:t>6,598</w:t>
            </w:r>
          </w:p>
        </w:tc>
        <w:tc>
          <w:tcPr>
            <w:tcW w:w="1400" w:type="dxa"/>
            <w:vAlign w:val="bottom"/>
            <w:gridSpan w:val="2"/>
            <w:shd w:val="clear" w:color="auto" w:fill="EDEDEE"/>
          </w:tcPr>
          <w:p>
            <w:pPr>
              <w:jc w:val="right"/>
              <w:ind w:right="35"/>
              <w:spacing w:after="0" w:line="162" w:lineRule="exact"/>
              <w:rPr>
                <w:sz w:val="20"/>
                <w:szCs w:val="20"/>
                <w:color w:val="auto"/>
              </w:rPr>
            </w:pPr>
            <w:r>
              <w:rPr>
                <w:rFonts w:ascii="Arial" w:cs="Arial" w:eastAsia="Arial" w:hAnsi="Arial"/>
                <w:sz w:val="16"/>
                <w:szCs w:val="16"/>
                <w:color w:val="auto"/>
              </w:rPr>
              <w:t>7,631</w:t>
            </w:r>
          </w:p>
        </w:tc>
        <w:tc>
          <w:tcPr>
            <w:tcW w:w="0" w:type="dxa"/>
            <w:vAlign w:val="bottom"/>
          </w:tcPr>
          <w:p>
            <w:pPr>
              <w:spacing w:after="0"/>
              <w:rPr>
                <w:sz w:val="1"/>
                <w:szCs w:val="1"/>
                <w:color w:val="auto"/>
              </w:rPr>
            </w:pPr>
          </w:p>
        </w:tc>
      </w:tr>
      <w:tr>
        <w:trPr>
          <w:trHeight w:val="162"/>
        </w:trPr>
        <w:tc>
          <w:tcPr>
            <w:tcW w:w="4720" w:type="dxa"/>
            <w:vAlign w:val="bottom"/>
          </w:tcPr>
          <w:p>
            <w:pPr>
              <w:ind w:left="60"/>
              <w:spacing w:after="0" w:line="162" w:lineRule="exact"/>
              <w:rPr>
                <w:sz w:val="20"/>
                <w:szCs w:val="20"/>
                <w:color w:val="auto"/>
              </w:rPr>
            </w:pPr>
            <w:r>
              <w:rPr>
                <w:rFonts w:ascii="Arial" w:cs="Arial" w:eastAsia="Arial" w:hAnsi="Arial"/>
                <w:sz w:val="16"/>
                <w:szCs w:val="16"/>
                <w:b w:val="1"/>
                <w:bCs w:val="1"/>
                <w:color w:val="auto"/>
              </w:rPr>
              <w:t>A. Clayton Perfall</w:t>
            </w:r>
          </w:p>
        </w:tc>
        <w:tc>
          <w:tcPr>
            <w:tcW w:w="4900" w:type="dxa"/>
            <w:vAlign w:val="bottom"/>
          </w:tcPr>
          <w:p>
            <w:pPr>
              <w:jc w:val="right"/>
              <w:ind w:right="598"/>
              <w:spacing w:after="0" w:line="162" w:lineRule="exact"/>
              <w:rPr>
                <w:sz w:val="20"/>
                <w:szCs w:val="20"/>
                <w:color w:val="auto"/>
              </w:rPr>
            </w:pPr>
            <w:r>
              <w:rPr>
                <w:rFonts w:ascii="Arial" w:cs="Arial" w:eastAsia="Arial" w:hAnsi="Arial"/>
                <w:sz w:val="16"/>
                <w:szCs w:val="16"/>
                <w:color w:val="auto"/>
              </w:rPr>
              <w:t>6,598</w:t>
            </w:r>
          </w:p>
        </w:tc>
        <w:tc>
          <w:tcPr>
            <w:tcW w:w="1400" w:type="dxa"/>
            <w:vAlign w:val="bottom"/>
            <w:gridSpan w:val="2"/>
          </w:tcPr>
          <w:p>
            <w:pPr>
              <w:jc w:val="right"/>
              <w:ind w:right="35"/>
              <w:spacing w:after="0" w:line="162" w:lineRule="exact"/>
              <w:rPr>
                <w:sz w:val="20"/>
                <w:szCs w:val="20"/>
                <w:color w:val="auto"/>
              </w:rPr>
            </w:pPr>
            <w:r>
              <w:rPr>
                <w:rFonts w:ascii="Arial" w:cs="Arial" w:eastAsia="Arial" w:hAnsi="Arial"/>
                <w:sz w:val="16"/>
                <w:szCs w:val="16"/>
                <w:color w:val="auto"/>
              </w:rPr>
              <w:t>15,182</w:t>
            </w:r>
          </w:p>
        </w:tc>
        <w:tc>
          <w:tcPr>
            <w:tcW w:w="0" w:type="dxa"/>
            <w:vAlign w:val="bottom"/>
          </w:tcPr>
          <w:p>
            <w:pPr>
              <w:spacing w:after="0"/>
              <w:rPr>
                <w:sz w:val="1"/>
                <w:szCs w:val="1"/>
                <w:color w:val="auto"/>
              </w:rPr>
            </w:pPr>
          </w:p>
        </w:tc>
      </w:tr>
      <w:tr>
        <w:trPr>
          <w:trHeight w:val="162"/>
        </w:trPr>
        <w:tc>
          <w:tcPr>
            <w:tcW w:w="4720" w:type="dxa"/>
            <w:vAlign w:val="bottom"/>
            <w:shd w:val="clear" w:color="auto" w:fill="EDEDEE"/>
          </w:tcPr>
          <w:p>
            <w:pPr>
              <w:ind w:left="60"/>
              <w:spacing w:after="0" w:line="162" w:lineRule="exact"/>
              <w:rPr>
                <w:sz w:val="20"/>
                <w:szCs w:val="20"/>
                <w:color w:val="auto"/>
              </w:rPr>
            </w:pPr>
            <w:r>
              <w:rPr>
                <w:rFonts w:ascii="Arial" w:cs="Arial" w:eastAsia="Arial" w:hAnsi="Arial"/>
                <w:sz w:val="16"/>
                <w:szCs w:val="16"/>
                <w:b w:val="1"/>
                <w:bCs w:val="1"/>
                <w:color w:val="auto"/>
              </w:rPr>
              <w:t>Brady R. Shirley</w:t>
            </w:r>
          </w:p>
        </w:tc>
        <w:tc>
          <w:tcPr>
            <w:tcW w:w="4900" w:type="dxa"/>
            <w:vAlign w:val="bottom"/>
            <w:shd w:val="clear" w:color="auto" w:fill="EDEDEE"/>
          </w:tcPr>
          <w:p>
            <w:pPr>
              <w:jc w:val="right"/>
              <w:ind w:right="598"/>
              <w:spacing w:after="0" w:line="162" w:lineRule="exact"/>
              <w:rPr>
                <w:sz w:val="20"/>
                <w:szCs w:val="20"/>
                <w:color w:val="auto"/>
              </w:rPr>
            </w:pPr>
            <w:r>
              <w:rPr>
                <w:rFonts w:ascii="Arial" w:cs="Arial" w:eastAsia="Arial" w:hAnsi="Arial"/>
                <w:sz w:val="16"/>
                <w:szCs w:val="16"/>
                <w:color w:val="auto"/>
              </w:rPr>
              <w:t>7,427</w:t>
            </w:r>
          </w:p>
        </w:tc>
        <w:tc>
          <w:tcPr>
            <w:tcW w:w="1020" w:type="dxa"/>
            <w:vAlign w:val="bottom"/>
            <w:shd w:val="clear" w:color="auto" w:fill="EDEDEE"/>
          </w:tcPr>
          <w:p>
            <w:pPr>
              <w:spacing w:after="0"/>
              <w:rPr>
                <w:sz w:val="14"/>
                <w:szCs w:val="14"/>
                <w:color w:val="auto"/>
              </w:rPr>
            </w:pPr>
          </w:p>
        </w:tc>
        <w:tc>
          <w:tcPr>
            <w:tcW w:w="380" w:type="dxa"/>
            <w:vAlign w:val="bottom"/>
            <w:tcBorders>
              <w:left w:val="single" w:sz="8" w:color="EDEDEE"/>
            </w:tcBorders>
            <w:shd w:val="clear" w:color="auto" w:fill="EDEDEE"/>
          </w:tcPr>
          <w:p>
            <w:pPr>
              <w:jc w:val="right"/>
              <w:ind w:right="35"/>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4720" w:type="dxa"/>
            <w:vAlign w:val="bottom"/>
          </w:tcPr>
          <w:p>
            <w:pPr>
              <w:ind w:left="60"/>
              <w:spacing w:after="0" w:line="162" w:lineRule="exact"/>
              <w:rPr>
                <w:sz w:val="20"/>
                <w:szCs w:val="20"/>
                <w:color w:val="auto"/>
              </w:rPr>
            </w:pPr>
            <w:r>
              <w:rPr>
                <w:rFonts w:ascii="Arial" w:cs="Arial" w:eastAsia="Arial" w:hAnsi="Arial"/>
                <w:sz w:val="16"/>
                <w:szCs w:val="16"/>
                <w:b w:val="1"/>
                <w:bCs w:val="1"/>
                <w:color w:val="auto"/>
              </w:rPr>
              <w:t>Rajiv Vinnakota</w:t>
            </w:r>
          </w:p>
        </w:tc>
        <w:tc>
          <w:tcPr>
            <w:tcW w:w="4900" w:type="dxa"/>
            <w:vAlign w:val="bottom"/>
          </w:tcPr>
          <w:p>
            <w:pPr>
              <w:jc w:val="right"/>
              <w:ind w:right="598"/>
              <w:spacing w:after="0" w:line="162" w:lineRule="exact"/>
              <w:rPr>
                <w:sz w:val="20"/>
                <w:szCs w:val="20"/>
                <w:color w:val="auto"/>
              </w:rPr>
            </w:pPr>
            <w:r>
              <w:rPr>
                <w:rFonts w:ascii="Arial" w:cs="Arial" w:eastAsia="Arial" w:hAnsi="Arial"/>
                <w:sz w:val="16"/>
                <w:szCs w:val="16"/>
                <w:color w:val="auto"/>
              </w:rPr>
              <w:t>6,598</w:t>
            </w:r>
          </w:p>
        </w:tc>
        <w:tc>
          <w:tcPr>
            <w:tcW w:w="1400" w:type="dxa"/>
            <w:vAlign w:val="bottom"/>
            <w:gridSpan w:val="2"/>
          </w:tcPr>
          <w:p>
            <w:pPr>
              <w:jc w:val="right"/>
              <w:ind w:right="35"/>
              <w:spacing w:after="0" w:line="162" w:lineRule="exact"/>
              <w:rPr>
                <w:sz w:val="20"/>
                <w:szCs w:val="20"/>
                <w:color w:val="auto"/>
              </w:rPr>
            </w:pPr>
            <w:r>
              <w:rPr>
                <w:rFonts w:ascii="Arial" w:cs="Arial" w:eastAsia="Arial" w:hAnsi="Arial"/>
                <w:sz w:val="16"/>
                <w:szCs w:val="16"/>
                <w:color w:val="auto"/>
              </w:rPr>
              <w:t>11,406</w:t>
            </w:r>
          </w:p>
        </w:tc>
        <w:tc>
          <w:tcPr>
            <w:tcW w:w="0" w:type="dxa"/>
            <w:vAlign w:val="bottom"/>
          </w:tcPr>
          <w:p>
            <w:pPr>
              <w:spacing w:after="0"/>
              <w:rPr>
                <w:sz w:val="1"/>
                <w:szCs w:val="1"/>
                <w:color w:val="auto"/>
              </w:rPr>
            </w:pPr>
          </w:p>
        </w:tc>
      </w:tr>
      <w:tr>
        <w:trPr>
          <w:trHeight w:val="162"/>
        </w:trPr>
        <w:tc>
          <w:tcPr>
            <w:tcW w:w="4720" w:type="dxa"/>
            <w:vAlign w:val="bottom"/>
            <w:tcBorders>
              <w:bottom w:val="single" w:sz="8" w:color="auto"/>
            </w:tcBorders>
            <w:shd w:val="clear" w:color="auto" w:fill="EDEDEE"/>
          </w:tcPr>
          <w:p>
            <w:pPr>
              <w:ind w:left="60"/>
              <w:spacing w:after="0" w:line="162" w:lineRule="exact"/>
              <w:rPr>
                <w:sz w:val="20"/>
                <w:szCs w:val="20"/>
                <w:color w:val="auto"/>
              </w:rPr>
            </w:pPr>
            <w:r>
              <w:rPr>
                <w:rFonts w:ascii="Arial" w:cs="Arial" w:eastAsia="Arial" w:hAnsi="Arial"/>
                <w:sz w:val="16"/>
                <w:szCs w:val="16"/>
                <w:b w:val="1"/>
                <w:bCs w:val="1"/>
                <w:color w:val="auto"/>
              </w:rPr>
              <w:t>Sharon Wienbar</w:t>
            </w:r>
          </w:p>
        </w:tc>
        <w:tc>
          <w:tcPr>
            <w:tcW w:w="4900" w:type="dxa"/>
            <w:vAlign w:val="bottom"/>
            <w:tcBorders>
              <w:bottom w:val="single" w:sz="8" w:color="auto"/>
            </w:tcBorders>
            <w:shd w:val="clear" w:color="auto" w:fill="EDEDEE"/>
          </w:tcPr>
          <w:p>
            <w:pPr>
              <w:jc w:val="right"/>
              <w:ind w:right="598"/>
              <w:spacing w:after="0" w:line="162" w:lineRule="exact"/>
              <w:rPr>
                <w:sz w:val="20"/>
                <w:szCs w:val="20"/>
                <w:color w:val="auto"/>
              </w:rPr>
            </w:pPr>
            <w:r>
              <w:rPr>
                <w:rFonts w:ascii="Arial" w:cs="Arial" w:eastAsia="Arial" w:hAnsi="Arial"/>
                <w:sz w:val="16"/>
                <w:szCs w:val="16"/>
                <w:color w:val="auto"/>
              </w:rPr>
              <w:t>6,598</w:t>
            </w:r>
          </w:p>
        </w:tc>
        <w:tc>
          <w:tcPr>
            <w:tcW w:w="1400" w:type="dxa"/>
            <w:vAlign w:val="bottom"/>
            <w:tcBorders>
              <w:bottom w:val="single" w:sz="8" w:color="auto"/>
            </w:tcBorders>
            <w:gridSpan w:val="2"/>
            <w:shd w:val="clear" w:color="auto" w:fill="EDEDEE"/>
          </w:tcPr>
          <w:p>
            <w:pPr>
              <w:jc w:val="right"/>
              <w:ind w:right="35"/>
              <w:spacing w:after="0" w:line="162" w:lineRule="exact"/>
              <w:rPr>
                <w:sz w:val="20"/>
                <w:szCs w:val="20"/>
                <w:color w:val="auto"/>
              </w:rPr>
            </w:pPr>
            <w:r>
              <w:rPr>
                <w:rFonts w:ascii="Arial" w:cs="Arial" w:eastAsia="Arial" w:hAnsi="Arial"/>
                <w:sz w:val="16"/>
                <w:szCs w:val="16"/>
                <w:color w:val="auto"/>
              </w:rPr>
              <w:t>15,182</w:t>
            </w:r>
          </w:p>
        </w:tc>
        <w:tc>
          <w:tcPr>
            <w:tcW w:w="0" w:type="dxa"/>
            <w:vAlign w:val="bottom"/>
          </w:tcPr>
          <w:p>
            <w:pPr>
              <w:spacing w:after="0"/>
              <w:rPr>
                <w:sz w:val="1"/>
                <w:szCs w:val="1"/>
                <w:color w:val="auto"/>
              </w:rPr>
            </w:pPr>
          </w:p>
        </w:tc>
      </w:tr>
      <w:tr>
        <w:trPr>
          <w:trHeight w:val="183"/>
        </w:trPr>
        <w:tc>
          <w:tcPr>
            <w:tcW w:w="4720" w:type="dxa"/>
            <w:vAlign w:val="bottom"/>
          </w:tcPr>
          <w:p>
            <w:pPr>
              <w:spacing w:after="0"/>
              <w:rPr>
                <w:sz w:val="15"/>
                <w:szCs w:val="15"/>
                <w:color w:val="auto"/>
              </w:rPr>
            </w:pPr>
          </w:p>
        </w:tc>
        <w:tc>
          <w:tcPr>
            <w:tcW w:w="5920" w:type="dxa"/>
            <w:vAlign w:val="bottom"/>
            <w:gridSpan w:val="2"/>
            <w:vMerge w:val="restart"/>
          </w:tcPr>
          <w:p>
            <w:pPr>
              <w:ind w:left="3920"/>
              <w:spacing w:after="0"/>
              <w:rPr>
                <w:sz w:val="20"/>
                <w:szCs w:val="20"/>
                <w:color w:val="auto"/>
              </w:rPr>
            </w:pPr>
            <w:r>
              <w:rPr>
                <w:rFonts w:ascii="Arial" w:cs="Arial" w:eastAsia="Arial" w:hAnsi="Arial"/>
                <w:sz w:val="18"/>
                <w:szCs w:val="18"/>
                <w:color w:val="auto"/>
              </w:rPr>
              <w:t>- 2026 Proxy Statement</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4"/>
        </w:trPr>
        <w:tc>
          <w:tcPr>
            <w:tcW w:w="4720" w:type="dxa"/>
            <w:vAlign w:val="bottom"/>
          </w:tcPr>
          <w:p>
            <w:pPr>
              <w:spacing w:after="0"/>
              <w:rPr>
                <w:sz w:val="24"/>
                <w:szCs w:val="24"/>
                <w:color w:val="auto"/>
              </w:rPr>
            </w:pPr>
          </w:p>
        </w:tc>
        <w:tc>
          <w:tcPr>
            <w:tcW w:w="5920" w:type="dxa"/>
            <w:vAlign w:val="bottom"/>
            <w:gridSpan w:val="2"/>
            <w:vMerge w:val="continue"/>
          </w:tcPr>
          <w:p>
            <w:pPr>
              <w:spacing w:after="0"/>
              <w:rPr>
                <w:sz w:val="24"/>
                <w:szCs w:val="24"/>
                <w:color w:val="auto"/>
              </w:rPr>
            </w:pPr>
          </w:p>
        </w:tc>
        <w:tc>
          <w:tcPr>
            <w:tcW w:w="380" w:type="dxa"/>
            <w:vAlign w:val="bottom"/>
            <w:tcBorders>
              <w:left w:val="single" w:sz="8" w:color="FF0000"/>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5"/>
        </w:trPr>
        <w:tc>
          <w:tcPr>
            <w:tcW w:w="4720" w:type="dxa"/>
            <w:vAlign w:val="bottom"/>
            <w:tcBorders>
              <w:bottom w:val="single" w:sz="8" w:color="auto"/>
            </w:tcBorders>
          </w:tcPr>
          <w:p>
            <w:pPr>
              <w:spacing w:after="0"/>
              <w:rPr>
                <w:sz w:val="16"/>
                <w:szCs w:val="16"/>
                <w:color w:val="auto"/>
              </w:rPr>
            </w:pPr>
          </w:p>
        </w:tc>
        <w:tc>
          <w:tcPr>
            <w:tcW w:w="49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80" w:type="dxa"/>
            <w:vAlign w:val="bottom"/>
            <w:tcBorders>
              <w:left w:val="single" w:sz="8" w:color="FF0000"/>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4774565</wp:posOffset>
            </wp:positionH>
            <wp:positionV relativeFrom="paragraph">
              <wp:posOffset>-325120</wp:posOffset>
            </wp:positionV>
            <wp:extent cx="685800" cy="1625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0" cy="162560"/>
                    </a:xfrm>
                    <a:prstGeom prst="rect">
                      <a:avLst/>
                    </a:prstGeom>
                    <a:noFill/>
                  </pic:spPr>
                </pic:pic>
              </a:graphicData>
            </a:graphic>
          </wp:anchor>
        </w:drawing>
      </w:r>
    </w:p>
    <w:p>
      <w:pPr>
        <w:sectPr>
          <w:pgSz w:w="11900" w:h="16838" w:orient="portrait"/>
          <w:cols w:equalWidth="0" w:num="1">
            <w:col w:w="11024"/>
          </w:cols>
          <w:pgMar w:left="436" w:top="611" w:right="439" w:bottom="1440" w:gutter="0" w:footer="0" w:header="0"/>
        </w:sectPr>
      </w:pPr>
    </w:p>
    <w:bookmarkStart w:id="29" w:name="page30"/>
    <w:bookmarkEnd w:id="29"/>
    <w:p>
      <w:pPr>
        <w:spacing w:after="0"/>
        <w:tabs>
          <w:tab w:leader="none" w:pos="3520" w:val="left"/>
        </w:tabs>
        <w:rPr>
          <w:sz w:val="20"/>
          <w:szCs w:val="20"/>
          <w:color w:val="auto"/>
        </w:rPr>
      </w:pPr>
      <w:r>
        <w:rPr>
          <w:rFonts w:ascii="Arial" w:cs="Arial" w:eastAsia="Arial" w:hAnsi="Arial"/>
          <w:sz w:val="47"/>
          <w:szCs w:val="47"/>
          <w:b w:val="1"/>
          <w:bCs w:val="1"/>
          <w:color w:val="C8102E"/>
        </w:rPr>
        <w:t>Proposal 2</w:t>
      </w:r>
      <w:r>
        <w:rPr>
          <w:sz w:val="20"/>
          <w:szCs w:val="20"/>
          <w:color w:val="auto"/>
        </w:rPr>
        <w:tab/>
      </w:r>
      <w:r>
        <w:rPr>
          <w:rFonts w:ascii="Arial" w:cs="Arial" w:eastAsia="Arial" w:hAnsi="Arial"/>
          <w:sz w:val="46"/>
          <w:szCs w:val="46"/>
          <w:color w:val="auto"/>
        </w:rPr>
        <w:t>Ratification of Selection of</w:t>
      </w:r>
    </w:p>
    <w:p>
      <w:pPr>
        <w:ind w:left="3540" w:right="1080"/>
        <w:spacing w:after="0" w:line="229" w:lineRule="auto"/>
        <w:rPr>
          <w:sz w:val="20"/>
          <w:szCs w:val="20"/>
          <w:color w:val="auto"/>
        </w:rPr>
      </w:pPr>
      <w:r>
        <w:rPr>
          <w:rFonts w:ascii="Arial" w:cs="Arial" w:eastAsia="Arial" w:hAnsi="Arial"/>
          <w:sz w:val="47"/>
          <w:szCs w:val="47"/>
          <w:color w:val="auto"/>
        </w:rPr>
        <w:t>Independent Registered Public Accounting Firm</w:t>
      </w:r>
    </w:p>
    <w:p>
      <w:pPr>
        <w:spacing w:after="0" w:line="67" w:lineRule="exact"/>
        <w:rPr>
          <w:sz w:val="20"/>
          <w:szCs w:val="20"/>
          <w:color w:val="auto"/>
        </w:rPr>
      </w:pPr>
    </w:p>
    <w:p>
      <w:pPr>
        <w:jc w:val="both"/>
        <w:spacing w:after="0" w:line="218" w:lineRule="auto"/>
        <w:rPr>
          <w:sz w:val="20"/>
          <w:szCs w:val="20"/>
          <w:color w:val="auto"/>
        </w:rPr>
      </w:pPr>
      <w:r>
        <w:rPr>
          <w:rFonts w:ascii="Arial" w:cs="Arial" w:eastAsia="Arial" w:hAnsi="Arial"/>
          <w:sz w:val="16"/>
          <w:szCs w:val="16"/>
          <w:color w:val="auto"/>
        </w:rPr>
        <w:t>We are asking our stockholders to ratify the Audit Committee’s selection of Ernst &amp; Young LLP as our independent registered public accounting firm for the fiscal year ending December 31, 2026. The Audit Committee is directly responsible for the appointment, compensation, retention, and oversight of our independent auditors. Ernst &amp; Young LLP has served as our independent auditor since its appointment in 2002. Although stockholder ratification is not required, the appointment of Ernst &amp; Young LLP is being submitted for ratification as a matter of good corporate practice with a view towards soliciting stockholders’ opinions which the Audit Committee will take into consideration in future deliberations. If the selection is not ratified, the Audit Committee will consider whether it is appropriate to select another registered public accounting firm. Even if the selection is ratified, the Audit Committee in its discretion may select a different registered public accounting firm at any time during the year if it determines that such a change would be in the best interests of the Company and our stockholders. The Board of Directors and the Audit Committee believe that the retention of Ernst &amp; Young LLP as the Company’s independent auditor is in the best interests of the Company and its stockholders.</w:t>
      </w:r>
    </w:p>
    <w:p>
      <w:pPr>
        <w:spacing w:after="0" w:line="116"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Representatives for Ernst &amp; Young LLP are expected to be present at the Annual Meeting, will have the opportunity to make a statement if they desire to do so and are expected to be available to respond to appropriate questions.</w:t>
      </w:r>
    </w:p>
    <w:p>
      <w:pPr>
        <w:spacing w:after="0" w:line="85" w:lineRule="exact"/>
        <w:rPr>
          <w:sz w:val="20"/>
          <w:szCs w:val="20"/>
          <w:color w:val="auto"/>
        </w:rPr>
      </w:pPr>
    </w:p>
    <w:p>
      <w:pPr>
        <w:spacing w:after="0"/>
        <w:rPr>
          <w:sz w:val="20"/>
          <w:szCs w:val="20"/>
          <w:color w:val="auto"/>
        </w:rPr>
      </w:pPr>
      <w:r>
        <w:rPr>
          <w:rFonts w:ascii="Arial" w:cs="Arial" w:eastAsia="Arial" w:hAnsi="Arial"/>
          <w:sz w:val="32"/>
          <w:szCs w:val="32"/>
          <w:b w:val="1"/>
          <w:bCs w:val="1"/>
          <w:color w:val="C8102E"/>
        </w:rPr>
        <w:t>Independent Registered Public Accounting Firm Fees and Services</w:t>
      </w:r>
    </w:p>
    <w:p>
      <w:pPr>
        <w:spacing w:after="0" w:line="148"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following table sets forth the aggregate fees for services rendered by Ernst &amp; Young LLP for the Company for the fiscal years ended December 31, 2025 and 2024:</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C8102E"/>
              </w:rPr>
              <w:t>Fee Category (fees in thousands)</w:t>
            </w:r>
          </w:p>
        </w:tc>
        <w:tc>
          <w:tcPr>
            <w:tcW w:w="3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C8102E"/>
              </w:rPr>
              <w:t>2025</w:t>
            </w:r>
          </w:p>
        </w:tc>
        <w:tc>
          <w:tcPr>
            <w:tcW w:w="7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C8102E"/>
              </w:rPr>
              <w:t>2024</w:t>
            </w:r>
          </w:p>
        </w:tc>
      </w:tr>
      <w:tr>
        <w:trPr>
          <w:trHeight w:val="155"/>
        </w:trPr>
        <w:tc>
          <w:tcPr>
            <w:tcW w:w="5180" w:type="dxa"/>
            <w:vAlign w:val="bottom"/>
            <w:shd w:val="clear" w:color="auto" w:fill="EDEDEE"/>
          </w:tcPr>
          <w:p>
            <w:pPr>
              <w:ind w:left="60"/>
              <w:spacing w:after="0" w:line="155" w:lineRule="exact"/>
              <w:rPr>
                <w:sz w:val="20"/>
                <w:szCs w:val="20"/>
                <w:color w:val="auto"/>
              </w:rPr>
            </w:pPr>
            <w:r>
              <w:rPr>
                <w:rFonts w:ascii="Arial" w:cs="Arial" w:eastAsia="Arial" w:hAnsi="Arial"/>
                <w:sz w:val="16"/>
                <w:szCs w:val="16"/>
                <w:color w:val="auto"/>
              </w:rPr>
              <w:t>Audit Fees</w:t>
            </w:r>
          </w:p>
        </w:tc>
        <w:tc>
          <w:tcPr>
            <w:tcW w:w="3120" w:type="dxa"/>
            <w:vAlign w:val="bottom"/>
            <w:shd w:val="clear" w:color="auto" w:fill="EDEDEE"/>
          </w:tcPr>
          <w:p>
            <w:pPr>
              <w:jc w:val="right"/>
              <w:ind w:right="419"/>
              <w:spacing w:after="0" w:line="155" w:lineRule="exact"/>
              <w:rPr>
                <w:sz w:val="20"/>
                <w:szCs w:val="20"/>
                <w:color w:val="auto"/>
              </w:rPr>
            </w:pPr>
            <w:r>
              <w:rPr>
                <w:rFonts w:ascii="Arial" w:cs="Arial" w:eastAsia="Arial" w:hAnsi="Arial"/>
                <w:sz w:val="16"/>
                <w:szCs w:val="16"/>
                <w:color w:val="auto"/>
              </w:rPr>
              <w:t>$</w:t>
            </w:r>
          </w:p>
        </w:tc>
        <w:tc>
          <w:tcPr>
            <w:tcW w:w="1020" w:type="dxa"/>
            <w:vAlign w:val="bottom"/>
            <w:shd w:val="clear" w:color="auto" w:fill="EDEDEE"/>
          </w:tcPr>
          <w:p>
            <w:pPr>
              <w:jc w:val="right"/>
              <w:ind w:right="79"/>
              <w:spacing w:after="0" w:line="155" w:lineRule="exact"/>
              <w:rPr>
                <w:sz w:val="20"/>
                <w:szCs w:val="20"/>
                <w:color w:val="auto"/>
              </w:rPr>
            </w:pPr>
            <w:r>
              <w:rPr>
                <w:rFonts w:ascii="Times New Roman" w:cs="Times New Roman" w:eastAsia="Times New Roman" w:hAnsi="Times New Roman"/>
                <w:sz w:val="16"/>
                <w:szCs w:val="16"/>
                <w:color w:val="auto"/>
              </w:rPr>
              <w:t>5,437</w:t>
            </w:r>
          </w:p>
        </w:tc>
        <w:tc>
          <w:tcPr>
            <w:tcW w:w="720" w:type="dxa"/>
            <w:vAlign w:val="bottom"/>
            <w:shd w:val="clear" w:color="auto" w:fill="EDEDEE"/>
          </w:tcPr>
          <w:p>
            <w:pPr>
              <w:jc w:val="right"/>
              <w:ind w:right="379"/>
              <w:spacing w:after="0" w:line="155" w:lineRule="exact"/>
              <w:rPr>
                <w:sz w:val="20"/>
                <w:szCs w:val="20"/>
                <w:color w:val="auto"/>
              </w:rPr>
            </w:pPr>
            <w:r>
              <w:rPr>
                <w:rFonts w:ascii="Arial" w:cs="Arial" w:eastAsia="Arial" w:hAnsi="Arial"/>
                <w:sz w:val="16"/>
                <w:szCs w:val="16"/>
                <w:color w:val="auto"/>
              </w:rPr>
              <w:t>$</w:t>
            </w:r>
          </w:p>
        </w:tc>
        <w:tc>
          <w:tcPr>
            <w:tcW w:w="980" w:type="dxa"/>
            <w:vAlign w:val="bottom"/>
            <w:shd w:val="clear" w:color="auto" w:fill="EDEDEE"/>
          </w:tcPr>
          <w:p>
            <w:pPr>
              <w:jc w:val="right"/>
              <w:ind w:right="39"/>
              <w:spacing w:after="0" w:line="155" w:lineRule="exact"/>
              <w:rPr>
                <w:sz w:val="20"/>
                <w:szCs w:val="20"/>
                <w:color w:val="auto"/>
              </w:rPr>
            </w:pPr>
            <w:r>
              <w:rPr>
                <w:rFonts w:ascii="Arial" w:cs="Arial" w:eastAsia="Arial" w:hAnsi="Arial"/>
                <w:sz w:val="16"/>
                <w:szCs w:val="16"/>
                <w:color w:val="auto"/>
              </w:rPr>
              <w:t>5,721</w:t>
            </w:r>
          </w:p>
        </w:tc>
      </w:tr>
      <w:tr>
        <w:trPr>
          <w:trHeight w:val="162"/>
        </w:trPr>
        <w:tc>
          <w:tcPr>
            <w:tcW w:w="5180" w:type="dxa"/>
            <w:vAlign w:val="bottom"/>
          </w:tcPr>
          <w:p>
            <w:pPr>
              <w:ind w:left="60"/>
              <w:spacing w:after="0" w:line="162" w:lineRule="exact"/>
              <w:rPr>
                <w:sz w:val="20"/>
                <w:szCs w:val="20"/>
                <w:color w:val="auto"/>
              </w:rPr>
            </w:pPr>
            <w:r>
              <w:rPr>
                <w:rFonts w:ascii="Arial" w:cs="Arial" w:eastAsia="Arial" w:hAnsi="Arial"/>
                <w:sz w:val="16"/>
                <w:szCs w:val="16"/>
                <w:color w:val="auto"/>
              </w:rPr>
              <w:t>Audit-Related Fees</w:t>
            </w:r>
          </w:p>
        </w:tc>
        <w:tc>
          <w:tcPr>
            <w:tcW w:w="3120" w:type="dxa"/>
            <w:vAlign w:val="bottom"/>
          </w:tcPr>
          <w:p>
            <w:pPr>
              <w:spacing w:after="0"/>
              <w:rPr>
                <w:sz w:val="14"/>
                <w:szCs w:val="14"/>
                <w:color w:val="auto"/>
              </w:rPr>
            </w:pPr>
          </w:p>
        </w:tc>
        <w:tc>
          <w:tcPr>
            <w:tcW w:w="1020" w:type="dxa"/>
            <w:vAlign w:val="bottom"/>
          </w:tcPr>
          <w:p>
            <w:pPr>
              <w:jc w:val="right"/>
              <w:ind w:right="79"/>
              <w:spacing w:after="0" w:line="162"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4"/>
                <w:szCs w:val="14"/>
                <w:color w:val="auto"/>
              </w:rPr>
            </w:pPr>
          </w:p>
        </w:tc>
        <w:tc>
          <w:tcPr>
            <w:tcW w:w="980" w:type="dxa"/>
            <w:vAlign w:val="bottom"/>
          </w:tcPr>
          <w:p>
            <w:pPr>
              <w:jc w:val="right"/>
              <w:ind w:right="39"/>
              <w:spacing w:after="0" w:line="162" w:lineRule="exact"/>
              <w:rPr>
                <w:sz w:val="20"/>
                <w:szCs w:val="20"/>
                <w:color w:val="auto"/>
              </w:rPr>
            </w:pPr>
            <w:r>
              <w:rPr>
                <w:rFonts w:ascii="Arial" w:cs="Arial" w:eastAsia="Arial" w:hAnsi="Arial"/>
                <w:sz w:val="16"/>
                <w:szCs w:val="16"/>
                <w:color w:val="auto"/>
              </w:rPr>
              <w:t>—</w:t>
            </w:r>
          </w:p>
        </w:tc>
      </w:tr>
      <w:tr>
        <w:trPr>
          <w:trHeight w:val="162"/>
        </w:trPr>
        <w:tc>
          <w:tcPr>
            <w:tcW w:w="5180" w:type="dxa"/>
            <w:vAlign w:val="bottom"/>
            <w:shd w:val="clear" w:color="auto" w:fill="EDEDEE"/>
          </w:tcPr>
          <w:p>
            <w:pPr>
              <w:ind w:left="60"/>
              <w:spacing w:after="0" w:line="162" w:lineRule="exact"/>
              <w:rPr>
                <w:sz w:val="20"/>
                <w:szCs w:val="20"/>
                <w:color w:val="auto"/>
              </w:rPr>
            </w:pPr>
            <w:r>
              <w:rPr>
                <w:rFonts w:ascii="Arial" w:cs="Arial" w:eastAsia="Arial" w:hAnsi="Arial"/>
                <w:sz w:val="16"/>
                <w:szCs w:val="16"/>
                <w:color w:val="auto"/>
              </w:rPr>
              <w:t>Tax Fees</w:t>
            </w:r>
          </w:p>
        </w:tc>
        <w:tc>
          <w:tcPr>
            <w:tcW w:w="3120" w:type="dxa"/>
            <w:vAlign w:val="bottom"/>
            <w:shd w:val="clear" w:color="auto" w:fill="EDEDEE"/>
          </w:tcPr>
          <w:p>
            <w:pPr>
              <w:spacing w:after="0"/>
              <w:rPr>
                <w:sz w:val="14"/>
                <w:szCs w:val="14"/>
                <w:color w:val="auto"/>
              </w:rPr>
            </w:pPr>
          </w:p>
        </w:tc>
        <w:tc>
          <w:tcPr>
            <w:tcW w:w="1020" w:type="dxa"/>
            <w:vAlign w:val="bottom"/>
            <w:shd w:val="clear" w:color="auto" w:fill="EDEDEE"/>
          </w:tcPr>
          <w:p>
            <w:pPr>
              <w:jc w:val="right"/>
              <w:ind w:right="79"/>
              <w:spacing w:after="0" w:line="162" w:lineRule="exact"/>
              <w:rPr>
                <w:sz w:val="20"/>
                <w:szCs w:val="20"/>
                <w:color w:val="auto"/>
              </w:rPr>
            </w:pPr>
            <w:r>
              <w:rPr>
                <w:rFonts w:ascii="Times New Roman" w:cs="Times New Roman" w:eastAsia="Times New Roman" w:hAnsi="Times New Roman"/>
                <w:sz w:val="16"/>
                <w:szCs w:val="16"/>
                <w:color w:val="auto"/>
              </w:rPr>
              <w:t>2,475</w:t>
            </w:r>
          </w:p>
        </w:tc>
        <w:tc>
          <w:tcPr>
            <w:tcW w:w="720" w:type="dxa"/>
            <w:vAlign w:val="bottom"/>
            <w:shd w:val="clear" w:color="auto" w:fill="EDEDEE"/>
          </w:tcPr>
          <w:p>
            <w:pPr>
              <w:spacing w:after="0"/>
              <w:rPr>
                <w:sz w:val="14"/>
                <w:szCs w:val="14"/>
                <w:color w:val="auto"/>
              </w:rPr>
            </w:pPr>
          </w:p>
        </w:tc>
        <w:tc>
          <w:tcPr>
            <w:tcW w:w="980" w:type="dxa"/>
            <w:vAlign w:val="bottom"/>
            <w:shd w:val="clear" w:color="auto" w:fill="EDEDEE"/>
          </w:tcPr>
          <w:p>
            <w:pPr>
              <w:jc w:val="right"/>
              <w:ind w:right="39"/>
              <w:spacing w:after="0" w:line="162" w:lineRule="exact"/>
              <w:rPr>
                <w:sz w:val="20"/>
                <w:szCs w:val="20"/>
                <w:color w:val="auto"/>
              </w:rPr>
            </w:pPr>
            <w:r>
              <w:rPr>
                <w:rFonts w:ascii="Arial" w:cs="Arial" w:eastAsia="Arial" w:hAnsi="Arial"/>
                <w:sz w:val="16"/>
                <w:szCs w:val="16"/>
                <w:color w:val="auto"/>
              </w:rPr>
              <w:t>1,292</w:t>
            </w:r>
          </w:p>
        </w:tc>
      </w:tr>
      <w:tr>
        <w:trPr>
          <w:trHeight w:val="162"/>
        </w:trPr>
        <w:tc>
          <w:tcPr>
            <w:tcW w:w="5180" w:type="dxa"/>
            <w:vAlign w:val="bottom"/>
            <w:tcBorders>
              <w:bottom w:val="single" w:sz="8" w:color="auto"/>
            </w:tcBorders>
          </w:tcPr>
          <w:p>
            <w:pPr>
              <w:ind w:left="60"/>
              <w:spacing w:after="0" w:line="162" w:lineRule="exact"/>
              <w:rPr>
                <w:sz w:val="20"/>
                <w:szCs w:val="20"/>
                <w:color w:val="auto"/>
              </w:rPr>
            </w:pPr>
            <w:r>
              <w:rPr>
                <w:rFonts w:ascii="Arial" w:cs="Arial" w:eastAsia="Arial" w:hAnsi="Arial"/>
                <w:sz w:val="16"/>
                <w:szCs w:val="16"/>
                <w:color w:val="auto"/>
              </w:rPr>
              <w:t>All Other Fees</w:t>
            </w:r>
          </w:p>
        </w:tc>
        <w:tc>
          <w:tcPr>
            <w:tcW w:w="3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79"/>
              <w:spacing w:after="0" w:line="162"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
              <w:spacing w:after="0" w:line="162" w:lineRule="exact"/>
              <w:rPr>
                <w:sz w:val="20"/>
                <w:szCs w:val="20"/>
                <w:color w:val="auto"/>
              </w:rPr>
            </w:pPr>
            <w:r>
              <w:rPr>
                <w:rFonts w:ascii="Arial" w:cs="Arial" w:eastAsia="Arial" w:hAnsi="Arial"/>
                <w:sz w:val="16"/>
                <w:szCs w:val="16"/>
                <w:color w:val="auto"/>
              </w:rPr>
              <w:t>—</w:t>
            </w:r>
          </w:p>
        </w:tc>
      </w:tr>
      <w:tr>
        <w:trPr>
          <w:trHeight w:val="156"/>
        </w:trPr>
        <w:tc>
          <w:tcPr>
            <w:tcW w:w="5180" w:type="dxa"/>
            <w:vAlign w:val="bottom"/>
            <w:tcBorders>
              <w:bottom w:val="single" w:sz="8" w:color="auto"/>
            </w:tcBorders>
            <w:shd w:val="clear" w:color="auto" w:fill="EDEDEE"/>
          </w:tcPr>
          <w:p>
            <w:pPr>
              <w:ind w:left="60"/>
              <w:spacing w:after="0" w:line="155" w:lineRule="exact"/>
              <w:rPr>
                <w:sz w:val="20"/>
                <w:szCs w:val="20"/>
                <w:color w:val="auto"/>
              </w:rPr>
            </w:pPr>
            <w:r>
              <w:rPr>
                <w:rFonts w:ascii="Arial" w:cs="Arial" w:eastAsia="Arial" w:hAnsi="Arial"/>
                <w:sz w:val="16"/>
                <w:szCs w:val="16"/>
                <w:b w:val="1"/>
                <w:bCs w:val="1"/>
                <w:color w:val="auto"/>
              </w:rPr>
              <w:t>TOTAL</w:t>
            </w:r>
          </w:p>
        </w:tc>
        <w:tc>
          <w:tcPr>
            <w:tcW w:w="3120" w:type="dxa"/>
            <w:vAlign w:val="bottom"/>
            <w:tcBorders>
              <w:bottom w:val="single" w:sz="8" w:color="auto"/>
            </w:tcBorders>
            <w:shd w:val="clear" w:color="auto" w:fill="EDEDEE"/>
          </w:tcPr>
          <w:p>
            <w:pPr>
              <w:jc w:val="right"/>
              <w:ind w:right="419"/>
              <w:spacing w:after="0" w:line="155" w:lineRule="exact"/>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shd w:val="clear" w:color="auto" w:fill="EDEDEE"/>
          </w:tcPr>
          <w:p>
            <w:pPr>
              <w:jc w:val="right"/>
              <w:ind w:right="79"/>
              <w:spacing w:after="0" w:line="155" w:lineRule="exact"/>
              <w:rPr>
                <w:sz w:val="20"/>
                <w:szCs w:val="20"/>
                <w:color w:val="auto"/>
              </w:rPr>
            </w:pPr>
            <w:r>
              <w:rPr>
                <w:rFonts w:ascii="Times New Roman" w:cs="Times New Roman" w:eastAsia="Times New Roman" w:hAnsi="Times New Roman"/>
                <w:sz w:val="16"/>
                <w:szCs w:val="16"/>
                <w:b w:val="1"/>
                <w:bCs w:val="1"/>
                <w:color w:val="auto"/>
              </w:rPr>
              <w:t>7,912</w:t>
            </w:r>
          </w:p>
        </w:tc>
        <w:tc>
          <w:tcPr>
            <w:tcW w:w="720" w:type="dxa"/>
            <w:vAlign w:val="bottom"/>
            <w:tcBorders>
              <w:bottom w:val="single" w:sz="8" w:color="auto"/>
            </w:tcBorders>
            <w:shd w:val="clear" w:color="auto" w:fill="EDEDEE"/>
          </w:tcPr>
          <w:p>
            <w:pPr>
              <w:jc w:val="right"/>
              <w:ind w:right="379"/>
              <w:spacing w:after="0" w:line="155" w:lineRule="exact"/>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shd w:val="clear" w:color="auto" w:fill="EDEDEE"/>
          </w:tcPr>
          <w:p>
            <w:pPr>
              <w:jc w:val="right"/>
              <w:ind w:right="39"/>
              <w:spacing w:after="0" w:line="155" w:lineRule="exact"/>
              <w:rPr>
                <w:sz w:val="20"/>
                <w:szCs w:val="20"/>
                <w:color w:val="auto"/>
              </w:rPr>
            </w:pPr>
            <w:r>
              <w:rPr>
                <w:rFonts w:ascii="Arial" w:cs="Arial" w:eastAsia="Arial" w:hAnsi="Arial"/>
                <w:sz w:val="16"/>
                <w:szCs w:val="16"/>
                <w:b w:val="1"/>
                <w:bCs w:val="1"/>
                <w:color w:val="auto"/>
              </w:rPr>
              <w:t>7,013</w:t>
            </w:r>
          </w:p>
        </w:tc>
      </w:tr>
    </w:tbl>
    <w:p>
      <w:pPr>
        <w:spacing w:after="0" w:line="134"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This category of the table above includes fees for the fiscal years ended December 31, 2025 and 2024 that were for professional services rendered (including reimbursement for out-of-pocket expenses) for the integrated audits of our annual consolidated financial statements, for reviews of the financial statements included in our Quarterly Reports on Form 10-Q, and for statutory audits.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Audit-Related Fees</w:t>
      </w:r>
    </w:p>
    <w:p>
      <w:pPr>
        <w:spacing w:after="0" w:line="135"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This category of the table above includes the fees billed for assurance and related services that are reasonably related to the performance of the audit or review of our financial statements and are not reported under “Audit Fees.”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135"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This category of the table above includes fees billed for tax compliance, tax preparation, tax planning and other tax services. For 2025, Tax Fees included approximately $221,905 for tax compliance and preparation and approximately $2,253,547 for tax planning and other tax services. For 2024, Tax Fees included approximately $218,275 for tax compliance and preparation and approximately $1,073,229 for tax planning and other tax services.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Fees</w:t>
      </w:r>
    </w:p>
    <w:p>
      <w:pPr>
        <w:spacing w:after="0" w:line="149"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This category of the table above includes fees billed for products and services other than those described above under Audit Fees, Audit-Related Fees and Tax Fees.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-118745</wp:posOffset>
            </wp:positionV>
            <wp:extent cx="762635" cy="3860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2635" cy="38608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134620</wp:posOffset>
            </wp:positionV>
            <wp:extent cx="699516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607" w:right="439" w:bottom="1440" w:gutter="0" w:footer="0" w:header="0"/>
        </w:sectPr>
      </w:pPr>
    </w:p>
    <w:bookmarkStart w:id="30" w:name="page31"/>
    <w:bookmarkEnd w:id="30"/>
    <w:p>
      <w:pPr>
        <w:jc w:val="both"/>
        <w:ind w:right="20"/>
        <w:spacing w:after="0" w:line="234" w:lineRule="auto"/>
        <w:rPr>
          <w:sz w:val="20"/>
          <w:szCs w:val="20"/>
          <w:color w:val="auto"/>
        </w:rPr>
      </w:pPr>
      <w:r>
        <w:rPr>
          <w:rFonts w:ascii="Arial" w:cs="Arial" w:eastAsia="Arial" w:hAnsi="Arial"/>
          <w:sz w:val="16"/>
          <w:szCs w:val="16"/>
          <w:color w:val="auto"/>
        </w:rPr>
        <w:t>The Audit Committee has considered whether the services rendered by the independent registered public accounting firm with respect to the fees described above are compatible with maintaining the independent registered public accounting firm’s independence and has concluded that such services do not impair its independence.</w:t>
      </w:r>
    </w:p>
    <w:p>
      <w:pPr>
        <w:spacing w:after="0" w:line="94" w:lineRule="exact"/>
        <w:rPr>
          <w:sz w:val="20"/>
          <w:szCs w:val="20"/>
          <w:color w:val="auto"/>
        </w:rPr>
      </w:pPr>
    </w:p>
    <w:p>
      <w:pPr>
        <w:spacing w:after="0"/>
        <w:rPr>
          <w:sz w:val="20"/>
          <w:szCs w:val="20"/>
          <w:color w:val="auto"/>
        </w:rPr>
      </w:pPr>
      <w:r>
        <w:rPr>
          <w:rFonts w:ascii="Arial" w:cs="Arial" w:eastAsia="Arial" w:hAnsi="Arial"/>
          <w:sz w:val="32"/>
          <w:szCs w:val="32"/>
          <w:b w:val="1"/>
          <w:bCs w:val="1"/>
          <w:color w:val="C8102E"/>
        </w:rPr>
        <w:t>Audit Committee’s Pre-Approval Policies and Procedures</w:t>
      </w:r>
    </w:p>
    <w:p>
      <w:pPr>
        <w:spacing w:after="0" w:line="148" w:lineRule="exact"/>
        <w:rPr>
          <w:sz w:val="20"/>
          <w:szCs w:val="20"/>
          <w:color w:val="auto"/>
        </w:rPr>
      </w:pPr>
    </w:p>
    <w:p>
      <w:pPr>
        <w:jc w:val="both"/>
        <w:spacing w:after="0" w:line="217" w:lineRule="auto"/>
        <w:rPr>
          <w:sz w:val="20"/>
          <w:szCs w:val="20"/>
          <w:color w:val="auto"/>
        </w:rPr>
      </w:pPr>
      <w:r>
        <w:rPr>
          <w:rFonts w:ascii="Arial" w:cs="Arial" w:eastAsia="Arial" w:hAnsi="Arial"/>
          <w:sz w:val="16"/>
          <w:szCs w:val="16"/>
          <w:color w:val="auto"/>
        </w:rPr>
        <w:t>Pursuant to its charter, the Audit Committee must pre-approve all auditing services, review and attest services, internal control related services and non-audit services provided to the Company by the independent registered public accounting firm and all fees payable by the Company to the independent registered public accounting firm for such services. The Audit Committee also is responsible for overseeing the audit fee negotiations associated with the retention of Ernst &amp; Young LLP for the audit of our financial statements. The Audit Committee has adopted a pre-approval policy to promote compliance with the NYSE’s listing standards and the applicable SEC rules and regulations relating to auditor independence. In accordance with the Audit Committee charter and the pre-approval policy, the Audit Committee reviews with Ernst &amp; Young LLP and management the plan and scope of Ernst &amp; Young LLP’s proposed annual financial audit and quarterly reviews, including the procedures to be utilized and Ernst &amp; Young LLP’s compensation, and pre-approves all auditing services, review and attest services, internal control related services and permitted non-audit services (including the fees and terms thereof) to be performed for us by Ernst &amp; Young LLP. The Audit Committee may delegate pre-approval authority to one or more members of the Audit Committee consistent with the pre-approval policy, provided that the decisions of such Audit Committee member or members must be presented to the full Audit Committee at its next scheduled meeting.</w:t>
      </w:r>
    </w:p>
    <w:p>
      <w:pPr>
        <w:spacing w:after="0" w:line="112" w:lineRule="exact"/>
        <w:rPr>
          <w:sz w:val="20"/>
          <w:szCs w:val="20"/>
          <w:color w:val="auto"/>
        </w:rPr>
      </w:pPr>
    </w:p>
    <w:p>
      <w:pPr>
        <w:spacing w:after="0"/>
        <w:rPr>
          <w:sz w:val="20"/>
          <w:szCs w:val="20"/>
          <w:color w:val="auto"/>
        </w:rPr>
      </w:pPr>
      <w:r>
        <w:rPr>
          <w:rFonts w:ascii="Arial" w:cs="Arial" w:eastAsia="Arial" w:hAnsi="Arial"/>
          <w:sz w:val="32"/>
          <w:szCs w:val="32"/>
          <w:b w:val="1"/>
          <w:bCs w:val="1"/>
          <w:color w:val="C8102E"/>
        </w:rPr>
        <w:t>Vote Required</w:t>
      </w:r>
    </w:p>
    <w:p>
      <w:pPr>
        <w:spacing w:after="0" w:line="14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affirmative vote of the holders of a majority of shares present in person or represented by proxy at the Annual Meeting and entitled to vote is required to ratify the appointment of Ernst &amp; Young LLP as the Company’s independent registered public accounting firm for 2026.</w:t>
      </w:r>
    </w:p>
    <w:p>
      <w:pPr>
        <w:spacing w:after="0" w:line="85" w:lineRule="exact"/>
        <w:rPr>
          <w:sz w:val="20"/>
          <w:szCs w:val="20"/>
          <w:color w:val="auto"/>
        </w:rPr>
      </w:pPr>
    </w:p>
    <w:p>
      <w:pPr>
        <w:spacing w:after="0"/>
        <w:rPr>
          <w:sz w:val="20"/>
          <w:szCs w:val="20"/>
          <w:color w:val="auto"/>
        </w:rPr>
      </w:pPr>
      <w:r>
        <w:rPr>
          <w:rFonts w:ascii="Arial" w:cs="Arial" w:eastAsia="Arial" w:hAnsi="Arial"/>
          <w:sz w:val="32"/>
          <w:szCs w:val="32"/>
          <w:b w:val="1"/>
          <w:bCs w:val="1"/>
          <w:color w:val="C8102E"/>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6995160" cy="4368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436880"/>
                    </a:xfrm>
                    <a:prstGeom prst="rect">
                      <a:avLst/>
                    </a:prstGeom>
                    <a:noFill/>
                  </pic:spPr>
                </pic:pic>
              </a:graphicData>
            </a:graphic>
          </wp:anchor>
        </w:drawing>
      </w:r>
    </w:p>
    <w:p>
      <w:pPr>
        <w:spacing w:after="0" w:line="357"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 xml:space="preserve">The Board unanimously recommends that stockholders vote </w:t>
      </w:r>
      <w:r>
        <w:rPr>
          <w:rFonts w:ascii="Arial" w:cs="Arial" w:eastAsia="Arial" w:hAnsi="Arial"/>
          <w:sz w:val="16"/>
          <w:szCs w:val="16"/>
          <w:b w:val="1"/>
          <w:bCs w:val="1"/>
          <w:color w:val="C8102E"/>
        </w:rPr>
        <w:t>FOR</w:t>
      </w:r>
      <w:r>
        <w:rPr>
          <w:rFonts w:ascii="Arial" w:cs="Arial" w:eastAsia="Arial" w:hAnsi="Arial"/>
          <w:sz w:val="16"/>
          <w:szCs w:val="16"/>
          <w:color w:val="auto"/>
        </w:rPr>
        <w:t xml:space="preserve"> the ratification of the appointment of Ernst &amp; Young LLP as the Company’s independent registered public accounting firm for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699516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98" w:lineRule="exact"/>
        <w:rPr>
          <w:sz w:val="20"/>
          <w:szCs w:val="20"/>
          <w:color w:val="auto"/>
        </w:rPr>
      </w:pPr>
    </w:p>
    <w:p>
      <w:pPr>
        <w:jc w:val="right"/>
        <w:spacing w:after="0"/>
        <w:tabs>
          <w:tab w:leader="none" w:pos="180" w:val="left"/>
        </w:tabs>
        <w:rPr>
          <w:sz w:val="20"/>
          <w:szCs w:val="20"/>
          <w:color w:val="auto"/>
        </w:rPr>
      </w:pPr>
      <w:r>
        <w:rPr>
          <w:sz w:val="1"/>
          <w:szCs w:val="1"/>
          <w:color w:val="auto"/>
        </w:rPr>
        <w:drawing>
          <wp:inline distT="0" distB="0" distL="0" distR="0">
            <wp:extent cx="685800" cy="163195"/>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0" cy="163195"/>
                    </a:xfrm>
                    <a:prstGeom prst="rect">
                      <a:avLst/>
                    </a:prstGeom>
                    <a:noFill/>
                    <a:ln>
                      <a:noFill/>
                    </a:ln>
                  </pic:spPr>
                </pic:pic>
              </a:graphicData>
            </a:graphic>
          </wp:inline>
        </w:drawing>
      </w:r>
      <w:r>
        <w:rPr>
          <w:rFonts w:ascii="Arial" w:cs="Arial" w:eastAsia="Arial" w:hAnsi="Arial"/>
          <w:sz w:val="18"/>
          <w:szCs w:val="18"/>
          <w:color w:val="auto"/>
        </w:rPr>
        <w:t xml:space="preserve"> - 2026 Proxy Statement</w:t>
      </w:r>
      <w:r>
        <w:rPr>
          <w:sz w:val="20"/>
          <w:szCs w:val="20"/>
          <w:color w:val="auto"/>
        </w:rPr>
        <w:tab/>
      </w: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-186690</wp:posOffset>
            </wp:positionV>
            <wp:extent cx="6995160" cy="3257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325755"/>
                    </a:xfrm>
                    <a:prstGeom prst="rect">
                      <a:avLst/>
                    </a:prstGeom>
                    <a:noFill/>
                  </pic:spPr>
                </pic:pic>
              </a:graphicData>
            </a:graphic>
          </wp:anchor>
        </w:drawing>
      </w:r>
    </w:p>
    <w:p>
      <w:pPr>
        <w:sectPr>
          <w:pgSz w:w="11900" w:h="16838" w:orient="portrait"/>
          <w:cols w:equalWidth="0" w:num="1">
            <w:col w:w="11020"/>
          </w:cols>
          <w:pgMar w:left="440" w:top="611" w:right="439" w:bottom="1440" w:gutter="0" w:footer="0" w:header="0"/>
        </w:sectPr>
      </w:pPr>
    </w:p>
    <w:bookmarkStart w:id="31" w:name="page32"/>
    <w:bookmarkEnd w:id="31"/>
    <w:p>
      <w:pPr>
        <w:ind w:left="664" w:hanging="664"/>
        <w:spacing w:after="0"/>
        <w:tabs>
          <w:tab w:leader="none" w:pos="664" w:val="left"/>
        </w:tabs>
        <w:numPr>
          <w:ilvl w:val="0"/>
          <w:numId w:val="66"/>
        </w:numPr>
        <w:rPr>
          <w:rFonts w:ascii="MS PGothic" w:cs="MS PGothic" w:eastAsia="MS PGothic" w:hAnsi="MS PGothic"/>
          <w:sz w:val="47"/>
          <w:szCs w:val="47"/>
          <w:color w:val="C8102E"/>
        </w:rPr>
      </w:pPr>
      <w:r>
        <w:rPr>
          <w:rFonts w:ascii="Arial" w:cs="Arial" w:eastAsia="Arial" w:hAnsi="Arial"/>
          <w:sz w:val="47"/>
          <w:szCs w:val="47"/>
          <w:color w:val="auto"/>
        </w:rPr>
        <w:t>AUDIT COMMITTEE REPORT</w:t>
      </w:r>
    </w:p>
    <w:p>
      <w:pPr>
        <w:spacing w:after="0" w:line="145" w:lineRule="exact"/>
        <w:rPr>
          <w:sz w:val="20"/>
          <w:szCs w:val="20"/>
          <w:color w:val="auto"/>
        </w:rPr>
      </w:pPr>
    </w:p>
    <w:p>
      <w:pPr>
        <w:jc w:val="both"/>
        <w:ind w:left="4"/>
        <w:spacing w:after="0" w:line="217" w:lineRule="auto"/>
        <w:rPr>
          <w:sz w:val="20"/>
          <w:szCs w:val="20"/>
          <w:color w:val="auto"/>
        </w:rPr>
      </w:pPr>
      <w:r>
        <w:rPr>
          <w:rFonts w:ascii="Arial" w:cs="Arial" w:eastAsia="Arial" w:hAnsi="Arial"/>
          <w:sz w:val="16"/>
          <w:szCs w:val="16"/>
          <w:color w:val="auto"/>
        </w:rPr>
        <w:t>The Audit Committee consists of A. Clayton Perfall, Barbara W. Bodem and Philip A. Okala, who are all non-management directors. The members of the Audit Committee meet the independence and financial literacy requirements of the NYSE and the additional, heightened independence criteria applicable to members of the Audit Committee under SEC and NYSE rules. In 2025, the Audit Committee held ten meetings. The Audit Committee operates pursuant to a written charter adopted by the Board of Directors, which it annually reviews. The charter, which complies with all current regulatory requirements, is available on the Company’s website at www.enovis.com on the Investors page under the Corporate Governance tab. During 2025, at each of its regularly scheduled meetings, the Audit Committee met with senior members of the Company’s finance team. Additionally, the Audit Committee has separate private sessions, during its regularly scheduled meetings, with the Company’s independent registered public accounting firm and head of internal audit, respectively. The Audit Committee is updated periodically on management’s process to assess the adequacy of the Company’s system of internal control over financial reporting, the framework used to make the assessment, and management’s conclusions on the effectiveness of the Company’s internal control over financial reporting. The Audit Committee has also discussed with the independent registered public accounting firm, their evaluation of the Company’s system of internal control over financial reporting.</w:t>
      </w:r>
    </w:p>
    <w:p>
      <w:pPr>
        <w:spacing w:after="0" w:line="114" w:lineRule="exact"/>
        <w:rPr>
          <w:sz w:val="20"/>
          <w:szCs w:val="20"/>
          <w:color w:val="auto"/>
        </w:rPr>
      </w:pPr>
    </w:p>
    <w:p>
      <w:pPr>
        <w:jc w:val="both"/>
        <w:ind w:left="4" w:right="20"/>
        <w:spacing w:after="0" w:line="217" w:lineRule="auto"/>
        <w:rPr>
          <w:sz w:val="20"/>
          <w:szCs w:val="20"/>
          <w:color w:val="auto"/>
        </w:rPr>
      </w:pPr>
      <w:r>
        <w:rPr>
          <w:rFonts w:ascii="Arial" w:cs="Arial" w:eastAsia="Arial" w:hAnsi="Arial"/>
          <w:sz w:val="16"/>
          <w:szCs w:val="16"/>
          <w:color w:val="auto"/>
        </w:rPr>
        <w:t>The Audit Committee evaluates the performance of the Company’s independent registered public accounting firm each year and determines whether to reengage the current independent registered accounting firm or consider other independent registered accounting firms. In doing so, the Audit Committee considers the quality and efficiency of the services provided by the independent registered accounting firm, the firm’s global capabilities, and the firm’s technical expertise, tenure as the Company’s independent registered accounting firm and knowledge of the Company’s global operations and businesses. In connection with the applicable audit partner rotation requirements, the Audit Committee also is involved in considering the selection of the auditors’ lead engagement partner when rotation is required. Based on this evaluation, the Audit Committee decided to engage Ernst &amp; Young LLP as our independent registered accounting firm for the year ended December 31, 2026. The Audit Committee reviews with the independent registered accounting firm and management the overall audit scope and plans, as well as the results of internal and external audit examinations and evaluations by management and the independent registered accounting firm of the Company’s internal controls over financial reporting and the quality of the Company’s financial reporting. Although the Audit Committee has the sole authority to appoint the independent registered public accounting firm, the Audit Committee recommends that the Board ask stockholders, at the Company’s annual meeting, to ratify the appointment of the independent registered accounting firm (see Proposal 2 beginning on page 24).</w:t>
      </w:r>
    </w:p>
    <w:p>
      <w:pPr>
        <w:spacing w:after="0" w:line="110" w:lineRule="exact"/>
        <w:rPr>
          <w:sz w:val="20"/>
          <w:szCs w:val="20"/>
          <w:color w:val="auto"/>
        </w:rPr>
      </w:pPr>
    </w:p>
    <w:p>
      <w:pPr>
        <w:jc w:val="both"/>
        <w:ind w:left="4"/>
        <w:spacing w:after="0" w:line="222" w:lineRule="auto"/>
        <w:rPr>
          <w:sz w:val="20"/>
          <w:szCs w:val="20"/>
          <w:color w:val="auto"/>
        </w:rPr>
      </w:pPr>
      <w:r>
        <w:rPr>
          <w:rFonts w:ascii="Arial" w:cs="Arial" w:eastAsia="Arial" w:hAnsi="Arial"/>
          <w:sz w:val="16"/>
          <w:szCs w:val="16"/>
          <w:color w:val="auto"/>
        </w:rPr>
        <w:t>The Audit Committee has reviewed and discussed the Company’s audited financial statements for the fiscal year ended December 31, 2025 with management and with the Company’s independent registered public accounting firm, including a discussion of the quality and suitability of the accounting principles, the reasonableness of significant accounting judgments and estimates, and the clarity of disclosures in the financial statements. In addressing the quality of management’s accounting judgments, members of the Audit Committee are apprised of certifications prepared by the Chief Executive Officer and the Chief Financial Officer that the unaudited quarterly and audited annual consolidated financial statements of the Company fairly present, in all material respects, the financial condition, results of operations and cash flows of the Company.</w:t>
      </w:r>
    </w:p>
    <w:p>
      <w:pPr>
        <w:spacing w:after="0" w:line="113" w:lineRule="exact"/>
        <w:rPr>
          <w:sz w:val="20"/>
          <w:szCs w:val="20"/>
          <w:color w:val="auto"/>
        </w:rPr>
      </w:pPr>
    </w:p>
    <w:p>
      <w:pPr>
        <w:jc w:val="both"/>
        <w:ind w:left="4" w:right="20"/>
        <w:spacing w:after="0" w:line="222" w:lineRule="auto"/>
        <w:rPr>
          <w:sz w:val="20"/>
          <w:szCs w:val="20"/>
          <w:color w:val="auto"/>
        </w:rPr>
      </w:pPr>
      <w:r>
        <w:rPr>
          <w:rFonts w:ascii="Arial" w:cs="Arial" w:eastAsia="Arial" w:hAnsi="Arial"/>
          <w:sz w:val="16"/>
          <w:szCs w:val="16"/>
          <w:color w:val="auto"/>
        </w:rPr>
        <w:t>In performing all of these functions, the Audit Committee acts in an oversight capacity. The Audit Committee reviews the Company’s quarterly and annual reports on Form 10-Q and Form 10-K prior to filing with the SEC. In its oversight role, the Audit Committee relies on the work and assurances of the Company’s management, which has the primary responsibility for establishing and maintaining adequate internal control over financial reporting and for preparing the financial statements, and other reports, and of the independent registered public accounting firm, which is engaged to review the quarterly consolidated financial statements of the Company, and audit and report on the annual consolidated financial statements of the Company and the effectiveness of the Company’s internal control over financial reporting as of the Company’s year-end.</w:t>
      </w:r>
    </w:p>
    <w:p>
      <w:pPr>
        <w:spacing w:after="0" w:line="113" w:lineRule="exact"/>
        <w:rPr>
          <w:sz w:val="20"/>
          <w:szCs w:val="20"/>
          <w:color w:val="auto"/>
        </w:rPr>
      </w:pPr>
    </w:p>
    <w:p>
      <w:pPr>
        <w:jc w:val="both"/>
        <w:ind w:left="4"/>
        <w:spacing w:after="0" w:line="221" w:lineRule="auto"/>
        <w:rPr>
          <w:sz w:val="20"/>
          <w:szCs w:val="20"/>
          <w:color w:val="auto"/>
        </w:rPr>
      </w:pPr>
      <w:r>
        <w:rPr>
          <w:rFonts w:ascii="Arial" w:cs="Arial" w:eastAsia="Arial" w:hAnsi="Arial"/>
          <w:sz w:val="16"/>
          <w:szCs w:val="16"/>
          <w:color w:val="auto"/>
        </w:rPr>
        <w:t>The Audit Committee discussed with the independent registered public accounting firm the matters required to be discussed by the applicable requirements of the Public Company Accounting Oversight Board (“PCAOB”) and SEC. The Audit Committee has received from the independent registered public accounting firm the written disclosures and the letter required by the applicable requirements of the PCAOB regarding the independent registered public accounting firm’s communications with the Audit Committee concerning independence, and has discussed with the independent registered public accounting firm its independence. On the basis of the reviews and discussions referenced above, the Audit Committee recommended to the Board of Directors that the audited financial statements for the fiscal year ended December 31, 2025 be included in the Company’s Annual Report on Form 10-K for filing with the Securities and Exchange Commission.</w:t>
      </w:r>
    </w:p>
    <w:p>
      <w:pPr>
        <w:spacing w:after="0" w:line="11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Audit Committee of the Board of Directors</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6"/>
          <w:szCs w:val="16"/>
          <w:color w:val="auto"/>
        </w:rPr>
        <w:t>A. Clayton Perfall, Chair</w:t>
      </w:r>
    </w:p>
    <w:p>
      <w:pPr>
        <w:ind w:left="4"/>
        <w:spacing w:after="0" w:line="211" w:lineRule="auto"/>
        <w:rPr>
          <w:sz w:val="20"/>
          <w:szCs w:val="20"/>
          <w:color w:val="auto"/>
        </w:rPr>
      </w:pPr>
      <w:r>
        <w:rPr>
          <w:rFonts w:ascii="Arial" w:cs="Arial" w:eastAsia="Arial" w:hAnsi="Arial"/>
          <w:sz w:val="16"/>
          <w:szCs w:val="16"/>
          <w:color w:val="auto"/>
        </w:rPr>
        <w:t>Barbara W. Bodem</w:t>
      </w:r>
    </w:p>
    <w:p>
      <w:pPr>
        <w:ind w:left="4"/>
        <w:spacing w:after="0"/>
        <w:rPr>
          <w:sz w:val="20"/>
          <w:szCs w:val="20"/>
          <w:color w:val="auto"/>
        </w:rPr>
      </w:pPr>
      <w:r>
        <w:rPr>
          <w:rFonts w:ascii="Arial" w:cs="Arial" w:eastAsia="Arial" w:hAnsi="Arial"/>
          <w:sz w:val="16"/>
          <w:szCs w:val="16"/>
          <w:color w:val="auto"/>
        </w:rPr>
        <w:t>Philip A. Okala</w:t>
      </w:r>
    </w:p>
    <w:p>
      <w:pPr>
        <w:spacing w:after="0" w:line="146" w:lineRule="exact"/>
        <w:rPr>
          <w:sz w:val="20"/>
          <w:szCs w:val="20"/>
          <w:color w:val="auto"/>
        </w:rPr>
      </w:pPr>
    </w:p>
    <w:p>
      <w:pPr>
        <w:ind w:left="4"/>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-118745</wp:posOffset>
            </wp:positionV>
            <wp:extent cx="762635" cy="3860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2635" cy="386080"/>
                    </a:xfrm>
                    <a:prstGeom prst="rect">
                      <a:avLst/>
                    </a:prstGeom>
                    <a:noFill/>
                  </pic:spPr>
                </pic:pic>
              </a:graphicData>
            </a:graphic>
          </wp:anchor>
        </w:drawing>
      </w:r>
    </w:p>
    <w:p>
      <w:pPr>
        <w:ind w:left="1584"/>
        <w:spacing w:after="0"/>
        <w:rPr>
          <w:sz w:val="20"/>
          <w:szCs w:val="20"/>
          <w:color w:val="auto"/>
        </w:rPr>
      </w:pPr>
      <w:r>
        <w:rPr>
          <w:rFonts w:ascii="Arial" w:cs="Arial" w:eastAsia="Arial" w:hAnsi="Arial"/>
          <w:sz w:val="18"/>
          <w:szCs w:val="18"/>
          <w:color w:val="auto"/>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69951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629" w:right="439" w:bottom="1440" w:gutter="0" w:footer="0" w:header="0"/>
        </w:sectPr>
      </w:pPr>
    </w:p>
    <w:bookmarkStart w:id="32" w:name="page33"/>
    <w:bookmarkEnd w:id="32"/>
    <w:p>
      <w:pPr>
        <w:ind w:left="664" w:hanging="664"/>
        <w:spacing w:after="0"/>
        <w:tabs>
          <w:tab w:leader="none" w:pos="664" w:val="left"/>
        </w:tabs>
        <w:numPr>
          <w:ilvl w:val="0"/>
          <w:numId w:val="67"/>
        </w:numPr>
        <w:rPr>
          <w:rFonts w:ascii="MS PGothic" w:cs="MS PGothic" w:eastAsia="MS PGothic" w:hAnsi="MS PGothic"/>
          <w:sz w:val="46"/>
          <w:szCs w:val="46"/>
          <w:color w:val="C8102E"/>
        </w:rPr>
      </w:pPr>
      <w:r>
        <w:rPr>
          <w:rFonts w:ascii="Arial" w:cs="Arial" w:eastAsia="Arial" w:hAnsi="Arial"/>
          <w:sz w:val="46"/>
          <w:szCs w:val="46"/>
          <w:color w:val="auto"/>
        </w:rPr>
        <w:t>COMPENSATION DISCUSSION AND ANALYSIS</w:t>
      </w:r>
    </w:p>
    <w:p>
      <w:pPr>
        <w:spacing w:after="0" w:line="158" w:lineRule="exact"/>
        <w:rPr>
          <w:sz w:val="20"/>
          <w:szCs w:val="20"/>
          <w:color w:val="auto"/>
        </w:rPr>
      </w:pPr>
    </w:p>
    <w:p>
      <w:pPr>
        <w:ind w:left="4" w:right="20"/>
        <w:spacing w:after="0" w:line="248" w:lineRule="auto"/>
        <w:rPr>
          <w:sz w:val="20"/>
          <w:szCs w:val="20"/>
          <w:color w:val="auto"/>
        </w:rPr>
      </w:pPr>
      <w:r>
        <w:rPr>
          <w:rFonts w:ascii="Arial" w:cs="Arial" w:eastAsia="Arial" w:hAnsi="Arial"/>
          <w:sz w:val="16"/>
          <w:szCs w:val="16"/>
          <w:i w:val="1"/>
          <w:iCs w:val="1"/>
          <w:color w:val="auto"/>
        </w:rPr>
        <w:t>The following discussion and analysis of compensation arrangements of our named executive officers for 2025 should be read together with the compensation tables and related disclosures set forth under the section heading “Executive Compensation.”</w:t>
      </w:r>
    </w:p>
    <w:p>
      <w:pPr>
        <w:spacing w:after="0" w:line="88" w:lineRule="exact"/>
        <w:rPr>
          <w:sz w:val="20"/>
          <w:szCs w:val="20"/>
          <w:color w:val="auto"/>
        </w:rPr>
      </w:pPr>
    </w:p>
    <w:p>
      <w:pPr>
        <w:ind w:left="4"/>
        <w:spacing w:after="0"/>
        <w:rPr>
          <w:sz w:val="20"/>
          <w:szCs w:val="20"/>
          <w:color w:val="auto"/>
        </w:rPr>
      </w:pPr>
      <w:r>
        <w:rPr>
          <w:rFonts w:ascii="Arial" w:cs="Arial" w:eastAsia="Arial" w:hAnsi="Arial"/>
          <w:sz w:val="32"/>
          <w:szCs w:val="32"/>
          <w:b w:val="1"/>
          <w:bCs w:val="1"/>
          <w:color w:val="C8102E"/>
        </w:rPr>
        <w:t>Executive Summary</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23"/>
          <w:szCs w:val="23"/>
          <w:color w:val="auto"/>
        </w:rPr>
        <w:t> Named Executive Officers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-164465</wp:posOffset>
            </wp:positionV>
            <wp:extent cx="69951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23495</wp:posOffset>
            </wp:positionV>
            <wp:extent cx="69951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6"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following discussion provides details regarding our executive compensation program and the compensation of our named executive officers in 2025.</w:t>
      </w:r>
    </w:p>
    <w:p>
      <w:pPr>
        <w:ind w:left="4"/>
        <w:spacing w:after="0"/>
        <w:rPr>
          <w:sz w:val="20"/>
          <w:szCs w:val="20"/>
          <w:color w:val="auto"/>
        </w:rPr>
      </w:pPr>
      <w:r>
        <w:rPr>
          <w:rFonts w:ascii="Arial" w:cs="Arial" w:eastAsia="Arial" w:hAnsi="Arial"/>
          <w:sz w:val="16"/>
          <w:szCs w:val="16"/>
          <w:color w:val="auto"/>
        </w:rPr>
        <w:t>Our NEOs for 2025 are:</w:t>
      </w:r>
    </w:p>
    <w:p>
      <w:pPr>
        <w:spacing w:after="0" w:line="138" w:lineRule="exact"/>
        <w:rPr>
          <w:sz w:val="20"/>
          <w:szCs w:val="20"/>
          <w:color w:val="auto"/>
        </w:rPr>
      </w:pPr>
    </w:p>
    <w:tbl>
      <w:tblPr>
        <w:tblLayout w:type="fixed"/>
        <w:tblInd w:w="4" w:type="dxa"/>
        <w:tblCellMar>
          <w:top w:w="0" w:type="dxa"/>
          <w:left w:w="0" w:type="dxa"/>
          <w:bottom w:w="0" w:type="dxa"/>
          <w:right w:w="0" w:type="dxa"/>
        </w:tblCellMar>
      </w:tblPr>
      <w:tr>
        <w:trPr>
          <w:trHeight w:val="190"/>
        </w:trPr>
        <w:tc>
          <w:tcPr>
            <w:tcW w:w="28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C8102E"/>
              </w:rPr>
              <w:t>  Name</w:t>
            </w:r>
          </w:p>
        </w:tc>
        <w:tc>
          <w:tcPr>
            <w:tcW w:w="8200" w:type="dxa"/>
            <w:vAlign w:val="bottom"/>
            <w:tcBorders>
              <w:bottom w:val="single" w:sz="8" w:color="auto"/>
            </w:tcBorders>
          </w:tcPr>
          <w:p>
            <w:pPr>
              <w:ind w:left="1040"/>
              <w:spacing w:after="0"/>
              <w:rPr>
                <w:sz w:val="20"/>
                <w:szCs w:val="20"/>
                <w:color w:val="auto"/>
              </w:rPr>
            </w:pPr>
            <w:r>
              <w:rPr>
                <w:rFonts w:ascii="Arial" w:cs="Arial" w:eastAsia="Arial" w:hAnsi="Arial"/>
                <w:sz w:val="16"/>
                <w:szCs w:val="16"/>
                <w:b w:val="1"/>
                <w:bCs w:val="1"/>
                <w:color w:val="C8102E"/>
              </w:rPr>
              <w:t>Title</w:t>
            </w:r>
          </w:p>
        </w:tc>
      </w:tr>
      <w:tr>
        <w:trPr>
          <w:trHeight w:val="169"/>
        </w:trPr>
        <w:tc>
          <w:tcPr>
            <w:tcW w:w="2820" w:type="dxa"/>
            <w:vAlign w:val="bottom"/>
            <w:shd w:val="clear" w:color="auto" w:fill="EDEDEE"/>
          </w:tcPr>
          <w:p>
            <w:pPr>
              <w:ind w:left="60"/>
              <w:spacing w:after="0" w:line="169" w:lineRule="exact"/>
              <w:rPr>
                <w:sz w:val="20"/>
                <w:szCs w:val="20"/>
                <w:color w:val="auto"/>
              </w:rPr>
            </w:pPr>
            <w:r>
              <w:rPr>
                <w:rFonts w:ascii="Arial" w:cs="Arial" w:eastAsia="Arial" w:hAnsi="Arial"/>
                <w:sz w:val="15"/>
                <w:szCs w:val="15"/>
                <w:b w:val="1"/>
                <w:bCs w:val="1"/>
                <w:color w:val="auto"/>
              </w:rPr>
              <w:t>Damien McDonald</w:t>
            </w:r>
            <w:r>
              <w:rPr>
                <w:rFonts w:ascii="Arial" w:cs="Arial" w:eastAsia="Arial" w:hAnsi="Arial"/>
                <w:sz w:val="19"/>
                <w:szCs w:val="19"/>
                <w:b w:val="1"/>
                <w:bCs w:val="1"/>
                <w:color w:val="auto"/>
                <w:vertAlign w:val="superscript"/>
              </w:rPr>
              <w:t>(1)</w:t>
            </w:r>
          </w:p>
        </w:tc>
        <w:tc>
          <w:tcPr>
            <w:tcW w:w="8200" w:type="dxa"/>
            <w:vAlign w:val="bottom"/>
            <w:shd w:val="clear" w:color="auto" w:fill="EDEDEE"/>
          </w:tcPr>
          <w:p>
            <w:pPr>
              <w:ind w:left="1040"/>
              <w:spacing w:after="0" w:line="169" w:lineRule="exact"/>
              <w:rPr>
                <w:sz w:val="20"/>
                <w:szCs w:val="20"/>
                <w:color w:val="auto"/>
              </w:rPr>
            </w:pPr>
            <w:r>
              <w:rPr>
                <w:rFonts w:ascii="Arial" w:cs="Arial" w:eastAsia="Arial" w:hAnsi="Arial"/>
                <w:sz w:val="16"/>
                <w:szCs w:val="16"/>
                <w:color w:val="auto"/>
              </w:rPr>
              <w:t>Chief Executive Officer</w:t>
            </w:r>
          </w:p>
        </w:tc>
      </w:tr>
      <w:tr>
        <w:trPr>
          <w:trHeight w:val="175"/>
        </w:trPr>
        <w:tc>
          <w:tcPr>
            <w:tcW w:w="2820" w:type="dxa"/>
            <w:vAlign w:val="bottom"/>
          </w:tcPr>
          <w:p>
            <w:pPr>
              <w:ind w:left="60"/>
              <w:spacing w:after="0" w:line="176" w:lineRule="exact"/>
              <w:rPr>
                <w:sz w:val="20"/>
                <w:szCs w:val="20"/>
                <w:color w:val="auto"/>
              </w:rPr>
            </w:pPr>
            <w:r>
              <w:rPr>
                <w:rFonts w:ascii="Arial" w:cs="Arial" w:eastAsia="Arial" w:hAnsi="Arial"/>
                <w:sz w:val="16"/>
                <w:szCs w:val="16"/>
                <w:b w:val="1"/>
                <w:bCs w:val="1"/>
                <w:color w:val="auto"/>
              </w:rPr>
              <w:t>Matthew L. Trerotola</w:t>
            </w:r>
            <w:r>
              <w:rPr>
                <w:rFonts w:ascii="Arial" w:cs="Arial" w:eastAsia="Arial" w:hAnsi="Arial"/>
                <w:sz w:val="20"/>
                <w:szCs w:val="20"/>
                <w:b w:val="1"/>
                <w:bCs w:val="1"/>
                <w:color w:val="auto"/>
                <w:vertAlign w:val="superscript"/>
              </w:rPr>
              <w:t>(1)</w:t>
            </w:r>
          </w:p>
        </w:tc>
        <w:tc>
          <w:tcPr>
            <w:tcW w:w="8200" w:type="dxa"/>
            <w:vAlign w:val="bottom"/>
          </w:tcPr>
          <w:p>
            <w:pPr>
              <w:ind w:left="1040"/>
              <w:spacing w:after="0" w:line="175" w:lineRule="exact"/>
              <w:rPr>
                <w:sz w:val="20"/>
                <w:szCs w:val="20"/>
                <w:color w:val="auto"/>
              </w:rPr>
            </w:pPr>
            <w:r>
              <w:rPr>
                <w:rFonts w:ascii="Arial" w:cs="Arial" w:eastAsia="Arial" w:hAnsi="Arial"/>
                <w:sz w:val="16"/>
                <w:szCs w:val="16"/>
                <w:color w:val="auto"/>
              </w:rPr>
              <w:t>Executive Advisor (Former Chief Executive Officer)</w:t>
            </w:r>
          </w:p>
        </w:tc>
      </w:tr>
      <w:tr>
        <w:trPr>
          <w:trHeight w:val="162"/>
        </w:trPr>
        <w:tc>
          <w:tcPr>
            <w:tcW w:w="2820" w:type="dxa"/>
            <w:vAlign w:val="bottom"/>
            <w:shd w:val="clear" w:color="auto" w:fill="EDEDEE"/>
          </w:tcPr>
          <w:p>
            <w:pPr>
              <w:ind w:left="60"/>
              <w:spacing w:after="0" w:line="162" w:lineRule="exact"/>
              <w:rPr>
                <w:sz w:val="20"/>
                <w:szCs w:val="20"/>
                <w:color w:val="auto"/>
              </w:rPr>
            </w:pPr>
            <w:r>
              <w:rPr>
                <w:rFonts w:ascii="Arial" w:cs="Arial" w:eastAsia="Arial" w:hAnsi="Arial"/>
                <w:sz w:val="16"/>
                <w:szCs w:val="16"/>
                <w:b w:val="1"/>
                <w:bCs w:val="1"/>
                <w:color w:val="auto"/>
              </w:rPr>
              <w:t>Phillip “Ben” Berry</w:t>
            </w:r>
          </w:p>
        </w:tc>
        <w:tc>
          <w:tcPr>
            <w:tcW w:w="8200" w:type="dxa"/>
            <w:vAlign w:val="bottom"/>
            <w:shd w:val="clear" w:color="auto" w:fill="EDEDEE"/>
          </w:tcPr>
          <w:p>
            <w:pPr>
              <w:ind w:left="1040"/>
              <w:spacing w:after="0" w:line="162" w:lineRule="exact"/>
              <w:rPr>
                <w:sz w:val="20"/>
                <w:szCs w:val="20"/>
                <w:color w:val="auto"/>
              </w:rPr>
            </w:pPr>
            <w:r>
              <w:rPr>
                <w:rFonts w:ascii="Arial" w:cs="Arial" w:eastAsia="Arial" w:hAnsi="Arial"/>
                <w:sz w:val="16"/>
                <w:szCs w:val="16"/>
                <w:color w:val="auto"/>
              </w:rPr>
              <w:t>SVP and Chief Financial Officer</w:t>
            </w:r>
          </w:p>
        </w:tc>
      </w:tr>
      <w:tr>
        <w:trPr>
          <w:trHeight w:val="175"/>
        </w:trPr>
        <w:tc>
          <w:tcPr>
            <w:tcW w:w="2820" w:type="dxa"/>
            <w:vAlign w:val="bottom"/>
          </w:tcPr>
          <w:p>
            <w:pPr>
              <w:ind w:left="60"/>
              <w:spacing w:after="0" w:line="176" w:lineRule="exact"/>
              <w:rPr>
                <w:sz w:val="20"/>
                <w:szCs w:val="20"/>
                <w:color w:val="auto"/>
              </w:rPr>
            </w:pPr>
            <w:r>
              <w:rPr>
                <w:rFonts w:ascii="Arial" w:cs="Arial" w:eastAsia="Arial" w:hAnsi="Arial"/>
                <w:sz w:val="16"/>
                <w:szCs w:val="16"/>
                <w:b w:val="1"/>
                <w:bCs w:val="1"/>
                <w:color w:val="auto"/>
              </w:rPr>
              <w:t>Daniel A. Pryor</w:t>
            </w:r>
            <w:r>
              <w:rPr>
                <w:rFonts w:ascii="Arial" w:cs="Arial" w:eastAsia="Arial" w:hAnsi="Arial"/>
                <w:sz w:val="20"/>
                <w:szCs w:val="20"/>
                <w:b w:val="1"/>
                <w:bCs w:val="1"/>
                <w:color w:val="auto"/>
                <w:vertAlign w:val="superscript"/>
              </w:rPr>
              <w:t>(2)</w:t>
            </w:r>
          </w:p>
        </w:tc>
        <w:tc>
          <w:tcPr>
            <w:tcW w:w="8200" w:type="dxa"/>
            <w:vAlign w:val="bottom"/>
          </w:tcPr>
          <w:p>
            <w:pPr>
              <w:ind w:left="1040"/>
              <w:spacing w:after="0" w:line="175" w:lineRule="exact"/>
              <w:rPr>
                <w:sz w:val="20"/>
                <w:szCs w:val="20"/>
                <w:color w:val="auto"/>
              </w:rPr>
            </w:pPr>
            <w:r>
              <w:rPr>
                <w:rFonts w:ascii="Arial" w:cs="Arial" w:eastAsia="Arial" w:hAnsi="Arial"/>
                <w:sz w:val="16"/>
                <w:szCs w:val="16"/>
                <w:color w:val="auto"/>
              </w:rPr>
              <w:t>Former EVP, Strategy and Business Development</w:t>
            </w:r>
          </w:p>
        </w:tc>
      </w:tr>
      <w:tr>
        <w:trPr>
          <w:trHeight w:val="162"/>
        </w:trPr>
        <w:tc>
          <w:tcPr>
            <w:tcW w:w="2820" w:type="dxa"/>
            <w:vAlign w:val="bottom"/>
            <w:shd w:val="clear" w:color="auto" w:fill="EDEDEE"/>
          </w:tcPr>
          <w:p>
            <w:pPr>
              <w:ind w:left="60"/>
              <w:spacing w:after="0" w:line="162" w:lineRule="exact"/>
              <w:rPr>
                <w:sz w:val="20"/>
                <w:szCs w:val="20"/>
                <w:color w:val="auto"/>
              </w:rPr>
            </w:pPr>
            <w:r>
              <w:rPr>
                <w:rFonts w:ascii="Arial" w:cs="Arial" w:eastAsia="Arial" w:hAnsi="Arial"/>
                <w:sz w:val="16"/>
                <w:szCs w:val="16"/>
                <w:b w:val="1"/>
                <w:bCs w:val="1"/>
                <w:color w:val="auto"/>
              </w:rPr>
              <w:t>Terry Ross</w:t>
            </w:r>
          </w:p>
        </w:tc>
        <w:tc>
          <w:tcPr>
            <w:tcW w:w="8200" w:type="dxa"/>
            <w:vAlign w:val="bottom"/>
            <w:shd w:val="clear" w:color="auto" w:fill="EDEDEE"/>
          </w:tcPr>
          <w:p>
            <w:pPr>
              <w:ind w:left="1040"/>
              <w:spacing w:after="0" w:line="162" w:lineRule="exact"/>
              <w:rPr>
                <w:sz w:val="20"/>
                <w:szCs w:val="20"/>
                <w:color w:val="auto"/>
              </w:rPr>
            </w:pPr>
            <w:r>
              <w:rPr>
                <w:rFonts w:ascii="Arial" w:cs="Arial" w:eastAsia="Arial" w:hAnsi="Arial"/>
                <w:sz w:val="16"/>
                <w:szCs w:val="16"/>
                <w:color w:val="auto"/>
              </w:rPr>
              <w:t>Group President, P&amp;R</w:t>
            </w:r>
          </w:p>
        </w:tc>
      </w:tr>
      <w:tr>
        <w:trPr>
          <w:trHeight w:val="175"/>
        </w:trPr>
        <w:tc>
          <w:tcPr>
            <w:tcW w:w="2820" w:type="dxa"/>
            <w:vAlign w:val="bottom"/>
          </w:tcPr>
          <w:p>
            <w:pPr>
              <w:ind w:left="60"/>
              <w:spacing w:after="0" w:line="176" w:lineRule="exact"/>
              <w:rPr>
                <w:sz w:val="20"/>
                <w:szCs w:val="20"/>
                <w:color w:val="auto"/>
              </w:rPr>
            </w:pPr>
            <w:r>
              <w:rPr>
                <w:rFonts w:ascii="Arial" w:cs="Arial" w:eastAsia="Arial" w:hAnsi="Arial"/>
                <w:sz w:val="16"/>
                <w:szCs w:val="16"/>
                <w:b w:val="1"/>
                <w:bCs w:val="1"/>
                <w:color w:val="auto"/>
              </w:rPr>
              <w:t>Patricia Lang</w:t>
            </w:r>
            <w:r>
              <w:rPr>
                <w:rFonts w:ascii="Arial" w:cs="Arial" w:eastAsia="Arial" w:hAnsi="Arial"/>
                <w:sz w:val="20"/>
                <w:szCs w:val="20"/>
                <w:b w:val="1"/>
                <w:bCs w:val="1"/>
                <w:color w:val="auto"/>
                <w:vertAlign w:val="superscript"/>
              </w:rPr>
              <w:t>(3)</w:t>
            </w:r>
          </w:p>
        </w:tc>
        <w:tc>
          <w:tcPr>
            <w:tcW w:w="8200" w:type="dxa"/>
            <w:vAlign w:val="bottom"/>
          </w:tcPr>
          <w:p>
            <w:pPr>
              <w:ind w:left="1040"/>
              <w:spacing w:after="0" w:line="175" w:lineRule="exact"/>
              <w:rPr>
                <w:sz w:val="20"/>
                <w:szCs w:val="20"/>
                <w:color w:val="auto"/>
              </w:rPr>
            </w:pPr>
            <w:r>
              <w:rPr>
                <w:rFonts w:ascii="Arial" w:cs="Arial" w:eastAsia="Arial" w:hAnsi="Arial"/>
                <w:sz w:val="16"/>
                <w:szCs w:val="16"/>
                <w:color w:val="auto"/>
              </w:rPr>
              <w:t>SVP and Chief Human Resources Officer</w:t>
            </w:r>
          </w:p>
        </w:tc>
      </w:tr>
      <w:tr>
        <w:trPr>
          <w:trHeight w:val="162"/>
        </w:trPr>
        <w:tc>
          <w:tcPr>
            <w:tcW w:w="2820" w:type="dxa"/>
            <w:vAlign w:val="bottom"/>
            <w:shd w:val="clear" w:color="auto" w:fill="EDEDEE"/>
          </w:tcPr>
          <w:p>
            <w:pPr>
              <w:ind w:left="60"/>
              <w:spacing w:after="0" w:line="162" w:lineRule="exact"/>
              <w:rPr>
                <w:sz w:val="20"/>
                <w:szCs w:val="20"/>
                <w:color w:val="auto"/>
              </w:rPr>
            </w:pPr>
            <w:r>
              <w:rPr>
                <w:rFonts w:ascii="Arial" w:cs="Arial" w:eastAsia="Arial" w:hAnsi="Arial"/>
                <w:sz w:val="16"/>
                <w:szCs w:val="16"/>
                <w:b w:val="1"/>
                <w:bCs w:val="1"/>
                <w:color w:val="auto"/>
              </w:rPr>
              <w:t>Louis Vogt</w:t>
            </w:r>
          </w:p>
        </w:tc>
        <w:tc>
          <w:tcPr>
            <w:tcW w:w="8200" w:type="dxa"/>
            <w:vAlign w:val="bottom"/>
            <w:shd w:val="clear" w:color="auto" w:fill="EDEDEE"/>
          </w:tcPr>
          <w:p>
            <w:pPr>
              <w:ind w:left="1040"/>
              <w:spacing w:after="0" w:line="162" w:lineRule="exact"/>
              <w:rPr>
                <w:sz w:val="20"/>
                <w:szCs w:val="20"/>
                <w:color w:val="auto"/>
              </w:rPr>
            </w:pPr>
            <w:r>
              <w:rPr>
                <w:rFonts w:ascii="Arial" w:cs="Arial" w:eastAsia="Arial" w:hAnsi="Arial"/>
                <w:sz w:val="16"/>
                <w:szCs w:val="16"/>
                <w:color w:val="auto"/>
              </w:rPr>
              <w:t>Group President, Recon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69951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0" w:lineRule="exact"/>
        <w:rPr>
          <w:sz w:val="20"/>
          <w:szCs w:val="20"/>
          <w:color w:val="auto"/>
        </w:rPr>
      </w:pPr>
    </w:p>
    <w:p>
      <w:pPr>
        <w:ind w:left="424" w:right="20" w:hanging="424"/>
        <w:spacing w:after="0" w:line="244" w:lineRule="auto"/>
        <w:tabs>
          <w:tab w:leader="none" w:pos="424" w:val="left"/>
        </w:tabs>
        <w:numPr>
          <w:ilvl w:val="0"/>
          <w:numId w:val="68"/>
        </w:numPr>
        <w:rPr>
          <w:rFonts w:ascii="Arial" w:cs="Arial" w:eastAsia="Arial" w:hAnsi="Arial"/>
          <w:sz w:val="14"/>
          <w:szCs w:val="14"/>
          <w:color w:val="auto"/>
        </w:rPr>
      </w:pPr>
      <w:r>
        <w:rPr>
          <w:rFonts w:ascii="Arial" w:cs="Arial" w:eastAsia="Arial" w:hAnsi="Arial"/>
          <w:sz w:val="14"/>
          <w:szCs w:val="14"/>
          <w:color w:val="auto"/>
        </w:rPr>
        <w:t>Mr. Trerotola retired from his position of CEO on May 12, 2025, effective upon the appointment of his successor, Damien McDonald, as the Company’s new CEO on the same date. Mr. Trerotola agreed to continue to serve as an employee of the Company in an Executive Advisor role until May 12, 2026.</w:t>
      </w:r>
    </w:p>
    <w:p>
      <w:pPr>
        <w:spacing w:after="0" w:line="172" w:lineRule="exact"/>
        <w:rPr>
          <w:rFonts w:ascii="Arial" w:cs="Arial" w:eastAsia="Arial" w:hAnsi="Arial"/>
          <w:sz w:val="14"/>
          <w:szCs w:val="14"/>
          <w:color w:val="auto"/>
        </w:rPr>
      </w:pPr>
    </w:p>
    <w:p>
      <w:pPr>
        <w:ind w:left="424" w:right="20" w:hanging="424"/>
        <w:spacing w:after="0" w:line="244" w:lineRule="auto"/>
        <w:tabs>
          <w:tab w:leader="none" w:pos="424" w:val="left"/>
        </w:tabs>
        <w:numPr>
          <w:ilvl w:val="0"/>
          <w:numId w:val="68"/>
        </w:numPr>
        <w:rPr>
          <w:rFonts w:ascii="Arial" w:cs="Arial" w:eastAsia="Arial" w:hAnsi="Arial"/>
          <w:sz w:val="14"/>
          <w:szCs w:val="14"/>
          <w:color w:val="auto"/>
        </w:rPr>
      </w:pPr>
      <w:r>
        <w:rPr>
          <w:rFonts w:ascii="Arial" w:cs="Arial" w:eastAsia="Arial" w:hAnsi="Arial"/>
          <w:sz w:val="14"/>
          <w:szCs w:val="14"/>
          <w:color w:val="auto"/>
        </w:rPr>
        <w:t>On November 7, 2025, Mr. Pryor and the Company agreed that he would step down from his position as an executive officer of the Company as of such date, and remain as an employee of the Company in an advisory role through March 31, 2026.</w:t>
      </w:r>
    </w:p>
    <w:p>
      <w:pPr>
        <w:spacing w:after="0" w:line="172" w:lineRule="exact"/>
        <w:rPr>
          <w:rFonts w:ascii="Arial" w:cs="Arial" w:eastAsia="Arial" w:hAnsi="Arial"/>
          <w:sz w:val="14"/>
          <w:szCs w:val="14"/>
          <w:color w:val="auto"/>
        </w:rPr>
      </w:pPr>
    </w:p>
    <w:p>
      <w:pPr>
        <w:ind w:left="424" w:right="20" w:hanging="424"/>
        <w:spacing w:after="0" w:line="244" w:lineRule="auto"/>
        <w:tabs>
          <w:tab w:leader="none" w:pos="424" w:val="left"/>
        </w:tabs>
        <w:numPr>
          <w:ilvl w:val="0"/>
          <w:numId w:val="68"/>
        </w:numPr>
        <w:rPr>
          <w:rFonts w:ascii="Arial" w:cs="Arial" w:eastAsia="Arial" w:hAnsi="Arial"/>
          <w:sz w:val="14"/>
          <w:szCs w:val="14"/>
          <w:color w:val="auto"/>
        </w:rPr>
      </w:pPr>
      <w:r>
        <w:rPr>
          <w:rFonts w:ascii="Arial" w:cs="Arial" w:eastAsia="Arial" w:hAnsi="Arial"/>
          <w:sz w:val="14"/>
          <w:szCs w:val="14"/>
          <w:color w:val="auto"/>
        </w:rPr>
        <w:t>On December 10, 2025, Ms. Lang informed the Company of her intention to retire from her position as the Company’s SVP and CHRO, effective April 3, 2026, at which time Ms. Lang will transition to a non-executive advisory role through April 3, 2027.</w:t>
      </w:r>
    </w:p>
    <w:p>
      <w:pPr>
        <w:spacing w:after="0" w:line="231" w:lineRule="exact"/>
        <w:rPr>
          <w:sz w:val="20"/>
          <w:szCs w:val="20"/>
          <w:color w:val="auto"/>
        </w:rPr>
      </w:pPr>
    </w:p>
    <w:p>
      <w:pPr>
        <w:ind w:left="4"/>
        <w:spacing w:after="0"/>
        <w:rPr>
          <w:sz w:val="20"/>
          <w:szCs w:val="20"/>
          <w:color w:val="auto"/>
        </w:rPr>
      </w:pPr>
      <w:r>
        <w:rPr>
          <w:rFonts w:ascii="Arial" w:cs="Arial" w:eastAsia="Arial" w:hAnsi="Arial"/>
          <w:sz w:val="23"/>
          <w:szCs w:val="23"/>
          <w:color w:val="auto"/>
        </w:rPr>
        <w:t> Our Compensation Philosophy and Guiding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-164465</wp:posOffset>
            </wp:positionV>
            <wp:extent cx="69951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23495</wp:posOffset>
            </wp:positionV>
            <wp:extent cx="69951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2" w:lineRule="exact"/>
        <w:rPr>
          <w:sz w:val="20"/>
          <w:szCs w:val="20"/>
          <w:color w:val="auto"/>
        </w:rPr>
      </w:pPr>
    </w:p>
    <w:p>
      <w:pPr>
        <w:jc w:val="both"/>
        <w:ind w:left="4"/>
        <w:spacing w:after="0" w:line="225" w:lineRule="auto"/>
        <w:rPr>
          <w:sz w:val="20"/>
          <w:szCs w:val="20"/>
          <w:color w:val="auto"/>
        </w:rPr>
      </w:pPr>
      <w:r>
        <w:rPr>
          <w:rFonts w:ascii="Arial" w:cs="Arial" w:eastAsia="Arial" w:hAnsi="Arial"/>
          <w:sz w:val="16"/>
          <w:szCs w:val="16"/>
          <w:color w:val="auto"/>
        </w:rPr>
        <w:t>Our executive compensation approach links compensation to Company and individual performance while aligning the long-term interests of management and stockholders. We strive to create a compensation program for our team members, including our executives, that provides a compelling and engaging opportunity to attract, retain and motivate the best talent. We believe that our compensation programs motivate performance-driven leadership that is aligned to achieve our financial and strategic objectives with the intention to deliver superior long-term returns to our stockholders. Utilizing this philosophy, our executive compensation program has been designed to:</w:t>
      </w:r>
    </w:p>
    <w:p>
      <w:pPr>
        <w:sectPr>
          <w:pgSz w:w="11900" w:h="16838" w:orient="portrait"/>
          <w:cols w:equalWidth="0" w:num="1">
            <w:col w:w="11024"/>
          </w:cols>
          <w:pgMar w:left="436" w:top="629" w:right="439" w:bottom="1440" w:gutter="0" w:footer="0" w:header="0"/>
        </w:sectPr>
      </w:pPr>
    </w:p>
    <w:p>
      <w:pPr>
        <w:spacing w:after="0" w:line="150" w:lineRule="exact"/>
        <w:rPr>
          <w:sz w:val="20"/>
          <w:szCs w:val="20"/>
          <w:color w:val="auto"/>
        </w:rPr>
      </w:pPr>
    </w:p>
    <w:p>
      <w:pPr>
        <w:ind w:left="64" w:right="200"/>
        <w:spacing w:after="0" w:line="250" w:lineRule="auto"/>
        <w:rPr>
          <w:sz w:val="20"/>
          <w:szCs w:val="20"/>
          <w:color w:val="auto"/>
        </w:rPr>
      </w:pPr>
      <w:r>
        <w:rPr>
          <w:rFonts w:ascii="Arial" w:cs="Arial" w:eastAsia="Arial" w:hAnsi="Arial"/>
          <w:sz w:val="16"/>
          <w:szCs w:val="16"/>
          <w:b w:val="1"/>
          <w:bCs w:val="1"/>
          <w:color w:val="C8102E"/>
        </w:rPr>
        <w:t>Link rewards to performance and foster a team-based approach</w:t>
      </w:r>
    </w:p>
    <w:p>
      <w:pPr>
        <w:spacing w:after="0" w:line="1" w:lineRule="exact"/>
        <w:rPr>
          <w:sz w:val="20"/>
          <w:szCs w:val="20"/>
          <w:color w:val="auto"/>
        </w:rPr>
      </w:pPr>
    </w:p>
    <w:p>
      <w:pPr>
        <w:jc w:val="both"/>
        <w:ind w:left="64" w:right="680"/>
        <w:spacing w:after="0" w:line="234" w:lineRule="auto"/>
        <w:rPr>
          <w:sz w:val="20"/>
          <w:szCs w:val="20"/>
          <w:color w:val="auto"/>
        </w:rPr>
      </w:pPr>
      <w:r>
        <w:rPr>
          <w:rFonts w:ascii="Arial" w:cs="Arial" w:eastAsia="Arial" w:hAnsi="Arial"/>
          <w:sz w:val="16"/>
          <w:szCs w:val="16"/>
          <w:b w:val="1"/>
          <w:bCs w:val="1"/>
          <w:color w:val="C8102E"/>
        </w:rPr>
        <w:t>Align the performance responsibilities of executives with the long-term interests of stockholders</w:t>
      </w:r>
    </w:p>
    <w:p>
      <w:pPr>
        <w:spacing w:after="0" w:line="157" w:lineRule="exact"/>
        <w:rPr>
          <w:sz w:val="20"/>
          <w:szCs w:val="20"/>
          <w:color w:val="auto"/>
        </w:rPr>
      </w:pPr>
    </w:p>
    <w:p>
      <w:pPr>
        <w:ind w:left="64"/>
        <w:spacing w:after="0" w:line="261" w:lineRule="auto"/>
        <w:rPr>
          <w:sz w:val="20"/>
          <w:szCs w:val="20"/>
          <w:color w:val="auto"/>
        </w:rPr>
      </w:pPr>
      <w:r>
        <w:rPr>
          <w:rFonts w:ascii="Arial" w:cs="Arial" w:eastAsia="Arial" w:hAnsi="Arial"/>
          <w:sz w:val="16"/>
          <w:szCs w:val="16"/>
          <w:b w:val="1"/>
          <w:bCs w:val="1"/>
          <w:color w:val="C8102E"/>
        </w:rPr>
        <w:t>Provide transparency through simplicity of design and practices</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Each executive has clear performance expectations and must contribute to our overall success rather than solely to objectives within his or her primary area of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-2668905</wp:posOffset>
            </wp:positionH>
            <wp:positionV relativeFrom="paragraph">
              <wp:posOffset>-229870</wp:posOffset>
            </wp:positionV>
            <wp:extent cx="6995160" cy="2489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5160" cy="248920"/>
                    </a:xfrm>
                    <a:prstGeom prst="rect">
                      <a:avLst/>
                    </a:prstGeom>
                    <a:noFill/>
                  </pic:spPr>
                </pic:pic>
              </a:graphicData>
            </a:graphic>
          </wp:anchor>
        </w:drawing>
      </w:r>
    </w:p>
    <w:p>
      <w:pPr>
        <w:jc w:val="both"/>
        <w:ind w:right="20"/>
        <w:spacing w:after="0" w:line="228" w:lineRule="auto"/>
        <w:rPr>
          <w:sz w:val="20"/>
          <w:szCs w:val="20"/>
          <w:color w:val="auto"/>
        </w:rPr>
      </w:pPr>
      <w:r>
        <w:rPr>
          <w:rFonts w:ascii="Arial" w:cs="Arial" w:eastAsia="Arial" w:hAnsi="Arial"/>
          <w:sz w:val="16"/>
          <w:szCs w:val="16"/>
          <w:color w:val="auto"/>
        </w:rPr>
        <w:t>Our program emphasizes long-term stockholder value creation by using predominantly RSUs and performance-based RSUs, in combination with a stock ownership policy, to deliver long-term compensation incentives while minimizing risk-taking behaviors that could negatively affect long-term results.</w:t>
      </w:r>
    </w:p>
    <w:p>
      <w:pPr>
        <w:spacing w:after="0" w:line="3"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We provide three main elements in our compensation program–base salary, annual incentive cash bonuses, and long-term incentives–with an appropriate blend of purposes and incentives linked to easily understood objectives, as described further on 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-2668905</wp:posOffset>
            </wp:positionH>
            <wp:positionV relativeFrom="paragraph">
              <wp:posOffset>-323850</wp:posOffset>
            </wp:positionV>
            <wp:extent cx="6995160" cy="3511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3511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138430</wp:posOffset>
            </wp:positionV>
            <wp:extent cx="17145" cy="3175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7145" cy="3175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44" w:space="260"/>
            <w:col w:w="6820"/>
          </w:cols>
          <w:pgMar w:left="436" w:top="629" w:right="439" w:bottom="1440" w:gutter="0" w:footer="0" w:header="0"/>
          <w:type w:val="continuous"/>
        </w:sectPr>
      </w:pPr>
    </w:p>
    <w:p>
      <w:pPr>
        <w:spacing w:after="0" w:line="18" w:lineRule="exact"/>
        <w:rPr>
          <w:sz w:val="20"/>
          <w:szCs w:val="20"/>
          <w:color w:val="auto"/>
        </w:rPr>
      </w:pPr>
    </w:p>
    <w:p>
      <w:pPr>
        <w:ind w:left="7524"/>
        <w:spacing w:after="0"/>
        <w:tabs>
          <w:tab w:leader="none" w:pos="10804" w:val="left"/>
        </w:tabs>
        <w:rPr>
          <w:sz w:val="20"/>
          <w:szCs w:val="20"/>
          <w:color w:val="auto"/>
        </w:rPr>
      </w:pPr>
      <w:r>
        <w:rPr>
          <w:sz w:val="1"/>
          <w:szCs w:val="1"/>
          <w:color w:val="auto"/>
        </w:rPr>
        <w:drawing>
          <wp:inline distT="0" distB="0" distL="0" distR="0">
            <wp:extent cx="685800" cy="162560"/>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0" cy="162560"/>
                    </a:xfrm>
                    <a:prstGeom prst="rect">
                      <a:avLst/>
                    </a:prstGeom>
                    <a:noFill/>
                    <a:ln>
                      <a:noFill/>
                    </a:ln>
                  </pic:spPr>
                </pic:pic>
              </a:graphicData>
            </a:graphic>
          </wp:inline>
        </w:drawing>
      </w:r>
      <w:r>
        <w:rPr>
          <w:rFonts w:ascii="Arial" w:cs="Arial" w:eastAsia="Arial" w:hAnsi="Arial"/>
          <w:sz w:val="18"/>
          <w:szCs w:val="18"/>
          <w:color w:val="auto"/>
        </w:rPr>
        <w:t xml:space="preserve"> - 2026 Proxy Statement</w:t>
      </w:r>
      <w:r>
        <w:rPr>
          <w:sz w:val="20"/>
          <w:szCs w:val="20"/>
          <w:color w:val="auto"/>
        </w:rPr>
        <w:tab/>
      </w: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951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629" w:right="439" w:bottom="1440" w:gutter="0" w:footer="0" w:header="0"/>
          <w:type w:val="continuous"/>
        </w:sectPr>
      </w:pPr>
    </w:p>
    <w:bookmarkStart w:id="33" w:name="page34"/>
    <w:bookmarkEnd w:id="33"/>
    <w:p>
      <w:pPr>
        <w:ind w:left="4"/>
        <w:spacing w:after="0"/>
        <w:rPr>
          <w:sz w:val="20"/>
          <w:szCs w:val="20"/>
          <w:color w:val="auto"/>
        </w:rPr>
      </w:pPr>
      <w:r>
        <w:rPr>
          <w:rFonts w:ascii="Arial" w:cs="Arial" w:eastAsia="Arial" w:hAnsi="Arial"/>
          <w:sz w:val="23"/>
          <w:szCs w:val="23"/>
          <w:color w:val="auto"/>
        </w:rPr>
        <w:drawing>
          <wp:anchor simplePos="0" relativeHeight="251657728" behindDoc="1" locked="0" layoutInCell="0" allowOverlap="1">
            <wp:simplePos x="0" y="0"/>
            <wp:positionH relativeFrom="page">
              <wp:posOffset>276860</wp:posOffset>
            </wp:positionH>
            <wp:positionV relativeFrom="page">
              <wp:posOffset>457200</wp:posOffset>
            </wp:positionV>
            <wp:extent cx="69951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8255"/>
                    </a:xfrm>
                    <a:prstGeom prst="rect">
                      <a:avLst/>
                    </a:prstGeom>
                    <a:noFill/>
                  </pic:spPr>
                </pic:pic>
              </a:graphicData>
            </a:graphic>
          </wp:anchor>
        </w:drawing>
        <w:t> Fiscal 2025 Pay for Performance Alignment and Compensation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9951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2" w:lineRule="exact"/>
        <w:rPr>
          <w:sz w:val="20"/>
          <w:szCs w:val="20"/>
          <w:color w:val="auto"/>
        </w:rPr>
      </w:pPr>
    </w:p>
    <w:p>
      <w:pPr>
        <w:ind w:left="4"/>
        <w:spacing w:after="0" w:line="251" w:lineRule="auto"/>
        <w:rPr>
          <w:sz w:val="20"/>
          <w:szCs w:val="20"/>
          <w:color w:val="auto"/>
        </w:rPr>
      </w:pPr>
      <w:r>
        <w:rPr>
          <w:rFonts w:ascii="Arial" w:cs="Arial" w:eastAsia="Arial" w:hAnsi="Arial"/>
          <w:sz w:val="16"/>
          <w:szCs w:val="16"/>
          <w:color w:val="auto"/>
        </w:rPr>
        <w:t>In 2025, our leadership team continued to execute on the Company’s long-term goals of revenue growth and margin expansion. We finished fiscal 2025 with adjusted earnings per share of $2.24 and adjusted EBITDA of $401.8 million.</w:t>
      </w:r>
    </w:p>
    <w:p>
      <w:pPr>
        <w:spacing w:after="0" w:line="101" w:lineRule="exact"/>
        <w:rPr>
          <w:sz w:val="20"/>
          <w:szCs w:val="20"/>
          <w:color w:val="auto"/>
        </w:rPr>
      </w:pPr>
    </w:p>
    <w:p>
      <w:pPr>
        <w:ind w:left="4"/>
        <w:spacing w:after="0" w:line="251" w:lineRule="auto"/>
        <w:rPr>
          <w:sz w:val="20"/>
          <w:szCs w:val="20"/>
          <w:color w:val="auto"/>
        </w:rPr>
      </w:pPr>
      <w:r>
        <w:rPr>
          <w:rFonts w:ascii="Arial" w:cs="Arial" w:eastAsia="Arial" w:hAnsi="Arial"/>
          <w:sz w:val="16"/>
          <w:szCs w:val="16"/>
          <w:color w:val="auto"/>
        </w:rPr>
        <w:t>While we achieved solid performance versus the established targets under our Annual Incentive Plan (“AIP”) for sales and adjusted EBITDA, our results fell short of our goals, leading to an overall company performance factor under the AIP of 92.2% of target for our NEOs.</w:t>
      </w:r>
    </w:p>
    <w:p>
      <w:pPr>
        <w:spacing w:after="0" w:line="101" w:lineRule="exact"/>
        <w:rPr>
          <w:sz w:val="20"/>
          <w:szCs w:val="20"/>
          <w:color w:val="auto"/>
        </w:rPr>
      </w:pPr>
    </w:p>
    <w:p>
      <w:pPr>
        <w:ind w:left="4"/>
        <w:spacing w:after="0"/>
        <w:rPr>
          <w:sz w:val="20"/>
          <w:szCs w:val="20"/>
          <w:color w:val="auto"/>
        </w:rPr>
      </w:pPr>
      <w:r>
        <w:rPr>
          <w:rFonts w:ascii="Arial" w:cs="Arial" w:eastAsia="Arial" w:hAnsi="Arial"/>
          <w:sz w:val="16"/>
          <w:szCs w:val="16"/>
          <w:color w:val="auto"/>
        </w:rPr>
        <w:t>Further, the CHCM Committee took the following actions during 2025:</w:t>
      </w:r>
    </w:p>
    <w:p>
      <w:pPr>
        <w:spacing w:after="0" w:line="154" w:lineRule="exact"/>
        <w:rPr>
          <w:sz w:val="20"/>
          <w:szCs w:val="20"/>
          <w:color w:val="auto"/>
        </w:rPr>
      </w:pPr>
    </w:p>
    <w:p>
      <w:pPr>
        <w:ind w:left="324" w:hanging="324"/>
        <w:spacing w:after="0" w:line="190" w:lineRule="auto"/>
        <w:tabs>
          <w:tab w:leader="none" w:pos="324" w:val="left"/>
        </w:tabs>
        <w:numPr>
          <w:ilvl w:val="0"/>
          <w:numId w:val="69"/>
        </w:numPr>
        <w:rPr>
          <w:rFonts w:ascii="MS PGothic" w:cs="MS PGothic" w:eastAsia="MS PGothic" w:hAnsi="MS PGothic"/>
          <w:sz w:val="29"/>
          <w:szCs w:val="29"/>
          <w:color w:val="C8102E"/>
          <w:vertAlign w:val="superscript"/>
        </w:rPr>
      </w:pPr>
      <w:r>
        <w:rPr>
          <w:rFonts w:ascii="Arial" w:cs="Arial" w:eastAsia="Arial" w:hAnsi="Arial"/>
          <w:sz w:val="16"/>
          <w:szCs w:val="16"/>
          <w:b w:val="1"/>
          <w:bCs w:val="1"/>
          <w:i w:val="1"/>
          <w:iCs w:val="1"/>
          <w:color w:val="auto"/>
        </w:rPr>
        <w:t xml:space="preserve">Nominal base salary increases. </w:t>
      </w:r>
      <w:r>
        <w:rPr>
          <w:rFonts w:ascii="Arial" w:cs="Arial" w:eastAsia="Arial" w:hAnsi="Arial"/>
          <w:sz w:val="16"/>
          <w:szCs w:val="16"/>
          <w:color w:val="auto"/>
        </w:rPr>
        <w:t>Nominal increases were provided to Mr. Berry, Ms. Lang, Mr. Pryor and Mr. Ross in 2025, as further described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below.</w:t>
      </w:r>
    </w:p>
    <w:p>
      <w:pPr>
        <w:spacing w:after="0" w:line="124" w:lineRule="exact"/>
        <w:rPr>
          <w:rFonts w:ascii="MS PGothic" w:cs="MS PGothic" w:eastAsia="MS PGothic" w:hAnsi="MS PGothic"/>
          <w:sz w:val="29"/>
          <w:szCs w:val="29"/>
          <w:color w:val="C8102E"/>
          <w:vertAlign w:val="superscript"/>
        </w:rPr>
      </w:pPr>
    </w:p>
    <w:p>
      <w:pPr>
        <w:jc w:val="both"/>
        <w:ind w:left="324" w:hanging="324"/>
        <w:spacing w:after="0" w:line="199" w:lineRule="auto"/>
        <w:tabs>
          <w:tab w:leader="none" w:pos="324" w:val="left"/>
        </w:tabs>
        <w:numPr>
          <w:ilvl w:val="0"/>
          <w:numId w:val="69"/>
        </w:numPr>
        <w:rPr>
          <w:rFonts w:ascii="MS PGothic" w:cs="MS PGothic" w:eastAsia="MS PGothic" w:hAnsi="MS PGothic"/>
          <w:sz w:val="29"/>
          <w:szCs w:val="29"/>
          <w:color w:val="C8102E"/>
          <w:vertAlign w:val="superscript"/>
        </w:rPr>
      </w:pPr>
      <w:r>
        <w:rPr>
          <w:rFonts w:ascii="Arial" w:cs="Arial" w:eastAsia="Arial" w:hAnsi="Arial"/>
          <w:sz w:val="16"/>
          <w:szCs w:val="16"/>
          <w:b w:val="1"/>
          <w:bCs w:val="1"/>
          <w:i w:val="1"/>
          <w:iCs w:val="1"/>
          <w:color w:val="auto"/>
        </w:rPr>
        <w:t xml:space="preserve">Continued focus on long-term performance. </w:t>
      </w:r>
      <w:r>
        <w:rPr>
          <w:rFonts w:ascii="Arial" w:cs="Arial" w:eastAsia="Arial" w:hAnsi="Arial"/>
          <w:sz w:val="16"/>
          <w:szCs w:val="16"/>
          <w:color w:val="auto"/>
        </w:rPr>
        <w:t>Each of our NEOs’ annual equity awards consisted of (i) 50% PRSUs that cliff vest in three years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based on relative TSR performance over a three-year performance period and require above-median TSR performance in order to pay out at target, and (ii) 50% RSUs that vest in equal installments over a three-year period following their grant date (with the exception of Ms. Lang, who received 25% PRSUs and 75% RSUs).</w:t>
      </w:r>
    </w:p>
    <w:p>
      <w:pPr>
        <w:spacing w:after="0" w:line="243" w:lineRule="exact"/>
        <w:rPr>
          <w:sz w:val="20"/>
          <w:szCs w:val="20"/>
          <w:color w:val="auto"/>
        </w:rPr>
      </w:pPr>
    </w:p>
    <w:p>
      <w:pPr>
        <w:ind w:left="4"/>
        <w:spacing w:after="0"/>
        <w:rPr>
          <w:sz w:val="20"/>
          <w:szCs w:val="20"/>
          <w:color w:val="auto"/>
        </w:rPr>
      </w:pPr>
      <w:r>
        <w:rPr>
          <w:rFonts w:ascii="Arial" w:cs="Arial" w:eastAsia="Arial" w:hAnsi="Arial"/>
          <w:sz w:val="23"/>
          <w:szCs w:val="23"/>
          <w:color w:val="auto"/>
        </w:rPr>
        <w:t> 2025 Say-On-Pay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-164465</wp:posOffset>
            </wp:positionV>
            <wp:extent cx="699516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23495</wp:posOffset>
            </wp:positionV>
            <wp:extent cx="69951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2" w:lineRule="exact"/>
        <w:rPr>
          <w:sz w:val="20"/>
          <w:szCs w:val="20"/>
          <w:color w:val="auto"/>
        </w:rPr>
      </w:pPr>
    </w:p>
    <w:p>
      <w:pPr>
        <w:jc w:val="both"/>
        <w:ind w:left="4"/>
        <w:spacing w:after="0" w:line="225" w:lineRule="auto"/>
        <w:rPr>
          <w:sz w:val="20"/>
          <w:szCs w:val="20"/>
          <w:color w:val="auto"/>
        </w:rPr>
      </w:pPr>
      <w:r>
        <w:rPr>
          <w:rFonts w:ascii="Arial" w:cs="Arial" w:eastAsia="Arial" w:hAnsi="Arial"/>
          <w:sz w:val="16"/>
          <w:szCs w:val="16"/>
          <w:color w:val="auto"/>
        </w:rPr>
        <w:t>At our 2025 Annual Meeting, approximately 98% of the stockholder votes cast on our advisory proposal to approve the compensation of our NEOs were voted in favor of our executive compensation proposal. Our CHCM Committee considered the outcome of this vote in the context of our prior and ongoing engagement with stockholders and accordingly did not make any additional changes to our executive compensation policies and program elements. Our CHCM Committee believes this affirms stockholders’ support of the Company’s approach to executive compensation. The CHCM Committee will continue to review and consider the outcome of future say-on-pay votes when making compensation decisions for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69951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0" w:lineRule="exact"/>
        <w:rPr>
          <w:sz w:val="20"/>
          <w:szCs w:val="20"/>
          <w:color w:val="auto"/>
        </w:rPr>
      </w:pPr>
    </w:p>
    <w:p>
      <w:pPr>
        <w:ind w:left="4"/>
        <w:spacing w:after="0"/>
        <w:rPr>
          <w:sz w:val="20"/>
          <w:szCs w:val="20"/>
          <w:color w:val="auto"/>
        </w:rPr>
      </w:pPr>
      <w:r>
        <w:rPr>
          <w:rFonts w:ascii="Arial" w:cs="Arial" w:eastAsia="Arial" w:hAnsi="Arial"/>
          <w:sz w:val="23"/>
          <w:szCs w:val="23"/>
          <w:color w:val="auto"/>
        </w:rPr>
        <w:t>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9951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2" w:lineRule="exact"/>
        <w:rPr>
          <w:sz w:val="20"/>
          <w:szCs w:val="20"/>
          <w:color w:val="auto"/>
        </w:rPr>
      </w:pPr>
    </w:p>
    <w:p>
      <w:pPr>
        <w:jc w:val="both"/>
        <w:ind w:left="4"/>
        <w:spacing w:after="0" w:line="251" w:lineRule="auto"/>
        <w:rPr>
          <w:sz w:val="20"/>
          <w:szCs w:val="20"/>
          <w:color w:val="auto"/>
        </w:rPr>
      </w:pPr>
      <w:r>
        <w:rPr>
          <w:rFonts w:ascii="Arial" w:cs="Arial" w:eastAsia="Arial" w:hAnsi="Arial"/>
          <w:sz w:val="16"/>
          <w:szCs w:val="16"/>
          <w:color w:val="auto"/>
        </w:rPr>
        <w:t>Our executive compensation program includes elements designed to align executive pay with Company objectives and long-term stockholder returns, including PRSU grants based on relative Total Shareholder Return.</w:t>
      </w:r>
    </w:p>
    <w:p>
      <w:pPr>
        <w:spacing w:after="0" w:line="101" w:lineRule="exact"/>
        <w:rPr>
          <w:sz w:val="20"/>
          <w:szCs w:val="20"/>
          <w:color w:val="auto"/>
        </w:rPr>
      </w:pPr>
    </w:p>
    <w:p>
      <w:pPr>
        <w:ind w:left="4"/>
        <w:spacing w:after="0"/>
        <w:rPr>
          <w:sz w:val="20"/>
          <w:szCs w:val="20"/>
          <w:color w:val="auto"/>
        </w:rPr>
      </w:pPr>
      <w:r>
        <w:rPr>
          <w:rFonts w:ascii="Arial" w:cs="Arial" w:eastAsia="Arial" w:hAnsi="Arial"/>
          <w:sz w:val="16"/>
          <w:szCs w:val="16"/>
          <w:color w:val="auto"/>
        </w:rPr>
        <w:t>For 2025, the CHCM Committee established the following target compensation program for our CEO:</w:t>
      </w:r>
    </w:p>
    <w:p>
      <w:pPr>
        <w:spacing w:after="0" w:line="39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2025 CEO Incentive Compensation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6995160" cy="25800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92% of CEO compensation “at risk” and aligned with Company and stockholder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69951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8" w:lineRule="exact"/>
        <w:rPr>
          <w:sz w:val="20"/>
          <w:szCs w:val="20"/>
          <w:color w:val="auto"/>
        </w:rPr>
      </w:pPr>
    </w:p>
    <w:p>
      <w:pPr>
        <w:ind w:left="4"/>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-118745</wp:posOffset>
            </wp:positionV>
            <wp:extent cx="762635" cy="3854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2635" cy="385445"/>
                    </a:xfrm>
                    <a:prstGeom prst="rect">
                      <a:avLst/>
                    </a:prstGeom>
                    <a:noFill/>
                  </pic:spPr>
                </pic:pic>
              </a:graphicData>
            </a:graphic>
          </wp:anchor>
        </w:drawing>
      </w:r>
    </w:p>
    <w:p>
      <w:pPr>
        <w:ind w:left="1584"/>
        <w:spacing w:after="0"/>
        <w:rPr>
          <w:sz w:val="20"/>
          <w:szCs w:val="20"/>
          <w:color w:val="auto"/>
        </w:rPr>
      </w:pPr>
      <w:r>
        <w:rPr>
          <w:rFonts w:ascii="Arial" w:cs="Arial" w:eastAsia="Arial" w:hAnsi="Arial"/>
          <w:sz w:val="18"/>
          <w:szCs w:val="18"/>
          <w:color w:val="auto"/>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699516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04"/>
          </w:cols>
          <w:pgMar w:left="436" w:top="729" w:right="459" w:bottom="1440" w:gutter="0" w:footer="0" w:header="0"/>
        </w:sectPr>
      </w:pPr>
    </w:p>
    <w:bookmarkStart w:id="34" w:name="page35"/>
    <w:bookmarkEnd w:id="34"/>
    <w:p>
      <w:pPr>
        <w:spacing w:after="0"/>
        <w:rPr>
          <w:sz w:val="20"/>
          <w:szCs w:val="20"/>
          <w:color w:val="auto"/>
        </w:rPr>
      </w:pPr>
      <w:r>
        <w:rPr>
          <w:rFonts w:ascii="Arial" w:cs="Arial" w:eastAsia="Arial" w:hAnsi="Arial"/>
          <w:sz w:val="16"/>
          <w:szCs w:val="16"/>
          <w:color w:val="auto"/>
        </w:rPr>
        <w:t>With respect to our other NEOs, for 2025, the CHCM Committee established the following target compensation program:</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2025 Incentive Compensation Structure for Other NEOs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120650</wp:posOffset>
            </wp:positionV>
            <wp:extent cx="6995160" cy="24688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 of compensation for other NEOs “at risk” and aligned with Company and stockholder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69951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6" w:lineRule="exact"/>
        <w:rPr>
          <w:sz w:val="20"/>
          <w:szCs w:val="20"/>
          <w:color w:val="auto"/>
        </w:rPr>
      </w:pPr>
    </w:p>
    <w:p>
      <w:pPr>
        <w:jc w:val="both"/>
        <w:spacing w:after="0"/>
        <w:rPr>
          <w:sz w:val="20"/>
          <w:szCs w:val="20"/>
          <w:color w:val="auto"/>
        </w:rPr>
      </w:pPr>
      <w:r>
        <w:rPr>
          <w:rFonts w:ascii="Arial" w:cs="Arial" w:eastAsia="Arial" w:hAnsi="Arial"/>
          <w:sz w:val="16"/>
          <w:szCs w:val="16"/>
          <w:color w:val="auto"/>
        </w:rPr>
        <w:t>Our 2025 executive compensation structure consists of three core compensation elements: base salary, annual cash bonus, and long-term incentives. The CHCM Committee reviewed each element individually while also considering the total compensation package provided to create an appropriate mix designed to attract, incentivize, and retain our executives. The following table summarizes the core elements of our 2025 executive compensation program:</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C8102E"/>
              </w:rPr>
              <w:t>  Element of Compensation</w:t>
            </w:r>
          </w:p>
        </w:tc>
        <w:tc>
          <w:tcPr>
            <w:tcW w:w="602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C8102E"/>
              </w:rPr>
              <w:t>Purpose/Description</w:t>
            </w:r>
          </w:p>
        </w:tc>
        <w:tc>
          <w:tcPr>
            <w:tcW w:w="248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C8102E"/>
              </w:rPr>
              <w:t>Form/Timing of Payout</w:t>
            </w:r>
          </w:p>
        </w:tc>
      </w:tr>
      <w:tr>
        <w:trPr>
          <w:trHeight w:val="129"/>
        </w:trPr>
        <w:tc>
          <w:tcPr>
            <w:tcW w:w="2520" w:type="dxa"/>
            <w:vAlign w:val="bottom"/>
          </w:tcPr>
          <w:p>
            <w:pPr>
              <w:spacing w:after="0" w:line="129" w:lineRule="exact"/>
              <w:rPr>
                <w:sz w:val="20"/>
                <w:szCs w:val="20"/>
                <w:color w:val="auto"/>
              </w:rPr>
            </w:pPr>
            <w:r>
              <w:rPr>
                <w:rFonts w:ascii="Arial" w:cs="Arial" w:eastAsia="Arial" w:hAnsi="Arial"/>
                <w:sz w:val="14"/>
                <w:szCs w:val="14"/>
                <w:b w:val="1"/>
                <w:bCs w:val="1"/>
                <w:color w:val="auto"/>
              </w:rPr>
              <w:t>  Base Salary</w:t>
            </w:r>
          </w:p>
        </w:tc>
        <w:tc>
          <w:tcPr>
            <w:tcW w:w="6020" w:type="dxa"/>
            <w:vAlign w:val="bottom"/>
          </w:tcPr>
          <w:p>
            <w:pPr>
              <w:ind w:left="460"/>
              <w:spacing w:after="0" w:line="129" w:lineRule="exact"/>
              <w:rPr>
                <w:sz w:val="20"/>
                <w:szCs w:val="20"/>
                <w:color w:val="auto"/>
              </w:rPr>
            </w:pPr>
            <w:r>
              <w:rPr>
                <w:rFonts w:ascii="Arial" w:cs="Arial" w:eastAsia="Arial" w:hAnsi="Arial"/>
                <w:sz w:val="14"/>
                <w:szCs w:val="14"/>
                <w:color w:val="auto"/>
              </w:rPr>
              <w:t>Fixed compensation set at a competitive level to attract and retain our</w:t>
            </w:r>
          </w:p>
        </w:tc>
        <w:tc>
          <w:tcPr>
            <w:tcW w:w="2480" w:type="dxa"/>
            <w:vAlign w:val="bottom"/>
          </w:tcPr>
          <w:p>
            <w:pPr>
              <w:ind w:left="160"/>
              <w:spacing w:after="0" w:line="129" w:lineRule="exact"/>
              <w:rPr>
                <w:sz w:val="20"/>
                <w:szCs w:val="20"/>
                <w:color w:val="auto"/>
              </w:rPr>
            </w:pPr>
            <w:r>
              <w:rPr>
                <w:rFonts w:ascii="Arial" w:cs="Arial" w:eastAsia="Arial" w:hAnsi="Arial"/>
                <w:sz w:val="14"/>
                <w:szCs w:val="14"/>
                <w:color w:val="auto"/>
              </w:rPr>
              <w:t>Paid in cash throughout the</w:t>
            </w:r>
          </w:p>
        </w:tc>
      </w:tr>
      <w:tr>
        <w:trPr>
          <w:trHeight w:val="162"/>
        </w:trPr>
        <w:tc>
          <w:tcPr>
            <w:tcW w:w="2520" w:type="dxa"/>
            <w:vAlign w:val="bottom"/>
          </w:tcPr>
          <w:p>
            <w:pPr>
              <w:spacing w:after="0"/>
              <w:rPr>
                <w:sz w:val="14"/>
                <w:szCs w:val="14"/>
                <w:color w:val="auto"/>
              </w:rPr>
            </w:pPr>
          </w:p>
        </w:tc>
        <w:tc>
          <w:tcPr>
            <w:tcW w:w="6020" w:type="dxa"/>
            <w:vAlign w:val="bottom"/>
          </w:tcPr>
          <w:p>
            <w:pPr>
              <w:ind w:left="460"/>
              <w:spacing w:after="0" w:line="162" w:lineRule="exact"/>
              <w:rPr>
                <w:sz w:val="20"/>
                <w:szCs w:val="20"/>
                <w:color w:val="auto"/>
              </w:rPr>
            </w:pPr>
            <w:r>
              <w:rPr>
                <w:rFonts w:ascii="Arial" w:cs="Arial" w:eastAsia="Arial" w:hAnsi="Arial"/>
                <w:sz w:val="16"/>
                <w:szCs w:val="16"/>
                <w:color w:val="auto"/>
              </w:rPr>
              <w:t>executive talent. Provides a base level of compensation that is not at risk to</w:t>
            </w:r>
          </w:p>
        </w:tc>
        <w:tc>
          <w:tcPr>
            <w:tcW w:w="2480" w:type="dxa"/>
            <w:vAlign w:val="bottom"/>
          </w:tcPr>
          <w:p>
            <w:pPr>
              <w:ind w:left="160"/>
              <w:spacing w:after="0" w:line="162" w:lineRule="exact"/>
              <w:rPr>
                <w:sz w:val="20"/>
                <w:szCs w:val="20"/>
                <w:color w:val="auto"/>
              </w:rPr>
            </w:pPr>
            <w:r>
              <w:rPr>
                <w:rFonts w:ascii="Arial" w:cs="Arial" w:eastAsia="Arial" w:hAnsi="Arial"/>
                <w:sz w:val="16"/>
                <w:szCs w:val="16"/>
                <w:color w:val="auto"/>
              </w:rPr>
              <w:t>year.</w:t>
            </w:r>
          </w:p>
        </w:tc>
      </w:tr>
      <w:tr>
        <w:trPr>
          <w:trHeight w:val="162"/>
        </w:trPr>
        <w:tc>
          <w:tcPr>
            <w:tcW w:w="2520" w:type="dxa"/>
            <w:vAlign w:val="bottom"/>
          </w:tcPr>
          <w:p>
            <w:pPr>
              <w:spacing w:after="0"/>
              <w:rPr>
                <w:sz w:val="14"/>
                <w:szCs w:val="14"/>
                <w:color w:val="auto"/>
              </w:rPr>
            </w:pPr>
          </w:p>
        </w:tc>
        <w:tc>
          <w:tcPr>
            <w:tcW w:w="6020" w:type="dxa"/>
            <w:vAlign w:val="bottom"/>
          </w:tcPr>
          <w:p>
            <w:pPr>
              <w:ind w:left="460"/>
              <w:spacing w:after="0" w:line="162" w:lineRule="exact"/>
              <w:rPr>
                <w:sz w:val="20"/>
                <w:szCs w:val="20"/>
                <w:color w:val="auto"/>
              </w:rPr>
            </w:pPr>
            <w:r>
              <w:rPr>
                <w:rFonts w:ascii="Arial" w:cs="Arial" w:eastAsia="Arial" w:hAnsi="Arial"/>
                <w:sz w:val="16"/>
                <w:szCs w:val="16"/>
                <w:color w:val="auto"/>
              </w:rPr>
              <w:t>avoid fluctuations in compensation that could distract executives from the</w:t>
            </w:r>
          </w:p>
        </w:tc>
        <w:tc>
          <w:tcPr>
            <w:tcW w:w="2480" w:type="dxa"/>
            <w:vAlign w:val="bottom"/>
          </w:tcPr>
          <w:p>
            <w:pPr>
              <w:spacing w:after="0"/>
              <w:rPr>
                <w:sz w:val="14"/>
                <w:szCs w:val="14"/>
                <w:color w:val="auto"/>
              </w:rPr>
            </w:pPr>
          </w:p>
        </w:tc>
      </w:tr>
      <w:tr>
        <w:trPr>
          <w:trHeight w:val="215"/>
        </w:trPr>
        <w:tc>
          <w:tcPr>
            <w:tcW w:w="2520" w:type="dxa"/>
            <w:vAlign w:val="bottom"/>
          </w:tcPr>
          <w:p>
            <w:pPr>
              <w:spacing w:after="0"/>
              <w:rPr>
                <w:sz w:val="18"/>
                <w:szCs w:val="18"/>
                <w:color w:val="auto"/>
              </w:rPr>
            </w:pPr>
          </w:p>
        </w:tc>
        <w:tc>
          <w:tcPr>
            <w:tcW w:w="6020" w:type="dxa"/>
            <w:vAlign w:val="bottom"/>
          </w:tcPr>
          <w:p>
            <w:pPr>
              <w:ind w:left="460"/>
              <w:spacing w:after="0"/>
              <w:rPr>
                <w:sz w:val="20"/>
                <w:szCs w:val="20"/>
                <w:color w:val="auto"/>
              </w:rPr>
            </w:pPr>
            <w:r>
              <w:rPr>
                <w:rFonts w:ascii="Arial" w:cs="Arial" w:eastAsia="Arial" w:hAnsi="Arial"/>
                <w:sz w:val="16"/>
                <w:szCs w:val="16"/>
                <w:color w:val="auto"/>
              </w:rPr>
              <w:t>performance of their responsibilities.</w:t>
            </w:r>
          </w:p>
        </w:tc>
        <w:tc>
          <w:tcPr>
            <w:tcW w:w="24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-435610</wp:posOffset>
            </wp:positionV>
            <wp:extent cx="6995160" cy="4629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5160" cy="462915"/>
                    </a:xfrm>
                    <a:prstGeom prst="rect">
                      <a:avLst/>
                    </a:prstGeom>
                    <a:noFill/>
                  </pic:spPr>
                </pic:pic>
              </a:graphicData>
            </a:graphic>
          </wp:anchor>
        </w:drawing>
      </w:r>
    </w:p>
    <w:p>
      <w:pPr>
        <w:sectPr>
          <w:pgSz w:w="11900" w:h="16838" w:orient="portrait"/>
          <w:cols w:equalWidth="0" w:num="1">
            <w:col w:w="11020"/>
          </w:cols>
          <w:pgMar w:left="440" w:top="679" w:right="439" w:bottom="1440" w:gutter="0" w:footer="0" w:header="0"/>
        </w:sectPr>
      </w:pPr>
    </w:p>
    <w:p>
      <w:pPr>
        <w:spacing w:after="0" w:line="8" w:lineRule="exact"/>
        <w:rPr>
          <w:sz w:val="20"/>
          <w:szCs w:val="20"/>
          <w:color w:val="auto"/>
        </w:rPr>
      </w:pPr>
    </w:p>
    <w:p>
      <w:pPr>
        <w:spacing w:after="0"/>
        <w:tabs>
          <w:tab w:leader="none" w:pos="2960" w:val="left"/>
        </w:tabs>
        <w:rPr>
          <w:sz w:val="20"/>
          <w:szCs w:val="20"/>
          <w:color w:val="auto"/>
        </w:rPr>
      </w:pPr>
      <w:r>
        <w:rPr>
          <w:rFonts w:ascii="Arial" w:cs="Arial" w:eastAsia="Arial" w:hAnsi="Arial"/>
          <w:sz w:val="16"/>
          <w:szCs w:val="16"/>
          <w:b w:val="1"/>
          <w:bCs w:val="1"/>
          <w:color w:val="auto"/>
        </w:rPr>
        <w:t>  Annual Incentive Plan</w:t>
      </w:r>
      <w:r>
        <w:rPr>
          <w:sz w:val="20"/>
          <w:szCs w:val="20"/>
          <w:color w:val="auto"/>
        </w:rPr>
        <w:tab/>
      </w:r>
      <w:r>
        <w:rPr>
          <w:rFonts w:ascii="Arial" w:cs="Arial" w:eastAsia="Arial" w:hAnsi="Arial"/>
          <w:sz w:val="16"/>
          <w:szCs w:val="16"/>
          <w:color w:val="auto"/>
        </w:rPr>
        <w:t>Variable compensation that rewards our executive officers for achievement</w:t>
      </w:r>
    </w:p>
    <w:p>
      <w:pPr>
        <w:ind w:left="2980" w:right="80"/>
        <w:spacing w:after="0" w:line="227" w:lineRule="auto"/>
        <w:rPr>
          <w:sz w:val="20"/>
          <w:szCs w:val="20"/>
          <w:color w:val="auto"/>
        </w:rPr>
      </w:pPr>
      <w:r>
        <w:rPr>
          <w:rFonts w:ascii="Arial" w:cs="Arial" w:eastAsia="Arial" w:hAnsi="Arial"/>
          <w:sz w:val="16"/>
          <w:szCs w:val="16"/>
          <w:color w:val="auto"/>
        </w:rPr>
        <w:t>of critical annual operational and financial performance goals by the Company and, if applicable, respective business units, and recognizes the executive’s individual performance during the year.</w:t>
      </w:r>
    </w:p>
    <w:p>
      <w:pPr>
        <w:spacing w:after="0" w:line="9" w:lineRule="exact"/>
        <w:rPr>
          <w:sz w:val="20"/>
          <w:szCs w:val="20"/>
          <w:color w:val="auto"/>
        </w:rPr>
      </w:pPr>
    </w:p>
    <w:p>
      <w:pPr>
        <w:spacing w:after="0"/>
        <w:tabs>
          <w:tab w:leader="none" w:pos="2960" w:val="left"/>
        </w:tabs>
        <w:rPr>
          <w:sz w:val="20"/>
          <w:szCs w:val="20"/>
          <w:color w:val="auto"/>
        </w:rPr>
      </w:pPr>
      <w:r>
        <w:rPr>
          <w:rFonts w:ascii="Arial" w:cs="Arial" w:eastAsia="Arial" w:hAnsi="Arial"/>
          <w:sz w:val="16"/>
          <w:szCs w:val="16"/>
          <w:b w:val="1"/>
          <w:bCs w:val="1"/>
          <w:color w:val="auto"/>
        </w:rPr>
        <w:t>  Long-Term Incentive Plan</w:t>
      </w:r>
      <w:r>
        <w:rPr>
          <w:sz w:val="20"/>
          <w:szCs w:val="20"/>
          <w:color w:val="auto"/>
        </w:rPr>
        <w:tab/>
      </w:r>
      <w:r>
        <w:rPr>
          <w:rFonts w:ascii="Arial" w:cs="Arial" w:eastAsia="Arial" w:hAnsi="Arial"/>
          <w:sz w:val="16"/>
          <w:szCs w:val="16"/>
          <w:color w:val="auto"/>
        </w:rPr>
        <w:t>Variable compensation that aligns the rewards of executives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-94615</wp:posOffset>
            </wp:positionV>
            <wp:extent cx="6995160" cy="5143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514350"/>
                    </a:xfrm>
                    <a:prstGeom prst="rect">
                      <a:avLst/>
                    </a:prstGeom>
                    <a:noFill/>
                  </pic:spPr>
                </pic:pic>
              </a:graphicData>
            </a:graphic>
          </wp:anchor>
        </w:drawing>
      </w:r>
    </w:p>
    <w:p>
      <w:pPr>
        <w:ind w:left="2980"/>
        <w:spacing w:after="0" w:line="223" w:lineRule="auto"/>
        <w:rPr>
          <w:sz w:val="20"/>
          <w:szCs w:val="20"/>
          <w:color w:val="auto"/>
        </w:rPr>
      </w:pPr>
      <w:r>
        <w:rPr>
          <w:rFonts w:ascii="Arial" w:cs="Arial" w:eastAsia="Arial" w:hAnsi="Arial"/>
          <w:sz w:val="16"/>
          <w:szCs w:val="16"/>
          <w:color w:val="auto"/>
        </w:rPr>
        <w:t>interests of stockholders to encourage actions and long-term prioritization that we believe will increase stockholder value by generating sustained and superior operational and financial performance over an extended period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951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20"/>
        <w:spacing w:after="0" w:line="228" w:lineRule="auto"/>
        <w:rPr>
          <w:sz w:val="20"/>
          <w:szCs w:val="20"/>
          <w:color w:val="auto"/>
        </w:rPr>
      </w:pPr>
      <w:r>
        <w:rPr>
          <w:rFonts w:ascii="Arial" w:cs="Arial" w:eastAsia="Arial" w:hAnsi="Arial"/>
          <w:sz w:val="16"/>
          <w:szCs w:val="16"/>
          <w:color w:val="auto"/>
        </w:rPr>
        <w:t>Paid in cash after the year has ended and performance has been measured. See page 32 for further detail.</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See page 34 for further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1228090</wp:posOffset>
            </wp:positionH>
            <wp:positionV relativeFrom="paragraph">
              <wp:posOffset>535305</wp:posOffset>
            </wp:positionV>
            <wp:extent cx="17145" cy="3175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7145" cy="317500"/>
                    </a:xfrm>
                    <a:prstGeom prst="rect">
                      <a:avLst/>
                    </a:prstGeom>
                    <a:noFill/>
                  </pic:spPr>
                </pic:pic>
              </a:graphicData>
            </a:graphic>
          </wp:anchor>
        </w:drawing>
      </w:r>
    </w:p>
    <w:p>
      <w:pPr>
        <w:spacing w:after="0" w:line="842" w:lineRule="exact"/>
        <w:rPr>
          <w:sz w:val="20"/>
          <w:szCs w:val="20"/>
          <w:color w:val="auto"/>
        </w:rPr>
      </w:pPr>
    </w:p>
    <w:p>
      <w:pPr>
        <w:sectPr>
          <w:pgSz w:w="11900" w:h="16838" w:orient="portrait"/>
          <w:cols w:equalWidth="0" w:num="2">
            <w:col w:w="8380" w:space="320"/>
            <w:col w:w="2320"/>
          </w:cols>
          <w:pgMar w:left="440" w:top="679" w:right="439" w:bottom="1440" w:gutter="0" w:footer="0" w:header="0"/>
          <w:type w:val="continuous"/>
        </w:sectPr>
      </w:pPr>
    </w:p>
    <w:p>
      <w:pPr>
        <w:ind w:left="7520"/>
        <w:spacing w:after="0"/>
        <w:tabs>
          <w:tab w:leader="none" w:pos="10800" w:val="left"/>
        </w:tabs>
        <w:rPr>
          <w:sz w:val="20"/>
          <w:szCs w:val="20"/>
          <w:color w:val="auto"/>
        </w:rPr>
      </w:pPr>
      <w:r>
        <w:rPr>
          <w:sz w:val="1"/>
          <w:szCs w:val="1"/>
          <w:color w:val="auto"/>
        </w:rPr>
        <w:drawing>
          <wp:inline distT="0" distB="0" distL="0" distR="0">
            <wp:extent cx="685800" cy="16256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0" cy="162560"/>
                    </a:xfrm>
                    <a:prstGeom prst="rect">
                      <a:avLst/>
                    </a:prstGeom>
                    <a:noFill/>
                    <a:ln>
                      <a:noFill/>
                    </a:ln>
                  </pic:spPr>
                </pic:pic>
              </a:graphicData>
            </a:graphic>
          </wp:inline>
        </w:drawing>
      </w:r>
      <w:r>
        <w:rPr>
          <w:rFonts w:ascii="Arial" w:cs="Arial" w:eastAsia="Arial" w:hAnsi="Arial"/>
          <w:sz w:val="18"/>
          <w:szCs w:val="18"/>
          <w:color w:val="auto"/>
        </w:rPr>
        <w:t xml:space="preserve"> - 2026 Proxy Statement</w:t>
      </w:r>
      <w:r>
        <w:rPr>
          <w:sz w:val="20"/>
          <w:szCs w:val="20"/>
          <w:color w:val="auto"/>
        </w:rPr>
        <w:tab/>
      </w: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699516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679" w:right="4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Leading Compensation Practices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The framework of our executive compensation program includes the governance features and other specific elements discussed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tcPr>
          <w:p>
            <w:pPr>
              <w:spacing w:after="0"/>
              <w:rPr>
                <w:sz w:val="20"/>
                <w:szCs w:val="20"/>
                <w:color w:val="auto"/>
              </w:rPr>
            </w:pPr>
            <w:r>
              <w:rPr>
                <w:rFonts w:ascii="Arial" w:cs="Arial" w:eastAsia="Arial" w:hAnsi="Arial"/>
                <w:sz w:val="14"/>
                <w:szCs w:val="14"/>
                <w:b w:val="1"/>
                <w:bCs w:val="1"/>
                <w:color w:val="C8102E"/>
              </w:rPr>
              <w:t>What we do</w:t>
            </w:r>
          </w:p>
        </w:tc>
        <w:tc>
          <w:tcPr>
            <w:tcW w:w="5660" w:type="dxa"/>
            <w:vAlign w:val="bottom"/>
            <w:gridSpan w:val="3"/>
          </w:tcPr>
          <w:p>
            <w:pPr>
              <w:ind w:left="12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b w:val="1"/>
                <w:bCs w:val="1"/>
                <w:color w:val="C8102E"/>
              </w:rPr>
              <w:t>What we don’t do</w:t>
            </w:r>
          </w:p>
        </w:tc>
      </w:tr>
      <w:tr>
        <w:trPr>
          <w:trHeight w:val="128"/>
        </w:trPr>
        <w:tc>
          <w:tcPr>
            <w:tcW w:w="5360" w:type="dxa"/>
            <w:vAlign w:val="bottom"/>
            <w:tcBorders>
              <w:top w:val="single" w:sz="8" w:color="auto"/>
            </w:tcBorders>
          </w:tcPr>
          <w:p>
            <w:pPr>
              <w:ind w:left="80"/>
              <w:spacing w:after="0" w:line="129" w:lineRule="exact"/>
              <w:rPr>
                <w:sz w:val="20"/>
                <w:szCs w:val="20"/>
                <w:color w:val="auto"/>
              </w:rPr>
            </w:pPr>
            <w:r>
              <w:rPr>
                <w:rFonts w:ascii="Wingdings" w:cs="Wingdings" w:eastAsia="Wingdings" w:hAnsi="Wingdings"/>
                <w:sz w:val="14"/>
                <w:szCs w:val="14"/>
                <w:b w:val="1"/>
                <w:bCs w:val="1"/>
                <w:color w:val="auto"/>
                <w:shd w:val="clear" w:color="auto" w:fill="C8102E"/>
              </w:rPr>
              <w:t xml:space="preserve">ü  </w:t>
            </w:r>
            <w:r>
              <w:rPr>
                <w:rFonts w:ascii="Arial" w:cs="Arial" w:eastAsia="Arial" w:hAnsi="Arial"/>
                <w:sz w:val="14"/>
                <w:szCs w:val="14"/>
                <w:b w:val="1"/>
                <w:bCs w:val="1"/>
                <w:color w:val="auto"/>
              </w:rPr>
              <w:t>Pay for performance focus</w:t>
            </w:r>
            <w:r>
              <w:rPr>
                <w:rFonts w:ascii="Wingdings" w:cs="Wingdings" w:eastAsia="Wingdings" w:hAnsi="Wingdings"/>
                <w:sz w:val="14"/>
                <w:szCs w:val="14"/>
                <w:b w:val="1"/>
                <w:bCs w:val="1"/>
                <w:color w:val="auto"/>
                <w:shd w:val="clear" w:color="auto" w:fill="C8102E"/>
              </w:rPr>
              <w:t xml:space="preserve"> </w:t>
            </w:r>
            <w:r>
              <w:rPr>
                <w:rFonts w:ascii="Arial" w:cs="Arial" w:eastAsia="Arial" w:hAnsi="Arial"/>
                <w:sz w:val="14"/>
                <w:szCs w:val="14"/>
                <w:color w:val="auto"/>
              </w:rPr>
              <w:t>– Our AIP compensation is linked to</w:t>
            </w:r>
          </w:p>
        </w:tc>
        <w:tc>
          <w:tcPr>
            <w:tcW w:w="260" w:type="dxa"/>
            <w:vAlign w:val="bottom"/>
          </w:tcPr>
          <w:p>
            <w:pPr>
              <w:spacing w:after="0"/>
              <w:rPr>
                <w:sz w:val="11"/>
                <w:szCs w:val="11"/>
                <w:color w:val="auto"/>
              </w:rPr>
            </w:pPr>
          </w:p>
        </w:tc>
        <w:tc>
          <w:tcPr>
            <w:tcW w:w="380" w:type="dxa"/>
            <w:vAlign w:val="bottom"/>
            <w:tcBorders>
              <w:top w:val="single" w:sz="8" w:color="auto"/>
            </w:tcBorders>
          </w:tcPr>
          <w:p>
            <w:pPr>
              <w:jc w:val="right"/>
              <w:ind w:right="89"/>
              <w:spacing w:after="0" w:line="129" w:lineRule="exact"/>
              <w:rPr>
                <w:sz w:val="20"/>
                <w:szCs w:val="20"/>
                <w:color w:val="auto"/>
              </w:rPr>
            </w:pPr>
            <w:r>
              <w:rPr>
                <w:rFonts w:ascii="Times New Roman" w:cs="Times New Roman" w:eastAsia="Times New Roman" w:hAnsi="Times New Roman"/>
                <w:sz w:val="14"/>
                <w:szCs w:val="14"/>
                <w:i w:val="1"/>
                <w:iCs w:val="1"/>
                <w:color w:val="C8102E"/>
              </w:rPr>
              <w:t>×</w:t>
            </w:r>
          </w:p>
        </w:tc>
        <w:tc>
          <w:tcPr>
            <w:tcW w:w="5020" w:type="dxa"/>
            <w:vAlign w:val="bottom"/>
            <w:tcBorders>
              <w:top w:val="single" w:sz="8" w:color="auto"/>
            </w:tcBorders>
          </w:tcPr>
          <w:p>
            <w:pPr>
              <w:ind w:left="160"/>
              <w:spacing w:after="0" w:line="129" w:lineRule="exact"/>
              <w:rPr>
                <w:sz w:val="20"/>
                <w:szCs w:val="20"/>
                <w:color w:val="auto"/>
              </w:rPr>
            </w:pPr>
            <w:r>
              <w:rPr>
                <w:rFonts w:ascii="Arial" w:cs="Arial" w:eastAsia="Arial" w:hAnsi="Arial"/>
                <w:sz w:val="14"/>
                <w:szCs w:val="14"/>
                <w:b w:val="1"/>
                <w:bCs w:val="1"/>
                <w:color w:val="auto"/>
              </w:rPr>
              <w:t xml:space="preserve">No gross-up payments to cover excise taxes or perquisites </w:t>
            </w:r>
            <w:r>
              <w:rPr>
                <w:rFonts w:ascii="Arial" w:cs="Arial" w:eastAsia="Arial" w:hAnsi="Arial"/>
                <w:sz w:val="14"/>
                <w:szCs w:val="14"/>
                <w:color w:val="auto"/>
              </w:rPr>
              <w:t>–</w:t>
            </w:r>
          </w:p>
        </w:tc>
      </w:tr>
      <w:tr>
        <w:trPr>
          <w:trHeight w:val="162"/>
        </w:trPr>
        <w:tc>
          <w:tcPr>
            <w:tcW w:w="5360" w:type="dxa"/>
            <w:vAlign w:val="bottom"/>
          </w:tcPr>
          <w:p>
            <w:pPr>
              <w:ind w:left="420"/>
              <w:spacing w:after="0" w:line="162" w:lineRule="exact"/>
              <w:rPr>
                <w:sz w:val="20"/>
                <w:szCs w:val="20"/>
                <w:color w:val="auto"/>
              </w:rPr>
            </w:pPr>
            <w:r>
              <w:rPr>
                <w:rFonts w:ascii="Arial" w:cs="Arial" w:eastAsia="Arial" w:hAnsi="Arial"/>
                <w:sz w:val="16"/>
                <w:szCs w:val="16"/>
                <w:color w:val="auto"/>
              </w:rPr>
              <w:t>pre-established financial and operational goals that are intended to</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20" w:type="dxa"/>
            <w:vAlign w:val="bottom"/>
          </w:tcPr>
          <w:p>
            <w:pPr>
              <w:ind w:left="160"/>
              <w:spacing w:after="0" w:line="162" w:lineRule="exact"/>
              <w:rPr>
                <w:sz w:val="20"/>
                <w:szCs w:val="20"/>
                <w:color w:val="auto"/>
              </w:rPr>
            </w:pPr>
            <w:r>
              <w:rPr>
                <w:rFonts w:ascii="Arial" w:cs="Arial" w:eastAsia="Arial" w:hAnsi="Arial"/>
                <w:sz w:val="16"/>
                <w:szCs w:val="16"/>
                <w:color w:val="auto"/>
              </w:rPr>
              <w:t>We do not provide tax gross-ups to our executives in connection</w:t>
            </w:r>
          </w:p>
        </w:tc>
      </w:tr>
      <w:tr>
        <w:trPr>
          <w:trHeight w:val="162"/>
        </w:trPr>
        <w:tc>
          <w:tcPr>
            <w:tcW w:w="5360" w:type="dxa"/>
            <w:vAlign w:val="bottom"/>
          </w:tcPr>
          <w:p>
            <w:pPr>
              <w:ind w:left="420"/>
              <w:spacing w:after="0" w:line="162" w:lineRule="exact"/>
              <w:rPr>
                <w:sz w:val="20"/>
                <w:szCs w:val="20"/>
                <w:color w:val="auto"/>
              </w:rPr>
            </w:pPr>
            <w:r>
              <w:rPr>
                <w:rFonts w:ascii="Arial" w:cs="Arial" w:eastAsia="Arial" w:hAnsi="Arial"/>
                <w:sz w:val="16"/>
                <w:szCs w:val="16"/>
                <w:color w:val="auto"/>
              </w:rPr>
              <w:t>drive performance over the annual performance plan period.</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20" w:type="dxa"/>
            <w:vAlign w:val="bottom"/>
          </w:tcPr>
          <w:p>
            <w:pPr>
              <w:ind w:left="160"/>
              <w:spacing w:after="0" w:line="162" w:lineRule="exact"/>
              <w:rPr>
                <w:sz w:val="20"/>
                <w:szCs w:val="20"/>
                <w:color w:val="auto"/>
              </w:rPr>
            </w:pPr>
            <w:r>
              <w:rPr>
                <w:rFonts w:ascii="Arial" w:cs="Arial" w:eastAsia="Arial" w:hAnsi="Arial"/>
                <w:sz w:val="16"/>
                <w:szCs w:val="16"/>
                <w:color w:val="auto"/>
              </w:rPr>
              <w:t>with severance benefits or executive perquisites other than</w:t>
            </w:r>
          </w:p>
        </w:tc>
      </w:tr>
      <w:tr>
        <w:trPr>
          <w:trHeight w:val="162"/>
        </w:trPr>
        <w:tc>
          <w:tcPr>
            <w:tcW w:w="5360" w:type="dxa"/>
            <w:vAlign w:val="bottom"/>
          </w:tcPr>
          <w:p>
            <w:pPr>
              <w:ind w:left="420"/>
              <w:spacing w:after="0" w:line="162" w:lineRule="exact"/>
              <w:rPr>
                <w:sz w:val="20"/>
                <w:szCs w:val="20"/>
                <w:color w:val="auto"/>
              </w:rPr>
            </w:pPr>
            <w:r>
              <w:rPr>
                <w:rFonts w:ascii="Arial" w:cs="Arial" w:eastAsia="Arial" w:hAnsi="Arial"/>
                <w:sz w:val="16"/>
                <w:szCs w:val="16"/>
                <w:color w:val="auto"/>
              </w:rPr>
              <w:t>Options, RSUs and PRSUs are linked to longer-term performance,</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20" w:type="dxa"/>
            <w:vAlign w:val="bottom"/>
          </w:tcPr>
          <w:p>
            <w:pPr>
              <w:ind w:left="160"/>
              <w:spacing w:after="0" w:line="162" w:lineRule="exact"/>
              <w:rPr>
                <w:sz w:val="20"/>
                <w:szCs w:val="20"/>
                <w:color w:val="auto"/>
              </w:rPr>
            </w:pPr>
            <w:r>
              <w:rPr>
                <w:rFonts w:ascii="Arial" w:cs="Arial" w:eastAsia="Arial" w:hAnsi="Arial"/>
                <w:sz w:val="16"/>
                <w:szCs w:val="16"/>
                <w:color w:val="auto"/>
              </w:rPr>
              <w:t>relocation.</w:t>
            </w:r>
          </w:p>
        </w:tc>
      </w:tr>
      <w:tr>
        <w:trPr>
          <w:trHeight w:val="162"/>
        </w:trPr>
        <w:tc>
          <w:tcPr>
            <w:tcW w:w="5360" w:type="dxa"/>
            <w:vAlign w:val="bottom"/>
          </w:tcPr>
          <w:p>
            <w:pPr>
              <w:ind w:left="420"/>
              <w:spacing w:after="0" w:line="162" w:lineRule="exact"/>
              <w:rPr>
                <w:sz w:val="20"/>
                <w:szCs w:val="20"/>
                <w:color w:val="auto"/>
              </w:rPr>
            </w:pPr>
            <w:r>
              <w:rPr>
                <w:rFonts w:ascii="Arial" w:cs="Arial" w:eastAsia="Arial" w:hAnsi="Arial"/>
                <w:sz w:val="16"/>
                <w:szCs w:val="16"/>
                <w:color w:val="auto"/>
              </w:rPr>
              <w:t>our stock price, and, for PRSUs, relative TSR performance, which</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20" w:type="dxa"/>
            <w:vAlign w:val="bottom"/>
          </w:tcPr>
          <w:p>
            <w:pPr>
              <w:spacing w:after="0"/>
              <w:rPr>
                <w:sz w:val="14"/>
                <w:szCs w:val="14"/>
                <w:color w:val="auto"/>
              </w:rPr>
            </w:pPr>
          </w:p>
        </w:tc>
      </w:tr>
      <w:tr>
        <w:trPr>
          <w:trHeight w:val="162"/>
        </w:trPr>
        <w:tc>
          <w:tcPr>
            <w:tcW w:w="5360" w:type="dxa"/>
            <w:vAlign w:val="bottom"/>
          </w:tcPr>
          <w:p>
            <w:pPr>
              <w:ind w:left="420"/>
              <w:spacing w:after="0" w:line="162" w:lineRule="exact"/>
              <w:rPr>
                <w:sz w:val="20"/>
                <w:szCs w:val="20"/>
                <w:color w:val="auto"/>
              </w:rPr>
            </w:pPr>
            <w:r>
              <w:rPr>
                <w:rFonts w:ascii="Arial" w:cs="Arial" w:eastAsia="Arial" w:hAnsi="Arial"/>
                <w:sz w:val="16"/>
                <w:szCs w:val="16"/>
                <w:color w:val="auto"/>
              </w:rPr>
              <w:t>we believe incentivizes long-term Company success and stockholder</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20" w:type="dxa"/>
            <w:vAlign w:val="bottom"/>
          </w:tcPr>
          <w:p>
            <w:pPr>
              <w:spacing w:after="0"/>
              <w:rPr>
                <w:sz w:val="14"/>
                <w:szCs w:val="14"/>
                <w:color w:val="auto"/>
              </w:rPr>
            </w:pPr>
          </w:p>
        </w:tc>
      </w:tr>
      <w:tr>
        <w:trPr>
          <w:trHeight w:val="189"/>
        </w:trPr>
        <w:tc>
          <w:tcPr>
            <w:tcW w:w="536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value creation.</w:t>
            </w:r>
          </w:p>
        </w:tc>
        <w:tc>
          <w:tcPr>
            <w:tcW w:w="2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5020" w:type="dxa"/>
            <w:vAlign w:val="bottom"/>
            <w:tcBorders>
              <w:bottom w:val="single" w:sz="8" w:color="auto"/>
            </w:tcBorders>
          </w:tcPr>
          <w:p>
            <w:pPr>
              <w:spacing w:after="0"/>
              <w:rPr>
                <w:sz w:val="16"/>
                <w:szCs w:val="16"/>
                <w:color w:val="auto"/>
              </w:rPr>
            </w:pPr>
          </w:p>
        </w:tc>
      </w:tr>
      <w:tr>
        <w:trPr>
          <w:trHeight w:val="128"/>
        </w:trPr>
        <w:tc>
          <w:tcPr>
            <w:tcW w:w="5360" w:type="dxa"/>
            <w:vAlign w:val="bottom"/>
          </w:tcPr>
          <w:p>
            <w:pPr>
              <w:ind w:left="80"/>
              <w:spacing w:after="0" w:line="129" w:lineRule="exact"/>
              <w:rPr>
                <w:sz w:val="20"/>
                <w:szCs w:val="20"/>
                <w:color w:val="auto"/>
              </w:rPr>
            </w:pPr>
            <w:r>
              <w:rPr>
                <w:rFonts w:ascii="Wingdings" w:cs="Wingdings" w:eastAsia="Wingdings" w:hAnsi="Wingdings"/>
                <w:sz w:val="14"/>
                <w:szCs w:val="14"/>
                <w:b w:val="1"/>
                <w:bCs w:val="1"/>
                <w:color w:val="auto"/>
                <w:shd w:val="clear" w:color="auto" w:fill="C8102E"/>
              </w:rPr>
              <w:t xml:space="preserve">ü  </w:t>
            </w:r>
            <w:r>
              <w:rPr>
                <w:rFonts w:ascii="Arial" w:cs="Arial" w:eastAsia="Arial" w:hAnsi="Arial"/>
                <w:sz w:val="14"/>
                <w:szCs w:val="14"/>
                <w:b w:val="1"/>
                <w:bCs w:val="1"/>
                <w:color w:val="auto"/>
              </w:rPr>
              <w:t>Varying performance metrics under short-term and longer-term</w:t>
            </w:r>
          </w:p>
        </w:tc>
        <w:tc>
          <w:tcPr>
            <w:tcW w:w="260" w:type="dxa"/>
            <w:vAlign w:val="bottom"/>
          </w:tcPr>
          <w:p>
            <w:pPr>
              <w:spacing w:after="0"/>
              <w:rPr>
                <w:sz w:val="11"/>
                <w:szCs w:val="11"/>
                <w:color w:val="auto"/>
              </w:rPr>
            </w:pPr>
          </w:p>
        </w:tc>
        <w:tc>
          <w:tcPr>
            <w:tcW w:w="380" w:type="dxa"/>
            <w:vAlign w:val="bottom"/>
          </w:tcPr>
          <w:p>
            <w:pPr>
              <w:jc w:val="right"/>
              <w:ind w:right="89"/>
              <w:spacing w:after="0" w:line="129" w:lineRule="exact"/>
              <w:rPr>
                <w:sz w:val="20"/>
                <w:szCs w:val="20"/>
                <w:color w:val="auto"/>
              </w:rPr>
            </w:pPr>
            <w:r>
              <w:rPr>
                <w:rFonts w:ascii="Times New Roman" w:cs="Times New Roman" w:eastAsia="Times New Roman" w:hAnsi="Times New Roman"/>
                <w:sz w:val="14"/>
                <w:szCs w:val="14"/>
                <w:i w:val="1"/>
                <w:iCs w:val="1"/>
                <w:color w:val="C8102E"/>
              </w:rPr>
              <w:t>×</w:t>
            </w:r>
          </w:p>
        </w:tc>
        <w:tc>
          <w:tcPr>
            <w:tcW w:w="5020" w:type="dxa"/>
            <w:vAlign w:val="bottom"/>
          </w:tcPr>
          <w:p>
            <w:pPr>
              <w:ind w:left="160"/>
              <w:spacing w:after="0" w:line="129" w:lineRule="exact"/>
              <w:rPr>
                <w:sz w:val="20"/>
                <w:szCs w:val="20"/>
                <w:color w:val="auto"/>
              </w:rPr>
            </w:pPr>
            <w:r>
              <w:rPr>
                <w:rFonts w:ascii="Arial" w:cs="Arial" w:eastAsia="Arial" w:hAnsi="Arial"/>
                <w:sz w:val="14"/>
                <w:szCs w:val="14"/>
                <w:b w:val="1"/>
                <w:bCs w:val="1"/>
                <w:color w:val="auto"/>
              </w:rPr>
              <w:t xml:space="preserve">No pledging or hedging of Company stock </w:t>
            </w:r>
            <w:r>
              <w:rPr>
                <w:rFonts w:ascii="Arial" w:cs="Arial" w:eastAsia="Arial" w:hAnsi="Arial"/>
                <w:sz w:val="14"/>
                <w:szCs w:val="14"/>
                <w:color w:val="auto"/>
              </w:rPr>
              <w:t>– We prohibit our</w:t>
            </w:r>
          </w:p>
        </w:tc>
      </w:tr>
      <w:tr>
        <w:trPr>
          <w:trHeight w:val="162"/>
        </w:trPr>
        <w:tc>
          <w:tcPr>
            <w:tcW w:w="5360" w:type="dxa"/>
            <w:vAlign w:val="bottom"/>
          </w:tcPr>
          <w:p>
            <w:pPr>
              <w:ind w:left="420"/>
              <w:spacing w:after="0" w:line="162" w:lineRule="exact"/>
              <w:rPr>
                <w:sz w:val="20"/>
                <w:szCs w:val="20"/>
                <w:color w:val="auto"/>
              </w:rPr>
            </w:pPr>
            <w:r>
              <w:rPr>
                <w:rFonts w:ascii="Arial" w:cs="Arial" w:eastAsia="Arial" w:hAnsi="Arial"/>
                <w:sz w:val="16"/>
                <w:szCs w:val="16"/>
                <w:b w:val="1"/>
                <w:bCs w:val="1"/>
                <w:color w:val="auto"/>
              </w:rPr>
              <w:t xml:space="preserve">incentive plans </w:t>
            </w:r>
            <w:r>
              <w:rPr>
                <w:rFonts w:ascii="Arial" w:cs="Arial" w:eastAsia="Arial" w:hAnsi="Arial"/>
                <w:sz w:val="16"/>
                <w:szCs w:val="16"/>
                <w:color w:val="auto"/>
              </w:rPr>
              <w:t>– In balancing compensation objectives linked to</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20" w:type="dxa"/>
            <w:vAlign w:val="bottom"/>
          </w:tcPr>
          <w:p>
            <w:pPr>
              <w:ind w:left="160"/>
              <w:spacing w:after="0" w:line="162" w:lineRule="exact"/>
              <w:rPr>
                <w:sz w:val="20"/>
                <w:szCs w:val="20"/>
                <w:color w:val="auto"/>
              </w:rPr>
            </w:pPr>
            <w:r>
              <w:rPr>
                <w:rFonts w:ascii="Arial" w:cs="Arial" w:eastAsia="Arial" w:hAnsi="Arial"/>
                <w:sz w:val="16"/>
                <w:szCs w:val="16"/>
                <w:color w:val="auto"/>
              </w:rPr>
              <w:t>executives and directors from hedging Enovis stock and from</w:t>
            </w:r>
          </w:p>
        </w:tc>
      </w:tr>
      <w:tr>
        <w:trPr>
          <w:trHeight w:val="162"/>
        </w:trPr>
        <w:tc>
          <w:tcPr>
            <w:tcW w:w="5360" w:type="dxa"/>
            <w:vAlign w:val="bottom"/>
          </w:tcPr>
          <w:p>
            <w:pPr>
              <w:ind w:left="420"/>
              <w:spacing w:after="0" w:line="162" w:lineRule="exact"/>
              <w:rPr>
                <w:sz w:val="20"/>
                <w:szCs w:val="20"/>
                <w:color w:val="auto"/>
              </w:rPr>
            </w:pPr>
            <w:r>
              <w:rPr>
                <w:rFonts w:ascii="Arial" w:cs="Arial" w:eastAsia="Arial" w:hAnsi="Arial"/>
                <w:sz w:val="16"/>
                <w:szCs w:val="16"/>
                <w:color w:val="auto"/>
              </w:rPr>
              <w:t>short-term and long-term time horizons, the Company seeks to align</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20" w:type="dxa"/>
            <w:vAlign w:val="bottom"/>
          </w:tcPr>
          <w:p>
            <w:pPr>
              <w:ind w:left="160"/>
              <w:spacing w:after="0" w:line="162" w:lineRule="exact"/>
              <w:rPr>
                <w:sz w:val="20"/>
                <w:szCs w:val="20"/>
                <w:color w:val="auto"/>
              </w:rPr>
            </w:pPr>
            <w:r>
              <w:rPr>
                <w:rFonts w:ascii="Arial" w:cs="Arial" w:eastAsia="Arial" w:hAnsi="Arial"/>
                <w:sz w:val="16"/>
                <w:szCs w:val="16"/>
                <w:color w:val="auto"/>
              </w:rPr>
              <w:t>entering pledge arrangements or derivative agreements using</w:t>
            </w:r>
          </w:p>
        </w:tc>
      </w:tr>
      <w:tr>
        <w:trPr>
          <w:trHeight w:val="162"/>
        </w:trPr>
        <w:tc>
          <w:tcPr>
            <w:tcW w:w="5360" w:type="dxa"/>
            <w:vAlign w:val="bottom"/>
          </w:tcPr>
          <w:p>
            <w:pPr>
              <w:ind w:left="420"/>
              <w:spacing w:after="0" w:line="162" w:lineRule="exact"/>
              <w:rPr>
                <w:sz w:val="20"/>
                <w:szCs w:val="20"/>
                <w:color w:val="auto"/>
              </w:rPr>
            </w:pPr>
            <w:r>
              <w:rPr>
                <w:rFonts w:ascii="Arial" w:cs="Arial" w:eastAsia="Arial" w:hAnsi="Arial"/>
                <w:sz w:val="16"/>
                <w:szCs w:val="16"/>
                <w:color w:val="auto"/>
              </w:rPr>
              <w:t>compensation with several performance metrics that are critical to</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20" w:type="dxa"/>
            <w:vAlign w:val="bottom"/>
          </w:tcPr>
          <w:p>
            <w:pPr>
              <w:ind w:left="160"/>
              <w:spacing w:after="0" w:line="162" w:lineRule="exact"/>
              <w:rPr>
                <w:sz w:val="20"/>
                <w:szCs w:val="20"/>
                <w:color w:val="auto"/>
              </w:rPr>
            </w:pPr>
            <w:r>
              <w:rPr>
                <w:rFonts w:ascii="Arial" w:cs="Arial" w:eastAsia="Arial" w:hAnsi="Arial"/>
                <w:sz w:val="16"/>
                <w:szCs w:val="16"/>
                <w:color w:val="auto"/>
              </w:rPr>
              <w:t>Enovis stock.</w:t>
            </w:r>
          </w:p>
        </w:tc>
      </w:tr>
      <w:tr>
        <w:trPr>
          <w:trHeight w:val="189"/>
        </w:trPr>
        <w:tc>
          <w:tcPr>
            <w:tcW w:w="536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achievement of sustained growth and stockholder value creation.</w:t>
            </w:r>
          </w:p>
        </w:tc>
        <w:tc>
          <w:tcPr>
            <w:tcW w:w="2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5020" w:type="dxa"/>
            <w:vAlign w:val="bottom"/>
            <w:tcBorders>
              <w:bottom w:val="single" w:sz="8" w:color="auto"/>
            </w:tcBorders>
          </w:tcPr>
          <w:p>
            <w:pPr>
              <w:spacing w:after="0"/>
              <w:rPr>
                <w:sz w:val="16"/>
                <w:szCs w:val="16"/>
                <w:color w:val="auto"/>
              </w:rPr>
            </w:pPr>
          </w:p>
        </w:tc>
      </w:tr>
      <w:tr>
        <w:trPr>
          <w:trHeight w:val="128"/>
        </w:trPr>
        <w:tc>
          <w:tcPr>
            <w:tcW w:w="5360" w:type="dxa"/>
            <w:vAlign w:val="bottom"/>
          </w:tcPr>
          <w:p>
            <w:pPr>
              <w:ind w:left="80"/>
              <w:spacing w:after="0" w:line="129" w:lineRule="exact"/>
              <w:rPr>
                <w:sz w:val="20"/>
                <w:szCs w:val="20"/>
                <w:color w:val="auto"/>
              </w:rPr>
            </w:pPr>
            <w:r>
              <w:rPr>
                <w:rFonts w:ascii="Wingdings" w:cs="Wingdings" w:eastAsia="Wingdings" w:hAnsi="Wingdings"/>
                <w:sz w:val="14"/>
                <w:szCs w:val="14"/>
                <w:b w:val="1"/>
                <w:bCs w:val="1"/>
                <w:color w:val="auto"/>
                <w:shd w:val="clear" w:color="auto" w:fill="C8102E"/>
              </w:rPr>
              <w:t xml:space="preserve">ü  </w:t>
            </w:r>
            <w:r>
              <w:rPr>
                <w:rFonts w:ascii="Arial" w:cs="Arial" w:eastAsia="Arial" w:hAnsi="Arial"/>
                <w:sz w:val="14"/>
                <w:szCs w:val="14"/>
                <w:b w:val="1"/>
                <w:bCs w:val="1"/>
                <w:color w:val="auto"/>
              </w:rPr>
              <w:t>Caps on Annual Incentive Plan payouts</w:t>
            </w:r>
            <w:r>
              <w:rPr>
                <w:rFonts w:ascii="Wingdings" w:cs="Wingdings" w:eastAsia="Wingdings" w:hAnsi="Wingdings"/>
                <w:sz w:val="14"/>
                <w:szCs w:val="14"/>
                <w:b w:val="1"/>
                <w:bCs w:val="1"/>
                <w:color w:val="auto"/>
                <w:shd w:val="clear" w:color="auto" w:fill="C8102E"/>
              </w:rPr>
              <w:t xml:space="preserve"> </w:t>
            </w:r>
            <w:r>
              <w:rPr>
                <w:rFonts w:ascii="Arial" w:cs="Arial" w:eastAsia="Arial" w:hAnsi="Arial"/>
                <w:sz w:val="14"/>
                <w:szCs w:val="14"/>
                <w:color w:val="auto"/>
              </w:rPr>
              <w:t>– Executive bonus</w:t>
            </w:r>
          </w:p>
        </w:tc>
        <w:tc>
          <w:tcPr>
            <w:tcW w:w="260" w:type="dxa"/>
            <w:vAlign w:val="bottom"/>
          </w:tcPr>
          <w:p>
            <w:pPr>
              <w:spacing w:after="0"/>
              <w:rPr>
                <w:sz w:val="11"/>
                <w:szCs w:val="11"/>
                <w:color w:val="auto"/>
              </w:rPr>
            </w:pPr>
          </w:p>
        </w:tc>
        <w:tc>
          <w:tcPr>
            <w:tcW w:w="380" w:type="dxa"/>
            <w:vAlign w:val="bottom"/>
          </w:tcPr>
          <w:p>
            <w:pPr>
              <w:jc w:val="right"/>
              <w:ind w:right="89"/>
              <w:spacing w:after="0" w:line="129" w:lineRule="exact"/>
              <w:rPr>
                <w:sz w:val="20"/>
                <w:szCs w:val="20"/>
                <w:color w:val="auto"/>
              </w:rPr>
            </w:pPr>
            <w:r>
              <w:rPr>
                <w:rFonts w:ascii="Times New Roman" w:cs="Times New Roman" w:eastAsia="Times New Roman" w:hAnsi="Times New Roman"/>
                <w:sz w:val="14"/>
                <w:szCs w:val="14"/>
                <w:i w:val="1"/>
                <w:iCs w:val="1"/>
                <w:color w:val="C8102E"/>
              </w:rPr>
              <w:t>×</w:t>
            </w:r>
          </w:p>
        </w:tc>
        <w:tc>
          <w:tcPr>
            <w:tcW w:w="5020" w:type="dxa"/>
            <w:vAlign w:val="bottom"/>
          </w:tcPr>
          <w:p>
            <w:pPr>
              <w:ind w:left="160"/>
              <w:spacing w:after="0" w:line="129" w:lineRule="exact"/>
              <w:rPr>
                <w:sz w:val="20"/>
                <w:szCs w:val="20"/>
                <w:color w:val="auto"/>
              </w:rPr>
            </w:pPr>
            <w:r>
              <w:rPr>
                <w:rFonts w:ascii="Arial" w:cs="Arial" w:eastAsia="Arial" w:hAnsi="Arial"/>
                <w:sz w:val="14"/>
                <w:szCs w:val="14"/>
                <w:b w:val="1"/>
                <w:bCs w:val="1"/>
                <w:color w:val="auto"/>
              </w:rPr>
              <w:t xml:space="preserve">No repricing or buyout of underwater stock options </w:t>
            </w:r>
            <w:r>
              <w:rPr>
                <w:rFonts w:ascii="Arial" w:cs="Arial" w:eastAsia="Arial" w:hAnsi="Arial"/>
                <w:sz w:val="14"/>
                <w:szCs w:val="14"/>
                <w:color w:val="auto"/>
              </w:rPr>
              <w:t>– We do</w:t>
            </w:r>
          </w:p>
        </w:tc>
      </w:tr>
      <w:tr>
        <w:trPr>
          <w:trHeight w:val="162"/>
        </w:trPr>
        <w:tc>
          <w:tcPr>
            <w:tcW w:w="5360" w:type="dxa"/>
            <w:vAlign w:val="bottom"/>
          </w:tcPr>
          <w:p>
            <w:pPr>
              <w:ind w:left="420"/>
              <w:spacing w:after="0" w:line="162" w:lineRule="exact"/>
              <w:rPr>
                <w:sz w:val="20"/>
                <w:szCs w:val="20"/>
                <w:color w:val="auto"/>
              </w:rPr>
            </w:pPr>
            <w:r>
              <w:rPr>
                <w:rFonts w:ascii="Arial" w:cs="Arial" w:eastAsia="Arial" w:hAnsi="Arial"/>
                <w:sz w:val="16"/>
                <w:szCs w:val="16"/>
                <w:color w:val="auto"/>
              </w:rPr>
              <w:t>payments are capped under our AIP, as approved by our</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20" w:type="dxa"/>
            <w:vAlign w:val="bottom"/>
          </w:tcPr>
          <w:p>
            <w:pPr>
              <w:ind w:left="160"/>
              <w:spacing w:after="0" w:line="162" w:lineRule="exact"/>
              <w:rPr>
                <w:sz w:val="20"/>
                <w:szCs w:val="20"/>
                <w:color w:val="auto"/>
              </w:rPr>
            </w:pPr>
            <w:r>
              <w:rPr>
                <w:rFonts w:ascii="Arial" w:cs="Arial" w:eastAsia="Arial" w:hAnsi="Arial"/>
                <w:sz w:val="16"/>
                <w:szCs w:val="16"/>
                <w:color w:val="auto"/>
              </w:rPr>
              <w:t>not permit the repricing of underwater stock options without the</w:t>
            </w:r>
          </w:p>
        </w:tc>
      </w:tr>
      <w:tr>
        <w:trPr>
          <w:trHeight w:val="189"/>
        </w:trPr>
        <w:tc>
          <w:tcPr>
            <w:tcW w:w="536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stockholders, in part to discourage excessive risk taking.</w:t>
            </w:r>
          </w:p>
        </w:tc>
        <w:tc>
          <w:tcPr>
            <w:tcW w:w="2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50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express approval of our stockholders.</w:t>
            </w:r>
          </w:p>
        </w:tc>
      </w:tr>
      <w:tr>
        <w:trPr>
          <w:trHeight w:val="128"/>
        </w:trPr>
        <w:tc>
          <w:tcPr>
            <w:tcW w:w="5360" w:type="dxa"/>
            <w:vAlign w:val="bottom"/>
          </w:tcPr>
          <w:p>
            <w:pPr>
              <w:ind w:left="80"/>
              <w:spacing w:after="0" w:line="129" w:lineRule="exact"/>
              <w:rPr>
                <w:sz w:val="20"/>
                <w:szCs w:val="20"/>
                <w:color w:val="auto"/>
              </w:rPr>
            </w:pPr>
            <w:r>
              <w:rPr>
                <w:rFonts w:ascii="Wingdings" w:cs="Wingdings" w:eastAsia="Wingdings" w:hAnsi="Wingdings"/>
                <w:sz w:val="14"/>
                <w:szCs w:val="14"/>
                <w:b w:val="1"/>
                <w:bCs w:val="1"/>
                <w:color w:val="auto"/>
                <w:shd w:val="clear" w:color="auto" w:fill="C8102E"/>
              </w:rPr>
              <w:t xml:space="preserve">ü  </w:t>
            </w:r>
            <w:r>
              <w:rPr>
                <w:rFonts w:ascii="Arial" w:cs="Arial" w:eastAsia="Arial" w:hAnsi="Arial"/>
                <w:sz w:val="14"/>
                <w:szCs w:val="14"/>
                <w:b w:val="1"/>
                <w:bCs w:val="1"/>
                <w:color w:val="auto"/>
              </w:rPr>
              <w:t>Double trigger provisions for change in control payments</w:t>
            </w:r>
            <w:r>
              <w:rPr>
                <w:rFonts w:ascii="Wingdings" w:cs="Wingdings" w:eastAsia="Wingdings" w:hAnsi="Wingdings"/>
                <w:sz w:val="14"/>
                <w:szCs w:val="14"/>
                <w:b w:val="1"/>
                <w:bCs w:val="1"/>
                <w:color w:val="auto"/>
                <w:shd w:val="clear" w:color="auto" w:fill="C8102E"/>
              </w:rPr>
              <w:t xml:space="preserve"> </w:t>
            </w: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380" w:type="dxa"/>
            <w:vAlign w:val="bottom"/>
          </w:tcPr>
          <w:p>
            <w:pPr>
              <w:jc w:val="right"/>
              <w:ind w:right="89"/>
              <w:spacing w:after="0" w:line="129" w:lineRule="exact"/>
              <w:rPr>
                <w:sz w:val="20"/>
                <w:szCs w:val="20"/>
                <w:color w:val="auto"/>
              </w:rPr>
            </w:pPr>
            <w:r>
              <w:rPr>
                <w:rFonts w:ascii="Times New Roman" w:cs="Times New Roman" w:eastAsia="Times New Roman" w:hAnsi="Times New Roman"/>
                <w:sz w:val="14"/>
                <w:szCs w:val="14"/>
                <w:i w:val="1"/>
                <w:iCs w:val="1"/>
                <w:color w:val="C8102E"/>
              </w:rPr>
              <w:t>×</w:t>
            </w:r>
          </w:p>
        </w:tc>
        <w:tc>
          <w:tcPr>
            <w:tcW w:w="5020" w:type="dxa"/>
            <w:vAlign w:val="bottom"/>
          </w:tcPr>
          <w:p>
            <w:pPr>
              <w:ind w:left="160"/>
              <w:spacing w:after="0" w:line="129" w:lineRule="exact"/>
              <w:rPr>
                <w:sz w:val="20"/>
                <w:szCs w:val="20"/>
                <w:color w:val="auto"/>
              </w:rPr>
            </w:pPr>
            <w:r>
              <w:rPr>
                <w:rFonts w:ascii="Arial" w:cs="Arial" w:eastAsia="Arial" w:hAnsi="Arial"/>
                <w:sz w:val="14"/>
                <w:szCs w:val="14"/>
                <w:b w:val="1"/>
                <w:bCs w:val="1"/>
                <w:color w:val="auto"/>
              </w:rPr>
              <w:t xml:space="preserve">No excessive change in control severance </w:t>
            </w:r>
            <w:r>
              <w:rPr>
                <w:rFonts w:ascii="Arial" w:cs="Arial" w:eastAsia="Arial" w:hAnsi="Arial"/>
                <w:sz w:val="14"/>
                <w:szCs w:val="14"/>
                <w:color w:val="auto"/>
              </w:rPr>
              <w:t>– No severance upon</w:t>
            </w:r>
          </w:p>
        </w:tc>
      </w:tr>
      <w:tr>
        <w:trPr>
          <w:trHeight w:val="162"/>
        </w:trPr>
        <w:tc>
          <w:tcPr>
            <w:tcW w:w="5360" w:type="dxa"/>
            <w:vAlign w:val="bottom"/>
          </w:tcPr>
          <w:p>
            <w:pPr>
              <w:ind w:left="420"/>
              <w:spacing w:after="0" w:line="162" w:lineRule="exact"/>
              <w:rPr>
                <w:sz w:val="20"/>
                <w:szCs w:val="20"/>
                <w:color w:val="auto"/>
              </w:rPr>
            </w:pPr>
            <w:r>
              <w:rPr>
                <w:rFonts w:ascii="Arial" w:cs="Arial" w:eastAsia="Arial" w:hAnsi="Arial"/>
                <w:sz w:val="16"/>
                <w:szCs w:val="16"/>
                <w:color w:val="auto"/>
              </w:rPr>
              <w:t>Severance payable upon a change in control is only received upon</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20" w:type="dxa"/>
            <w:vAlign w:val="bottom"/>
          </w:tcPr>
          <w:p>
            <w:pPr>
              <w:ind w:left="160"/>
              <w:spacing w:after="0" w:line="162" w:lineRule="exact"/>
              <w:rPr>
                <w:sz w:val="20"/>
                <w:szCs w:val="20"/>
                <w:color w:val="auto"/>
              </w:rPr>
            </w:pPr>
            <w:r>
              <w:rPr>
                <w:rFonts w:ascii="Arial" w:cs="Arial" w:eastAsia="Arial" w:hAnsi="Arial"/>
                <w:sz w:val="16"/>
                <w:szCs w:val="16"/>
                <w:color w:val="auto"/>
              </w:rPr>
              <w:t>a change in control in excess of two times salary and target bonus.</w:t>
            </w:r>
          </w:p>
        </w:tc>
      </w:tr>
      <w:tr>
        <w:trPr>
          <w:trHeight w:val="162"/>
        </w:trPr>
        <w:tc>
          <w:tcPr>
            <w:tcW w:w="5360" w:type="dxa"/>
            <w:vAlign w:val="bottom"/>
          </w:tcPr>
          <w:p>
            <w:pPr>
              <w:ind w:left="420"/>
              <w:spacing w:after="0" w:line="162" w:lineRule="exact"/>
              <w:rPr>
                <w:sz w:val="20"/>
                <w:szCs w:val="20"/>
                <w:color w:val="auto"/>
              </w:rPr>
            </w:pPr>
            <w:r>
              <w:rPr>
                <w:rFonts w:ascii="Arial" w:cs="Arial" w:eastAsia="Arial" w:hAnsi="Arial"/>
                <w:sz w:val="16"/>
                <w:szCs w:val="16"/>
                <w:color w:val="auto"/>
              </w:rPr>
              <w:t>executive’s employment termination without cause or resignation for</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20" w:type="dxa"/>
            <w:vAlign w:val="bottom"/>
          </w:tcPr>
          <w:p>
            <w:pPr>
              <w:spacing w:after="0"/>
              <w:rPr>
                <w:sz w:val="14"/>
                <w:szCs w:val="14"/>
                <w:color w:val="auto"/>
              </w:rPr>
            </w:pPr>
          </w:p>
        </w:tc>
      </w:tr>
      <w:tr>
        <w:trPr>
          <w:trHeight w:val="162"/>
        </w:trPr>
        <w:tc>
          <w:tcPr>
            <w:tcW w:w="5360" w:type="dxa"/>
            <w:vAlign w:val="bottom"/>
          </w:tcPr>
          <w:p>
            <w:pPr>
              <w:ind w:left="420"/>
              <w:spacing w:after="0" w:line="162" w:lineRule="exact"/>
              <w:rPr>
                <w:sz w:val="20"/>
                <w:szCs w:val="20"/>
                <w:color w:val="auto"/>
              </w:rPr>
            </w:pPr>
            <w:r>
              <w:rPr>
                <w:rFonts w:ascii="Arial" w:cs="Arial" w:eastAsia="Arial" w:hAnsi="Arial"/>
                <w:sz w:val="16"/>
                <w:szCs w:val="16"/>
                <w:color w:val="auto"/>
              </w:rPr>
              <w:t>good reason within two years following, or the three months</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20" w:type="dxa"/>
            <w:vAlign w:val="bottom"/>
          </w:tcPr>
          <w:p>
            <w:pPr>
              <w:spacing w:after="0"/>
              <w:rPr>
                <w:sz w:val="14"/>
                <w:szCs w:val="14"/>
                <w:color w:val="auto"/>
              </w:rPr>
            </w:pPr>
          </w:p>
        </w:tc>
      </w:tr>
      <w:tr>
        <w:trPr>
          <w:trHeight w:val="162"/>
        </w:trPr>
        <w:tc>
          <w:tcPr>
            <w:tcW w:w="5360" w:type="dxa"/>
            <w:vAlign w:val="bottom"/>
          </w:tcPr>
          <w:p>
            <w:pPr>
              <w:ind w:left="420"/>
              <w:spacing w:after="0" w:line="162" w:lineRule="exact"/>
              <w:rPr>
                <w:sz w:val="20"/>
                <w:szCs w:val="20"/>
                <w:color w:val="auto"/>
              </w:rPr>
            </w:pPr>
            <w:r>
              <w:rPr>
                <w:rFonts w:ascii="Arial" w:cs="Arial" w:eastAsia="Arial" w:hAnsi="Arial"/>
                <w:sz w:val="16"/>
                <w:szCs w:val="16"/>
                <w:color w:val="auto"/>
              </w:rPr>
              <w:t>preceding, the change in control. This approach is commonly</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20" w:type="dxa"/>
            <w:vAlign w:val="bottom"/>
          </w:tcPr>
          <w:p>
            <w:pPr>
              <w:spacing w:after="0"/>
              <w:rPr>
                <w:sz w:val="14"/>
                <w:szCs w:val="14"/>
                <w:color w:val="auto"/>
              </w:rPr>
            </w:pPr>
          </w:p>
        </w:tc>
      </w:tr>
      <w:tr>
        <w:trPr>
          <w:trHeight w:val="189"/>
        </w:trPr>
        <w:tc>
          <w:tcPr>
            <w:tcW w:w="536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referred to as “double trigger.”</w:t>
            </w:r>
          </w:p>
        </w:tc>
        <w:tc>
          <w:tcPr>
            <w:tcW w:w="2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5020" w:type="dxa"/>
            <w:vAlign w:val="bottom"/>
            <w:tcBorders>
              <w:bottom w:val="single" w:sz="8" w:color="auto"/>
            </w:tcBorders>
          </w:tcPr>
          <w:p>
            <w:pPr>
              <w:spacing w:after="0"/>
              <w:rPr>
                <w:sz w:val="16"/>
                <w:szCs w:val="16"/>
                <w:color w:val="auto"/>
              </w:rPr>
            </w:pPr>
          </w:p>
        </w:tc>
      </w:tr>
      <w:tr>
        <w:trPr>
          <w:trHeight w:val="128"/>
        </w:trPr>
        <w:tc>
          <w:tcPr>
            <w:tcW w:w="5360" w:type="dxa"/>
            <w:vAlign w:val="bottom"/>
          </w:tcPr>
          <w:p>
            <w:pPr>
              <w:ind w:left="80"/>
              <w:spacing w:after="0" w:line="129" w:lineRule="exact"/>
              <w:rPr>
                <w:sz w:val="20"/>
                <w:szCs w:val="20"/>
                <w:color w:val="auto"/>
              </w:rPr>
            </w:pPr>
            <w:r>
              <w:rPr>
                <w:rFonts w:ascii="Wingdings" w:cs="Wingdings" w:eastAsia="Wingdings" w:hAnsi="Wingdings"/>
                <w:sz w:val="14"/>
                <w:szCs w:val="14"/>
                <w:b w:val="1"/>
                <w:bCs w:val="1"/>
                <w:color w:val="auto"/>
                <w:shd w:val="clear" w:color="auto" w:fill="C8102E"/>
              </w:rPr>
              <w:t xml:space="preserve">ü  </w:t>
            </w:r>
            <w:r>
              <w:rPr>
                <w:rFonts w:ascii="Arial" w:cs="Arial" w:eastAsia="Arial" w:hAnsi="Arial"/>
                <w:sz w:val="14"/>
                <w:szCs w:val="14"/>
                <w:b w:val="1"/>
                <w:bCs w:val="1"/>
                <w:color w:val="auto"/>
              </w:rPr>
              <w:t>Clawback Policy and Insider Trading Policy</w:t>
            </w:r>
            <w:r>
              <w:rPr>
                <w:rFonts w:ascii="Wingdings" w:cs="Wingdings" w:eastAsia="Wingdings" w:hAnsi="Wingdings"/>
                <w:sz w:val="14"/>
                <w:szCs w:val="14"/>
                <w:b w:val="1"/>
                <w:bCs w:val="1"/>
                <w:color w:val="auto"/>
                <w:shd w:val="clear" w:color="auto" w:fill="C8102E"/>
              </w:rPr>
              <w:t xml:space="preserve"> </w:t>
            </w:r>
            <w:r>
              <w:rPr>
                <w:rFonts w:ascii="Arial" w:cs="Arial" w:eastAsia="Arial" w:hAnsi="Arial"/>
                <w:sz w:val="14"/>
                <w:szCs w:val="14"/>
                <w:color w:val="auto"/>
              </w:rPr>
              <w:t>– We have a</w:t>
            </w:r>
          </w:p>
        </w:tc>
        <w:tc>
          <w:tcPr>
            <w:tcW w:w="260" w:type="dxa"/>
            <w:vAlign w:val="bottom"/>
          </w:tcPr>
          <w:p>
            <w:pPr>
              <w:spacing w:after="0"/>
              <w:rPr>
                <w:sz w:val="11"/>
                <w:szCs w:val="11"/>
                <w:color w:val="auto"/>
              </w:rPr>
            </w:pPr>
          </w:p>
        </w:tc>
        <w:tc>
          <w:tcPr>
            <w:tcW w:w="380" w:type="dxa"/>
            <w:vAlign w:val="bottom"/>
          </w:tcPr>
          <w:p>
            <w:pPr>
              <w:jc w:val="right"/>
              <w:ind w:right="89"/>
              <w:spacing w:after="0" w:line="129" w:lineRule="exact"/>
              <w:rPr>
                <w:sz w:val="20"/>
                <w:szCs w:val="20"/>
                <w:color w:val="auto"/>
              </w:rPr>
            </w:pPr>
            <w:r>
              <w:rPr>
                <w:rFonts w:ascii="Times New Roman" w:cs="Times New Roman" w:eastAsia="Times New Roman" w:hAnsi="Times New Roman"/>
                <w:sz w:val="14"/>
                <w:szCs w:val="14"/>
                <w:i w:val="1"/>
                <w:iCs w:val="1"/>
                <w:color w:val="C8102E"/>
              </w:rPr>
              <w:t>×</w:t>
            </w:r>
          </w:p>
        </w:tc>
        <w:tc>
          <w:tcPr>
            <w:tcW w:w="5020" w:type="dxa"/>
            <w:vAlign w:val="bottom"/>
          </w:tcPr>
          <w:p>
            <w:pPr>
              <w:ind w:left="160"/>
              <w:spacing w:after="0" w:line="129" w:lineRule="exact"/>
              <w:rPr>
                <w:sz w:val="20"/>
                <w:szCs w:val="20"/>
                <w:color w:val="auto"/>
              </w:rPr>
            </w:pPr>
            <w:r>
              <w:rPr>
                <w:rFonts w:ascii="Arial" w:cs="Arial" w:eastAsia="Arial" w:hAnsi="Arial"/>
                <w:sz w:val="14"/>
                <w:szCs w:val="14"/>
                <w:b w:val="1"/>
                <w:bCs w:val="1"/>
                <w:color w:val="auto"/>
              </w:rPr>
              <w:t xml:space="preserve">No short-term vesting </w:t>
            </w:r>
            <w:r>
              <w:rPr>
                <w:rFonts w:ascii="Arial" w:cs="Arial" w:eastAsia="Arial" w:hAnsi="Arial"/>
                <w:sz w:val="14"/>
                <w:szCs w:val="14"/>
                <w:color w:val="auto"/>
              </w:rPr>
              <w:t>– We do not award any long-term</w:t>
            </w:r>
          </w:p>
        </w:tc>
      </w:tr>
      <w:tr>
        <w:trPr>
          <w:trHeight w:val="162"/>
        </w:trPr>
        <w:tc>
          <w:tcPr>
            <w:tcW w:w="5360" w:type="dxa"/>
            <w:vAlign w:val="bottom"/>
          </w:tcPr>
          <w:p>
            <w:pPr>
              <w:ind w:left="420"/>
              <w:spacing w:after="0" w:line="162" w:lineRule="exact"/>
              <w:rPr>
                <w:sz w:val="20"/>
                <w:szCs w:val="20"/>
                <w:color w:val="auto"/>
              </w:rPr>
            </w:pPr>
            <w:r>
              <w:rPr>
                <w:rFonts w:ascii="Arial" w:cs="Arial" w:eastAsia="Arial" w:hAnsi="Arial"/>
                <w:sz w:val="16"/>
                <w:szCs w:val="16"/>
                <w:color w:val="auto"/>
              </w:rPr>
              <w:t>comprehensive compensation clawback policy that applies to all of</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20" w:type="dxa"/>
            <w:vAlign w:val="bottom"/>
          </w:tcPr>
          <w:p>
            <w:pPr>
              <w:ind w:left="160"/>
              <w:spacing w:after="0" w:line="162" w:lineRule="exact"/>
              <w:rPr>
                <w:sz w:val="20"/>
                <w:szCs w:val="20"/>
                <w:color w:val="auto"/>
              </w:rPr>
            </w:pPr>
            <w:r>
              <w:rPr>
                <w:rFonts w:ascii="Arial" w:cs="Arial" w:eastAsia="Arial" w:hAnsi="Arial"/>
                <w:sz w:val="16"/>
                <w:szCs w:val="16"/>
                <w:color w:val="auto"/>
              </w:rPr>
              <w:t>incentives with a standard vesting period shorter than one year.</w:t>
            </w:r>
          </w:p>
        </w:tc>
      </w:tr>
      <w:tr>
        <w:trPr>
          <w:trHeight w:val="162"/>
        </w:trPr>
        <w:tc>
          <w:tcPr>
            <w:tcW w:w="5360" w:type="dxa"/>
            <w:vAlign w:val="bottom"/>
          </w:tcPr>
          <w:p>
            <w:pPr>
              <w:ind w:left="420"/>
              <w:spacing w:after="0" w:line="162" w:lineRule="exact"/>
              <w:rPr>
                <w:sz w:val="20"/>
                <w:szCs w:val="20"/>
                <w:color w:val="auto"/>
              </w:rPr>
            </w:pPr>
            <w:r>
              <w:rPr>
                <w:rFonts w:ascii="Arial" w:cs="Arial" w:eastAsia="Arial" w:hAnsi="Arial"/>
                <w:sz w:val="16"/>
                <w:szCs w:val="16"/>
                <w:color w:val="auto"/>
              </w:rPr>
              <w:t>our executive officers and requires recovery of erroneously awarded</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20" w:type="dxa"/>
            <w:vAlign w:val="bottom"/>
          </w:tcPr>
          <w:p>
            <w:pPr>
              <w:spacing w:after="0"/>
              <w:rPr>
                <w:sz w:val="14"/>
                <w:szCs w:val="14"/>
                <w:color w:val="auto"/>
              </w:rPr>
            </w:pPr>
          </w:p>
        </w:tc>
      </w:tr>
      <w:tr>
        <w:trPr>
          <w:trHeight w:val="162"/>
        </w:trPr>
        <w:tc>
          <w:tcPr>
            <w:tcW w:w="5360" w:type="dxa"/>
            <w:vAlign w:val="bottom"/>
          </w:tcPr>
          <w:p>
            <w:pPr>
              <w:ind w:left="420"/>
              <w:spacing w:after="0" w:line="162" w:lineRule="exact"/>
              <w:rPr>
                <w:sz w:val="20"/>
                <w:szCs w:val="20"/>
                <w:color w:val="auto"/>
              </w:rPr>
            </w:pPr>
            <w:r>
              <w:rPr>
                <w:rFonts w:ascii="Arial" w:cs="Arial" w:eastAsia="Arial" w:hAnsi="Arial"/>
                <w:sz w:val="16"/>
                <w:szCs w:val="16"/>
                <w:color w:val="auto"/>
              </w:rPr>
              <w:t>incentive-based compensation upon a restatement of the Company’s</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20" w:type="dxa"/>
            <w:vAlign w:val="bottom"/>
          </w:tcPr>
          <w:p>
            <w:pPr>
              <w:spacing w:after="0"/>
              <w:rPr>
                <w:sz w:val="14"/>
                <w:szCs w:val="14"/>
                <w:color w:val="auto"/>
              </w:rPr>
            </w:pPr>
          </w:p>
        </w:tc>
      </w:tr>
      <w:tr>
        <w:trPr>
          <w:trHeight w:val="162"/>
        </w:trPr>
        <w:tc>
          <w:tcPr>
            <w:tcW w:w="5360" w:type="dxa"/>
            <w:vAlign w:val="bottom"/>
          </w:tcPr>
          <w:p>
            <w:pPr>
              <w:ind w:left="420"/>
              <w:spacing w:after="0" w:line="162" w:lineRule="exact"/>
              <w:rPr>
                <w:sz w:val="20"/>
                <w:szCs w:val="20"/>
                <w:color w:val="auto"/>
              </w:rPr>
            </w:pPr>
            <w:r>
              <w:rPr>
                <w:rFonts w:ascii="Arial" w:cs="Arial" w:eastAsia="Arial" w:hAnsi="Arial"/>
                <w:sz w:val="16"/>
                <w:szCs w:val="16"/>
                <w:color w:val="auto"/>
              </w:rPr>
              <w:t>financial statements to correct material noncompliance with any</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20" w:type="dxa"/>
            <w:vAlign w:val="bottom"/>
          </w:tcPr>
          <w:p>
            <w:pPr>
              <w:spacing w:after="0"/>
              <w:rPr>
                <w:sz w:val="14"/>
                <w:szCs w:val="14"/>
                <w:color w:val="auto"/>
              </w:rPr>
            </w:pPr>
          </w:p>
        </w:tc>
      </w:tr>
      <w:tr>
        <w:trPr>
          <w:trHeight w:val="162"/>
        </w:trPr>
        <w:tc>
          <w:tcPr>
            <w:tcW w:w="5360" w:type="dxa"/>
            <w:vAlign w:val="bottom"/>
          </w:tcPr>
          <w:p>
            <w:pPr>
              <w:ind w:left="420"/>
              <w:spacing w:after="0" w:line="162" w:lineRule="exact"/>
              <w:rPr>
                <w:sz w:val="20"/>
                <w:szCs w:val="20"/>
                <w:color w:val="auto"/>
              </w:rPr>
            </w:pPr>
            <w:r>
              <w:rPr>
                <w:rFonts w:ascii="Arial" w:cs="Arial" w:eastAsia="Arial" w:hAnsi="Arial"/>
                <w:sz w:val="16"/>
                <w:szCs w:val="16"/>
                <w:color w:val="auto"/>
              </w:rPr>
              <w:t>financial reporting requirement under the securities laws, and we</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20" w:type="dxa"/>
            <w:vAlign w:val="bottom"/>
          </w:tcPr>
          <w:p>
            <w:pPr>
              <w:spacing w:after="0"/>
              <w:rPr>
                <w:sz w:val="14"/>
                <w:szCs w:val="14"/>
                <w:color w:val="auto"/>
              </w:rPr>
            </w:pPr>
          </w:p>
        </w:tc>
      </w:tr>
      <w:tr>
        <w:trPr>
          <w:trHeight w:val="162"/>
        </w:trPr>
        <w:tc>
          <w:tcPr>
            <w:tcW w:w="5360" w:type="dxa"/>
            <w:vAlign w:val="bottom"/>
          </w:tcPr>
          <w:p>
            <w:pPr>
              <w:ind w:left="420"/>
              <w:spacing w:after="0" w:line="162" w:lineRule="exact"/>
              <w:rPr>
                <w:sz w:val="20"/>
                <w:szCs w:val="20"/>
                <w:color w:val="auto"/>
              </w:rPr>
            </w:pPr>
            <w:r>
              <w:rPr>
                <w:rFonts w:ascii="Arial" w:cs="Arial" w:eastAsia="Arial" w:hAnsi="Arial"/>
                <w:sz w:val="16"/>
                <w:szCs w:val="16"/>
                <w:color w:val="auto"/>
              </w:rPr>
              <w:t>enforce a strict insider trading policy and blackout periods for</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20" w:type="dxa"/>
            <w:vAlign w:val="bottom"/>
          </w:tcPr>
          <w:p>
            <w:pPr>
              <w:spacing w:after="0"/>
              <w:rPr>
                <w:sz w:val="14"/>
                <w:szCs w:val="14"/>
                <w:color w:val="auto"/>
              </w:rPr>
            </w:pPr>
          </w:p>
        </w:tc>
      </w:tr>
      <w:tr>
        <w:trPr>
          <w:trHeight w:val="189"/>
        </w:trPr>
        <w:tc>
          <w:tcPr>
            <w:tcW w:w="536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executives and directors.</w:t>
            </w:r>
          </w:p>
        </w:tc>
        <w:tc>
          <w:tcPr>
            <w:tcW w:w="2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5020" w:type="dxa"/>
            <w:vAlign w:val="bottom"/>
            <w:tcBorders>
              <w:bottom w:val="single" w:sz="8" w:color="auto"/>
            </w:tcBorders>
          </w:tcPr>
          <w:p>
            <w:pPr>
              <w:spacing w:after="0"/>
              <w:rPr>
                <w:sz w:val="16"/>
                <w:szCs w:val="16"/>
                <w:color w:val="auto"/>
              </w:rPr>
            </w:pPr>
          </w:p>
        </w:tc>
      </w:tr>
      <w:tr>
        <w:trPr>
          <w:trHeight w:val="128"/>
        </w:trPr>
        <w:tc>
          <w:tcPr>
            <w:tcW w:w="5360" w:type="dxa"/>
            <w:vAlign w:val="bottom"/>
          </w:tcPr>
          <w:p>
            <w:pPr>
              <w:ind w:left="80"/>
              <w:spacing w:after="0" w:line="129" w:lineRule="exact"/>
              <w:rPr>
                <w:sz w:val="20"/>
                <w:szCs w:val="20"/>
                <w:color w:val="auto"/>
              </w:rPr>
            </w:pPr>
            <w:r>
              <w:rPr>
                <w:rFonts w:ascii="Wingdings" w:cs="Wingdings" w:eastAsia="Wingdings" w:hAnsi="Wingdings"/>
                <w:sz w:val="14"/>
                <w:szCs w:val="14"/>
                <w:b w:val="1"/>
                <w:bCs w:val="1"/>
                <w:color w:val="auto"/>
                <w:shd w:val="clear" w:color="auto" w:fill="C8102E"/>
              </w:rPr>
              <w:t xml:space="preserve">ü  </w:t>
            </w:r>
            <w:r>
              <w:rPr>
                <w:rFonts w:ascii="Arial" w:cs="Arial" w:eastAsia="Arial" w:hAnsi="Arial"/>
                <w:sz w:val="14"/>
                <w:szCs w:val="14"/>
                <w:b w:val="1"/>
                <w:bCs w:val="1"/>
                <w:color w:val="auto"/>
              </w:rPr>
              <w:t>Stock Ownership Policy</w:t>
            </w:r>
            <w:r>
              <w:rPr>
                <w:rFonts w:ascii="Wingdings" w:cs="Wingdings" w:eastAsia="Wingdings" w:hAnsi="Wingdings"/>
                <w:sz w:val="14"/>
                <w:szCs w:val="14"/>
                <w:b w:val="1"/>
                <w:bCs w:val="1"/>
                <w:color w:val="auto"/>
                <w:shd w:val="clear" w:color="auto" w:fill="C8102E"/>
              </w:rPr>
              <w:t xml:space="preserve"> </w:t>
            </w:r>
            <w:r>
              <w:rPr>
                <w:rFonts w:ascii="Arial" w:cs="Arial" w:eastAsia="Arial" w:hAnsi="Arial"/>
                <w:sz w:val="14"/>
                <w:szCs w:val="14"/>
                <w:color w:val="auto"/>
              </w:rPr>
              <w:t>– We have a robust stock ownership</w:t>
            </w:r>
          </w:p>
        </w:tc>
        <w:tc>
          <w:tcPr>
            <w:tcW w:w="260" w:type="dxa"/>
            <w:vAlign w:val="bottom"/>
          </w:tcPr>
          <w:p>
            <w:pPr>
              <w:spacing w:after="0"/>
              <w:rPr>
                <w:sz w:val="11"/>
                <w:szCs w:val="11"/>
                <w:color w:val="auto"/>
              </w:rPr>
            </w:pPr>
          </w:p>
        </w:tc>
        <w:tc>
          <w:tcPr>
            <w:tcW w:w="380" w:type="dxa"/>
            <w:vAlign w:val="bottom"/>
          </w:tcPr>
          <w:p>
            <w:pPr>
              <w:jc w:val="right"/>
              <w:ind w:right="89"/>
              <w:spacing w:after="0" w:line="129" w:lineRule="exact"/>
              <w:rPr>
                <w:sz w:val="20"/>
                <w:szCs w:val="20"/>
                <w:color w:val="auto"/>
              </w:rPr>
            </w:pPr>
            <w:r>
              <w:rPr>
                <w:rFonts w:ascii="Times New Roman" w:cs="Times New Roman" w:eastAsia="Times New Roman" w:hAnsi="Times New Roman"/>
                <w:sz w:val="14"/>
                <w:szCs w:val="14"/>
                <w:i w:val="1"/>
                <w:iCs w:val="1"/>
                <w:color w:val="C8102E"/>
              </w:rPr>
              <w:t>×</w:t>
            </w:r>
          </w:p>
        </w:tc>
        <w:tc>
          <w:tcPr>
            <w:tcW w:w="5020" w:type="dxa"/>
            <w:vAlign w:val="bottom"/>
          </w:tcPr>
          <w:p>
            <w:pPr>
              <w:ind w:left="160"/>
              <w:spacing w:after="0" w:line="129" w:lineRule="exact"/>
              <w:rPr>
                <w:sz w:val="20"/>
                <w:szCs w:val="20"/>
                <w:color w:val="auto"/>
              </w:rPr>
            </w:pPr>
            <w:r>
              <w:rPr>
                <w:rFonts w:ascii="Arial" w:cs="Arial" w:eastAsia="Arial" w:hAnsi="Arial"/>
                <w:sz w:val="14"/>
                <w:szCs w:val="14"/>
                <w:b w:val="1"/>
                <w:bCs w:val="1"/>
                <w:color w:val="auto"/>
              </w:rPr>
              <w:t>No compensation programs or policies that reward for</w:t>
            </w:r>
          </w:p>
        </w:tc>
      </w:tr>
      <w:tr>
        <w:trPr>
          <w:trHeight w:val="162"/>
        </w:trPr>
        <w:tc>
          <w:tcPr>
            <w:tcW w:w="5360" w:type="dxa"/>
            <w:vAlign w:val="bottom"/>
          </w:tcPr>
          <w:p>
            <w:pPr>
              <w:ind w:left="420"/>
              <w:spacing w:after="0" w:line="162" w:lineRule="exact"/>
              <w:rPr>
                <w:sz w:val="20"/>
                <w:szCs w:val="20"/>
                <w:color w:val="auto"/>
              </w:rPr>
            </w:pPr>
            <w:r>
              <w:rPr>
                <w:rFonts w:ascii="Arial" w:cs="Arial" w:eastAsia="Arial" w:hAnsi="Arial"/>
                <w:sz w:val="16"/>
                <w:szCs w:val="16"/>
                <w:color w:val="auto"/>
              </w:rPr>
              <w:t>policy to further align the long-term financial interests of Company</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20" w:type="dxa"/>
            <w:vAlign w:val="bottom"/>
          </w:tcPr>
          <w:p>
            <w:pPr>
              <w:ind w:left="160"/>
              <w:spacing w:after="0" w:line="162" w:lineRule="exact"/>
              <w:rPr>
                <w:sz w:val="20"/>
                <w:szCs w:val="20"/>
                <w:color w:val="auto"/>
              </w:rPr>
            </w:pPr>
            <w:r>
              <w:rPr>
                <w:rFonts w:ascii="Arial" w:cs="Arial" w:eastAsia="Arial" w:hAnsi="Arial"/>
                <w:sz w:val="16"/>
                <w:szCs w:val="16"/>
                <w:b w:val="1"/>
                <w:bCs w:val="1"/>
                <w:color w:val="auto"/>
              </w:rPr>
              <w:t xml:space="preserve">material or excessive risk taking </w:t>
            </w:r>
            <w:r>
              <w:rPr>
                <w:rFonts w:ascii="Arial" w:cs="Arial" w:eastAsia="Arial" w:hAnsi="Arial"/>
                <w:sz w:val="16"/>
                <w:szCs w:val="16"/>
                <w:color w:val="auto"/>
              </w:rPr>
              <w:t>– We annually review the</w:t>
            </w:r>
          </w:p>
        </w:tc>
      </w:tr>
      <w:tr>
        <w:trPr>
          <w:trHeight w:val="162"/>
        </w:trPr>
        <w:tc>
          <w:tcPr>
            <w:tcW w:w="5360" w:type="dxa"/>
            <w:vAlign w:val="bottom"/>
          </w:tcPr>
          <w:p>
            <w:pPr>
              <w:ind w:left="420"/>
              <w:spacing w:after="0" w:line="162" w:lineRule="exact"/>
              <w:rPr>
                <w:sz w:val="20"/>
                <w:szCs w:val="20"/>
                <w:color w:val="auto"/>
              </w:rPr>
            </w:pPr>
            <w:r>
              <w:rPr>
                <w:rFonts w:ascii="Arial" w:cs="Arial" w:eastAsia="Arial" w:hAnsi="Arial"/>
                <w:sz w:val="16"/>
                <w:szCs w:val="16"/>
                <w:color w:val="auto"/>
              </w:rPr>
              <w:t>executives with those of our stockholders.</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20" w:type="dxa"/>
            <w:vAlign w:val="bottom"/>
          </w:tcPr>
          <w:p>
            <w:pPr>
              <w:ind w:left="160"/>
              <w:spacing w:after="0" w:line="162" w:lineRule="exact"/>
              <w:rPr>
                <w:sz w:val="20"/>
                <w:szCs w:val="20"/>
                <w:color w:val="auto"/>
              </w:rPr>
            </w:pPr>
            <w:r>
              <w:rPr>
                <w:rFonts w:ascii="Arial" w:cs="Arial" w:eastAsia="Arial" w:hAnsi="Arial"/>
                <w:sz w:val="16"/>
                <w:szCs w:val="16"/>
                <w:color w:val="auto"/>
              </w:rPr>
              <w:t>Company’s compensation policies and practices in relation to our</w:t>
            </w:r>
          </w:p>
        </w:tc>
      </w:tr>
      <w:tr>
        <w:trPr>
          <w:trHeight w:val="162"/>
        </w:trPr>
        <w:tc>
          <w:tcPr>
            <w:tcW w:w="5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20" w:type="dxa"/>
            <w:vAlign w:val="bottom"/>
          </w:tcPr>
          <w:p>
            <w:pPr>
              <w:ind w:left="160"/>
              <w:spacing w:after="0" w:line="162" w:lineRule="exact"/>
              <w:rPr>
                <w:sz w:val="20"/>
                <w:szCs w:val="20"/>
                <w:color w:val="auto"/>
              </w:rPr>
            </w:pPr>
            <w:r>
              <w:rPr>
                <w:rFonts w:ascii="Arial" w:cs="Arial" w:eastAsia="Arial" w:hAnsi="Arial"/>
                <w:sz w:val="16"/>
                <w:szCs w:val="16"/>
                <w:color w:val="auto"/>
              </w:rPr>
              <w:t>risk management practices and any potential risk-taking incentives.</w:t>
            </w:r>
          </w:p>
        </w:tc>
      </w:tr>
      <w:tr>
        <w:trPr>
          <w:trHeight w:val="162"/>
        </w:trPr>
        <w:tc>
          <w:tcPr>
            <w:tcW w:w="5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20" w:type="dxa"/>
            <w:vAlign w:val="bottom"/>
          </w:tcPr>
          <w:p>
            <w:pPr>
              <w:ind w:left="160"/>
              <w:spacing w:after="0" w:line="162" w:lineRule="exact"/>
              <w:rPr>
                <w:sz w:val="20"/>
                <w:szCs w:val="20"/>
                <w:color w:val="auto"/>
              </w:rPr>
            </w:pPr>
            <w:r>
              <w:rPr>
                <w:rFonts w:ascii="Arial" w:cs="Arial" w:eastAsia="Arial" w:hAnsi="Arial"/>
                <w:sz w:val="16"/>
                <w:szCs w:val="16"/>
                <w:color w:val="auto"/>
              </w:rPr>
              <w:t>Our most recent assessment concluded that the risks arising from</w:t>
            </w:r>
          </w:p>
        </w:tc>
      </w:tr>
      <w:tr>
        <w:trPr>
          <w:trHeight w:val="162"/>
        </w:trPr>
        <w:tc>
          <w:tcPr>
            <w:tcW w:w="5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20" w:type="dxa"/>
            <w:vAlign w:val="bottom"/>
          </w:tcPr>
          <w:p>
            <w:pPr>
              <w:ind w:left="160"/>
              <w:spacing w:after="0" w:line="162" w:lineRule="exact"/>
              <w:rPr>
                <w:sz w:val="20"/>
                <w:szCs w:val="20"/>
                <w:color w:val="auto"/>
              </w:rPr>
            </w:pPr>
            <w:r>
              <w:rPr>
                <w:rFonts w:ascii="Arial" w:cs="Arial" w:eastAsia="Arial" w:hAnsi="Arial"/>
                <w:sz w:val="16"/>
                <w:szCs w:val="16"/>
                <w:color w:val="auto"/>
              </w:rPr>
              <w:t>our compensation policies and practices are not reasonably likely</w:t>
            </w:r>
          </w:p>
        </w:tc>
      </w:tr>
      <w:tr>
        <w:trPr>
          <w:trHeight w:val="189"/>
        </w:trPr>
        <w:tc>
          <w:tcPr>
            <w:tcW w:w="53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50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to have a material adverse effect on the Company.</w:t>
            </w:r>
          </w:p>
        </w:tc>
      </w:tr>
      <w:tr>
        <w:trPr>
          <w:trHeight w:val="128"/>
        </w:trPr>
        <w:tc>
          <w:tcPr>
            <w:tcW w:w="5360" w:type="dxa"/>
            <w:vAlign w:val="bottom"/>
          </w:tcPr>
          <w:p>
            <w:pPr>
              <w:ind w:left="80"/>
              <w:spacing w:after="0" w:line="129" w:lineRule="exact"/>
              <w:rPr>
                <w:sz w:val="20"/>
                <w:szCs w:val="20"/>
                <w:color w:val="auto"/>
              </w:rPr>
            </w:pPr>
            <w:r>
              <w:rPr>
                <w:rFonts w:ascii="Wingdings" w:cs="Wingdings" w:eastAsia="Wingdings" w:hAnsi="Wingdings"/>
                <w:sz w:val="14"/>
                <w:szCs w:val="14"/>
                <w:b w:val="1"/>
                <w:bCs w:val="1"/>
                <w:color w:val="auto"/>
                <w:shd w:val="clear" w:color="auto" w:fill="C8102E"/>
              </w:rPr>
              <w:t xml:space="preserve">ü  </w:t>
            </w:r>
            <w:r>
              <w:rPr>
                <w:rFonts w:ascii="Arial" w:cs="Arial" w:eastAsia="Arial" w:hAnsi="Arial"/>
                <w:sz w:val="14"/>
                <w:szCs w:val="14"/>
                <w:b w:val="1"/>
                <w:bCs w:val="1"/>
                <w:color w:val="auto"/>
              </w:rPr>
              <w:t>Independent CHCM Committee and Consultant</w:t>
            </w:r>
            <w:r>
              <w:rPr>
                <w:rFonts w:ascii="Wingdings" w:cs="Wingdings" w:eastAsia="Wingdings" w:hAnsi="Wingdings"/>
                <w:sz w:val="14"/>
                <w:szCs w:val="14"/>
                <w:b w:val="1"/>
                <w:bCs w:val="1"/>
                <w:color w:val="auto"/>
                <w:shd w:val="clear" w:color="auto" w:fill="C8102E"/>
              </w:rPr>
              <w:t xml:space="preserve"> </w:t>
            </w:r>
            <w:r>
              <w:rPr>
                <w:rFonts w:ascii="Arial" w:cs="Arial" w:eastAsia="Arial" w:hAnsi="Arial"/>
                <w:sz w:val="14"/>
                <w:szCs w:val="14"/>
                <w:color w:val="auto"/>
              </w:rPr>
              <w:t>– Our CHCM</w:t>
            </w:r>
          </w:p>
        </w:tc>
        <w:tc>
          <w:tcPr>
            <w:tcW w:w="260" w:type="dxa"/>
            <w:vAlign w:val="bottom"/>
          </w:tcPr>
          <w:p>
            <w:pPr>
              <w:spacing w:after="0"/>
              <w:rPr>
                <w:sz w:val="11"/>
                <w:szCs w:val="11"/>
                <w:color w:val="auto"/>
              </w:rPr>
            </w:pPr>
          </w:p>
        </w:tc>
        <w:tc>
          <w:tcPr>
            <w:tcW w:w="380" w:type="dxa"/>
            <w:vAlign w:val="bottom"/>
          </w:tcPr>
          <w:p>
            <w:pPr>
              <w:jc w:val="right"/>
              <w:ind w:right="89"/>
              <w:spacing w:after="0" w:line="129" w:lineRule="exact"/>
              <w:rPr>
                <w:sz w:val="20"/>
                <w:szCs w:val="20"/>
                <w:color w:val="auto"/>
              </w:rPr>
            </w:pPr>
            <w:r>
              <w:rPr>
                <w:rFonts w:ascii="Times New Roman" w:cs="Times New Roman" w:eastAsia="Times New Roman" w:hAnsi="Times New Roman"/>
                <w:sz w:val="14"/>
                <w:szCs w:val="14"/>
                <w:i w:val="1"/>
                <w:iCs w:val="1"/>
                <w:color w:val="C8102E"/>
              </w:rPr>
              <w:t>×</w:t>
            </w:r>
          </w:p>
        </w:tc>
        <w:tc>
          <w:tcPr>
            <w:tcW w:w="5020" w:type="dxa"/>
            <w:vAlign w:val="bottom"/>
          </w:tcPr>
          <w:p>
            <w:pPr>
              <w:ind w:left="160"/>
              <w:spacing w:after="0" w:line="129" w:lineRule="exact"/>
              <w:rPr>
                <w:sz w:val="20"/>
                <w:szCs w:val="20"/>
                <w:color w:val="auto"/>
              </w:rPr>
            </w:pPr>
            <w:r>
              <w:rPr>
                <w:rFonts w:ascii="Arial" w:cs="Arial" w:eastAsia="Arial" w:hAnsi="Arial"/>
                <w:sz w:val="14"/>
                <w:szCs w:val="14"/>
                <w:b w:val="1"/>
                <w:bCs w:val="1"/>
                <w:color w:val="auto"/>
              </w:rPr>
              <w:t xml:space="preserve">No defined benefit pension plan </w:t>
            </w:r>
            <w:r>
              <w:rPr>
                <w:rFonts w:ascii="Arial" w:cs="Arial" w:eastAsia="Arial" w:hAnsi="Arial"/>
                <w:sz w:val="14"/>
                <w:szCs w:val="14"/>
                <w:color w:val="auto"/>
              </w:rPr>
              <w:t>– We do not maintain a defined</w:t>
            </w:r>
          </w:p>
        </w:tc>
      </w:tr>
      <w:tr>
        <w:trPr>
          <w:trHeight w:val="162"/>
        </w:trPr>
        <w:tc>
          <w:tcPr>
            <w:tcW w:w="5360" w:type="dxa"/>
            <w:vAlign w:val="bottom"/>
          </w:tcPr>
          <w:p>
            <w:pPr>
              <w:ind w:left="420"/>
              <w:spacing w:after="0" w:line="162" w:lineRule="exact"/>
              <w:rPr>
                <w:sz w:val="20"/>
                <w:szCs w:val="20"/>
                <w:color w:val="auto"/>
              </w:rPr>
            </w:pPr>
            <w:r>
              <w:rPr>
                <w:rFonts w:ascii="Arial" w:cs="Arial" w:eastAsia="Arial" w:hAnsi="Arial"/>
                <w:sz w:val="16"/>
                <w:szCs w:val="16"/>
                <w:color w:val="auto"/>
              </w:rPr>
              <w:t>Committee is comprised solely of independent directors. The</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20" w:type="dxa"/>
            <w:vAlign w:val="bottom"/>
          </w:tcPr>
          <w:p>
            <w:pPr>
              <w:ind w:left="160"/>
              <w:spacing w:after="0" w:line="162" w:lineRule="exact"/>
              <w:rPr>
                <w:sz w:val="20"/>
                <w:szCs w:val="20"/>
                <w:color w:val="auto"/>
              </w:rPr>
            </w:pPr>
            <w:r>
              <w:rPr>
                <w:rFonts w:ascii="Arial" w:cs="Arial" w:eastAsia="Arial" w:hAnsi="Arial"/>
                <w:sz w:val="16"/>
                <w:szCs w:val="16"/>
                <w:color w:val="auto"/>
              </w:rPr>
              <w:t>benefit pension plan for any senior executives.</w:t>
            </w:r>
          </w:p>
        </w:tc>
      </w:tr>
      <w:tr>
        <w:trPr>
          <w:trHeight w:val="162"/>
        </w:trPr>
        <w:tc>
          <w:tcPr>
            <w:tcW w:w="5360" w:type="dxa"/>
            <w:vAlign w:val="bottom"/>
          </w:tcPr>
          <w:p>
            <w:pPr>
              <w:ind w:left="420"/>
              <w:spacing w:after="0" w:line="162" w:lineRule="exact"/>
              <w:rPr>
                <w:sz w:val="20"/>
                <w:szCs w:val="20"/>
                <w:color w:val="auto"/>
              </w:rPr>
            </w:pPr>
            <w:r>
              <w:rPr>
                <w:rFonts w:ascii="Arial" w:cs="Arial" w:eastAsia="Arial" w:hAnsi="Arial"/>
                <w:sz w:val="16"/>
                <w:szCs w:val="16"/>
                <w:color w:val="auto"/>
              </w:rPr>
              <w:t>compensation consultant to the CHCM Committee during 2025, FW</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20" w:type="dxa"/>
            <w:vAlign w:val="bottom"/>
          </w:tcPr>
          <w:p>
            <w:pPr>
              <w:spacing w:after="0"/>
              <w:rPr>
                <w:sz w:val="14"/>
                <w:szCs w:val="14"/>
                <w:color w:val="auto"/>
              </w:rPr>
            </w:pPr>
          </w:p>
        </w:tc>
      </w:tr>
      <w:tr>
        <w:trPr>
          <w:trHeight w:val="162"/>
        </w:trPr>
        <w:tc>
          <w:tcPr>
            <w:tcW w:w="5360" w:type="dxa"/>
            <w:vAlign w:val="bottom"/>
          </w:tcPr>
          <w:p>
            <w:pPr>
              <w:ind w:left="420"/>
              <w:spacing w:after="0" w:line="162" w:lineRule="exact"/>
              <w:rPr>
                <w:sz w:val="20"/>
                <w:szCs w:val="20"/>
                <w:color w:val="auto"/>
              </w:rPr>
            </w:pPr>
            <w:r>
              <w:rPr>
                <w:rFonts w:ascii="Arial" w:cs="Arial" w:eastAsia="Arial" w:hAnsi="Arial"/>
                <w:sz w:val="16"/>
                <w:szCs w:val="16"/>
                <w:color w:val="auto"/>
              </w:rPr>
              <w:t>Cook (i) is, based on the CHCM Committee’s assessment,</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20" w:type="dxa"/>
            <w:vAlign w:val="bottom"/>
          </w:tcPr>
          <w:p>
            <w:pPr>
              <w:spacing w:after="0"/>
              <w:rPr>
                <w:sz w:val="14"/>
                <w:szCs w:val="14"/>
                <w:color w:val="auto"/>
              </w:rPr>
            </w:pPr>
          </w:p>
        </w:tc>
      </w:tr>
      <w:tr>
        <w:trPr>
          <w:trHeight w:val="162"/>
        </w:trPr>
        <w:tc>
          <w:tcPr>
            <w:tcW w:w="5360" w:type="dxa"/>
            <w:vAlign w:val="bottom"/>
          </w:tcPr>
          <w:p>
            <w:pPr>
              <w:ind w:left="420"/>
              <w:spacing w:after="0" w:line="162" w:lineRule="exact"/>
              <w:rPr>
                <w:sz w:val="20"/>
                <w:szCs w:val="20"/>
                <w:color w:val="auto"/>
              </w:rPr>
            </w:pPr>
            <w:r>
              <w:rPr>
                <w:rFonts w:ascii="Arial" w:cs="Arial" w:eastAsia="Arial" w:hAnsi="Arial"/>
                <w:sz w:val="16"/>
                <w:szCs w:val="16"/>
                <w:color w:val="auto"/>
              </w:rPr>
              <w:t>independent and without any conflicts of interest with the Company</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20" w:type="dxa"/>
            <w:vAlign w:val="bottom"/>
          </w:tcPr>
          <w:p>
            <w:pPr>
              <w:spacing w:after="0"/>
              <w:rPr>
                <w:sz w:val="14"/>
                <w:szCs w:val="14"/>
                <w:color w:val="auto"/>
              </w:rPr>
            </w:pPr>
          </w:p>
        </w:tc>
      </w:tr>
      <w:tr>
        <w:trPr>
          <w:trHeight w:val="162"/>
        </w:trPr>
        <w:tc>
          <w:tcPr>
            <w:tcW w:w="5360" w:type="dxa"/>
            <w:vAlign w:val="bottom"/>
          </w:tcPr>
          <w:p>
            <w:pPr>
              <w:ind w:left="420"/>
              <w:spacing w:after="0" w:line="162" w:lineRule="exact"/>
              <w:rPr>
                <w:sz w:val="20"/>
                <w:szCs w:val="20"/>
                <w:color w:val="auto"/>
              </w:rPr>
            </w:pPr>
            <w:r>
              <w:rPr>
                <w:rFonts w:ascii="Arial" w:cs="Arial" w:eastAsia="Arial" w:hAnsi="Arial"/>
                <w:sz w:val="16"/>
                <w:szCs w:val="16"/>
                <w:color w:val="auto"/>
              </w:rPr>
              <w:t>and (ii) has never provided any services to the Company other than</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20" w:type="dxa"/>
            <w:vAlign w:val="bottom"/>
          </w:tcPr>
          <w:p>
            <w:pPr>
              <w:spacing w:after="0"/>
              <w:rPr>
                <w:sz w:val="14"/>
                <w:szCs w:val="14"/>
                <w:color w:val="auto"/>
              </w:rPr>
            </w:pPr>
          </w:p>
        </w:tc>
      </w:tr>
      <w:tr>
        <w:trPr>
          <w:trHeight w:val="162"/>
        </w:trPr>
        <w:tc>
          <w:tcPr>
            <w:tcW w:w="5360" w:type="dxa"/>
            <w:vAlign w:val="bottom"/>
          </w:tcPr>
          <w:p>
            <w:pPr>
              <w:ind w:left="420"/>
              <w:spacing w:after="0" w:line="162" w:lineRule="exact"/>
              <w:rPr>
                <w:sz w:val="20"/>
                <w:szCs w:val="20"/>
                <w:color w:val="auto"/>
              </w:rPr>
            </w:pPr>
            <w:r>
              <w:rPr>
                <w:rFonts w:ascii="Arial" w:cs="Arial" w:eastAsia="Arial" w:hAnsi="Arial"/>
                <w:sz w:val="16"/>
                <w:szCs w:val="16"/>
                <w:color w:val="auto"/>
              </w:rPr>
              <w:t>the compensation-related services provided to the CHCM</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20" w:type="dxa"/>
            <w:vAlign w:val="bottom"/>
          </w:tcPr>
          <w:p>
            <w:pPr>
              <w:spacing w:after="0"/>
              <w:rPr>
                <w:sz w:val="14"/>
                <w:szCs w:val="14"/>
                <w:color w:val="auto"/>
              </w:rPr>
            </w:pPr>
          </w:p>
        </w:tc>
      </w:tr>
      <w:tr>
        <w:trPr>
          <w:trHeight w:val="189"/>
        </w:trPr>
        <w:tc>
          <w:tcPr>
            <w:tcW w:w="536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Committee. See page 37 for further details.</w:t>
            </w:r>
          </w:p>
        </w:tc>
        <w:tc>
          <w:tcPr>
            <w:tcW w:w="2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5020" w:type="dxa"/>
            <w:vAlign w:val="bottom"/>
            <w:tcBorders>
              <w:bottom w:val="single" w:sz="8" w:color="auto"/>
            </w:tcBorders>
          </w:tcPr>
          <w:p>
            <w:pPr>
              <w:spacing w:after="0"/>
              <w:rPr>
                <w:sz w:val="16"/>
                <w:szCs w:val="16"/>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-118745</wp:posOffset>
            </wp:positionV>
            <wp:extent cx="762635" cy="3860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2635" cy="38608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69951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674" w:right="439" w:bottom="1440" w:gutter="0" w:footer="0" w:header="0"/>
        </w:sectPr>
      </w:pPr>
    </w:p>
    <w:bookmarkStart w:id="36" w:name="page37"/>
    <w:bookmarkEnd w:id="36"/>
    <w:p>
      <w:pPr>
        <w:ind w:left="4"/>
        <w:spacing w:after="0"/>
        <w:rPr>
          <w:sz w:val="20"/>
          <w:szCs w:val="20"/>
          <w:color w:val="auto"/>
        </w:rPr>
      </w:pPr>
      <w:r>
        <w:rPr>
          <w:rFonts w:ascii="Arial" w:cs="Arial" w:eastAsia="Arial" w:hAnsi="Arial"/>
          <w:sz w:val="32"/>
          <w:szCs w:val="32"/>
          <w:b w:val="1"/>
          <w:bCs w:val="1"/>
          <w:color w:val="C8102E"/>
        </w:rPr>
        <w:t>Determination of Executive Compensation and Performance Criteria</w:t>
      </w:r>
    </w:p>
    <w:p>
      <w:pPr>
        <w:spacing w:after="0" w:line="148" w:lineRule="exact"/>
        <w:rPr>
          <w:sz w:val="20"/>
          <w:szCs w:val="20"/>
          <w:color w:val="auto"/>
        </w:rPr>
      </w:pPr>
    </w:p>
    <w:p>
      <w:pPr>
        <w:jc w:val="both"/>
        <w:ind w:left="4"/>
        <w:spacing w:after="0" w:line="225" w:lineRule="auto"/>
        <w:rPr>
          <w:sz w:val="20"/>
          <w:szCs w:val="20"/>
          <w:color w:val="auto"/>
        </w:rPr>
      </w:pPr>
      <w:r>
        <w:rPr>
          <w:rFonts w:ascii="Arial" w:cs="Arial" w:eastAsia="Arial" w:hAnsi="Arial"/>
          <w:sz w:val="16"/>
          <w:szCs w:val="16"/>
          <w:color w:val="auto"/>
        </w:rPr>
        <w:t>Our executive compensation program is based on the philosophy and design outlined above with a focus on exceptional performance and continuous improvement from our management team. Within this framework, the CHCM Committee exercises its reasoned business judgment in making executive compensation decisions and takes into account recommendations by our Chief Executive Officer with respect to the compensation of each executive officer, other than himself (see “CEO Recommendations” on page 36). Some of the factors that generally are referenced when making executive compensation decisions, none of which is assigned a particular weight, are as follows:</w:t>
      </w:r>
    </w:p>
    <w:p>
      <w:pPr>
        <w:spacing w:after="0" w:line="48" w:lineRule="exact"/>
        <w:rPr>
          <w:sz w:val="20"/>
          <w:szCs w:val="20"/>
          <w:color w:val="auto"/>
        </w:rPr>
      </w:pPr>
    </w:p>
    <w:p>
      <w:pPr>
        <w:ind w:left="324" w:hanging="324"/>
        <w:spacing w:after="0"/>
        <w:tabs>
          <w:tab w:leader="none" w:pos="324" w:val="left"/>
        </w:tabs>
        <w:numPr>
          <w:ilvl w:val="0"/>
          <w:numId w:val="70"/>
        </w:numPr>
        <w:rPr>
          <w:rFonts w:ascii="MS PGothic" w:cs="MS PGothic" w:eastAsia="MS PGothic" w:hAnsi="MS PGothic"/>
          <w:sz w:val="29"/>
          <w:szCs w:val="29"/>
          <w:color w:val="C8102E"/>
          <w:vertAlign w:val="superscript"/>
        </w:rPr>
      </w:pPr>
      <w:r>
        <w:rPr>
          <w:rFonts w:ascii="Arial" w:cs="Arial" w:eastAsia="Arial" w:hAnsi="Arial"/>
          <w:sz w:val="16"/>
          <w:szCs w:val="16"/>
          <w:color w:val="auto"/>
        </w:rPr>
        <w:t>The nature of the executive’s position</w:t>
      </w:r>
    </w:p>
    <w:p>
      <w:pPr>
        <w:spacing w:after="0" w:line="152" w:lineRule="exact"/>
        <w:rPr>
          <w:rFonts w:ascii="MS PGothic" w:cs="MS PGothic" w:eastAsia="MS PGothic" w:hAnsi="MS PGothic"/>
          <w:sz w:val="29"/>
          <w:szCs w:val="29"/>
          <w:color w:val="C8102E"/>
          <w:vertAlign w:val="superscript"/>
        </w:rPr>
      </w:pPr>
    </w:p>
    <w:p>
      <w:pPr>
        <w:ind w:left="324" w:right="20" w:hanging="324"/>
        <w:spacing w:after="0" w:line="182" w:lineRule="auto"/>
        <w:tabs>
          <w:tab w:leader="none" w:pos="324" w:val="left"/>
        </w:tabs>
        <w:numPr>
          <w:ilvl w:val="0"/>
          <w:numId w:val="70"/>
        </w:numPr>
        <w:rPr>
          <w:rFonts w:ascii="MS PGothic" w:cs="MS PGothic" w:eastAsia="MS PGothic" w:hAnsi="MS PGothic"/>
          <w:sz w:val="29"/>
          <w:szCs w:val="29"/>
          <w:color w:val="C8102E"/>
          <w:vertAlign w:val="superscript"/>
        </w:rPr>
      </w:pPr>
      <w:r>
        <w:rPr>
          <w:rFonts w:ascii="Arial" w:cs="Arial" w:eastAsia="Arial" w:hAnsi="Arial"/>
          <w:sz w:val="16"/>
          <w:szCs w:val="16"/>
          <w:color w:val="auto"/>
        </w:rPr>
        <w:t>The CHCM Committee’s assessment of pay levels and practices for executives with the skills and experience our executives possess (see “Role of Compensation Consultants and Peer Data Review” on page 37)</w:t>
      </w:r>
    </w:p>
    <w:p>
      <w:pPr>
        <w:spacing w:after="0" w:line="48" w:lineRule="exact"/>
        <w:rPr>
          <w:rFonts w:ascii="MS PGothic" w:cs="MS PGothic" w:eastAsia="MS PGothic" w:hAnsi="MS PGothic"/>
          <w:sz w:val="29"/>
          <w:szCs w:val="29"/>
          <w:color w:val="C8102E"/>
          <w:vertAlign w:val="superscript"/>
        </w:rPr>
      </w:pPr>
    </w:p>
    <w:p>
      <w:pPr>
        <w:ind w:left="324" w:hanging="324"/>
        <w:spacing w:after="0"/>
        <w:tabs>
          <w:tab w:leader="none" w:pos="324" w:val="left"/>
        </w:tabs>
        <w:numPr>
          <w:ilvl w:val="0"/>
          <w:numId w:val="70"/>
        </w:numPr>
        <w:rPr>
          <w:rFonts w:ascii="MS PGothic" w:cs="MS PGothic" w:eastAsia="MS PGothic" w:hAnsi="MS PGothic"/>
          <w:sz w:val="29"/>
          <w:szCs w:val="29"/>
          <w:color w:val="C8102E"/>
          <w:vertAlign w:val="superscript"/>
        </w:rPr>
      </w:pPr>
      <w:r>
        <w:rPr>
          <w:rFonts w:ascii="Arial" w:cs="Arial" w:eastAsia="Arial" w:hAnsi="Arial"/>
          <w:sz w:val="16"/>
          <w:szCs w:val="16"/>
          <w:color w:val="auto"/>
        </w:rPr>
        <w:t>The experience and performance record of the executive</w:t>
      </w:r>
    </w:p>
    <w:p>
      <w:pPr>
        <w:spacing w:after="0" w:line="138" w:lineRule="exact"/>
        <w:rPr>
          <w:rFonts w:ascii="MS PGothic" w:cs="MS PGothic" w:eastAsia="MS PGothic" w:hAnsi="MS PGothic"/>
          <w:sz w:val="29"/>
          <w:szCs w:val="29"/>
          <w:color w:val="C8102E"/>
          <w:vertAlign w:val="superscript"/>
        </w:rPr>
      </w:pPr>
    </w:p>
    <w:p>
      <w:pPr>
        <w:ind w:left="324" w:hanging="324"/>
        <w:spacing w:after="0" w:line="183" w:lineRule="auto"/>
        <w:tabs>
          <w:tab w:leader="none" w:pos="324" w:val="left"/>
        </w:tabs>
        <w:numPr>
          <w:ilvl w:val="0"/>
          <w:numId w:val="70"/>
        </w:numPr>
        <w:rPr>
          <w:rFonts w:ascii="MS PGothic" w:cs="MS PGothic" w:eastAsia="MS PGothic" w:hAnsi="MS PGothic"/>
          <w:sz w:val="26"/>
          <w:szCs w:val="26"/>
          <w:color w:val="C8102E"/>
          <w:vertAlign w:val="superscript"/>
        </w:rPr>
      </w:pPr>
      <w:r>
        <w:rPr>
          <w:rFonts w:ascii="Arial" w:cs="Arial" w:eastAsia="Arial" w:hAnsi="Arial"/>
          <w:sz w:val="15"/>
          <w:szCs w:val="15"/>
          <w:color w:val="auto"/>
        </w:rPr>
        <w:t>The Company’s operational and financial performance</w:t>
      </w:r>
    </w:p>
    <w:p>
      <w:pPr>
        <w:spacing w:after="0" w:line="152" w:lineRule="exact"/>
        <w:rPr>
          <w:rFonts w:ascii="MS PGothic" w:cs="MS PGothic" w:eastAsia="MS PGothic" w:hAnsi="MS PGothic"/>
          <w:sz w:val="26"/>
          <w:szCs w:val="26"/>
          <w:color w:val="C8102E"/>
          <w:vertAlign w:val="superscript"/>
        </w:rPr>
      </w:pPr>
    </w:p>
    <w:p>
      <w:pPr>
        <w:ind w:left="324" w:hanging="324"/>
        <w:spacing w:after="0" w:line="183" w:lineRule="auto"/>
        <w:tabs>
          <w:tab w:leader="none" w:pos="324" w:val="left"/>
        </w:tabs>
        <w:numPr>
          <w:ilvl w:val="0"/>
          <w:numId w:val="70"/>
        </w:numPr>
        <w:rPr>
          <w:rFonts w:ascii="MS PGothic" w:cs="MS PGothic" w:eastAsia="MS PGothic" w:hAnsi="MS PGothic"/>
          <w:sz w:val="26"/>
          <w:szCs w:val="26"/>
          <w:color w:val="C8102E"/>
          <w:vertAlign w:val="superscript"/>
        </w:rPr>
      </w:pPr>
      <w:r>
        <w:rPr>
          <w:rFonts w:ascii="Arial" w:cs="Arial" w:eastAsia="Arial" w:hAnsi="Arial"/>
          <w:sz w:val="15"/>
          <w:szCs w:val="15"/>
          <w:color w:val="auto"/>
        </w:rPr>
        <w:t>The executive’s leadership potential</w:t>
      </w:r>
    </w:p>
    <w:p>
      <w:pPr>
        <w:spacing w:after="0" w:line="139" w:lineRule="exact"/>
        <w:rPr>
          <w:rFonts w:ascii="MS PGothic" w:cs="MS PGothic" w:eastAsia="MS PGothic" w:hAnsi="MS PGothic"/>
          <w:sz w:val="26"/>
          <w:szCs w:val="26"/>
          <w:color w:val="C8102E"/>
          <w:vertAlign w:val="superscript"/>
        </w:rPr>
      </w:pPr>
    </w:p>
    <w:p>
      <w:pPr>
        <w:ind w:left="324" w:hanging="324"/>
        <w:spacing w:after="0" w:line="183" w:lineRule="auto"/>
        <w:tabs>
          <w:tab w:leader="none" w:pos="324" w:val="left"/>
        </w:tabs>
        <w:numPr>
          <w:ilvl w:val="0"/>
          <w:numId w:val="70"/>
        </w:numPr>
        <w:rPr>
          <w:rFonts w:ascii="MS PGothic" w:cs="MS PGothic" w:eastAsia="MS PGothic" w:hAnsi="MS PGothic"/>
          <w:sz w:val="26"/>
          <w:szCs w:val="26"/>
          <w:color w:val="C8102E"/>
          <w:vertAlign w:val="superscript"/>
        </w:rPr>
      </w:pPr>
      <w:r>
        <w:rPr>
          <w:rFonts w:ascii="Arial" w:cs="Arial" w:eastAsia="Arial" w:hAnsi="Arial"/>
          <w:sz w:val="15"/>
          <w:szCs w:val="15"/>
          <w:color w:val="auto"/>
        </w:rPr>
        <w:t>The retention value of our compensation program over time</w:t>
      </w:r>
    </w:p>
    <w:p>
      <w:pPr>
        <w:spacing w:after="0" w:line="126" w:lineRule="exact"/>
        <w:rPr>
          <w:sz w:val="20"/>
          <w:szCs w:val="20"/>
          <w:color w:val="auto"/>
        </w:rPr>
      </w:pPr>
    </w:p>
    <w:p>
      <w:pPr>
        <w:jc w:val="both"/>
        <w:ind w:left="4" w:right="20"/>
        <w:spacing w:after="0" w:line="220" w:lineRule="auto"/>
        <w:rPr>
          <w:sz w:val="20"/>
          <w:szCs w:val="20"/>
          <w:color w:val="auto"/>
        </w:rPr>
      </w:pPr>
      <w:r>
        <w:rPr>
          <w:rFonts w:ascii="Arial" w:cs="Arial" w:eastAsia="Arial" w:hAnsi="Arial"/>
          <w:sz w:val="16"/>
          <w:szCs w:val="16"/>
          <w:color w:val="auto"/>
        </w:rPr>
        <w:t>Further, a substantial percentage of compensation under our Annual Incentive Plan is determined solely by the achievement of annual performance criteria based on Board-approved financial and operational goals for the fiscal year. These goals are then incorporated into the metrics set for our AIP and approved by the CHCM Committee, as further discussed under “Bonus Calculation and Payment—Financial and Operational Metrics and 2025 Performance Results” on page 33. We believe that this link to our Board-established corporate and business goals reinforces alignment and incentivizes breakthrough results both at the business-unit level and Company-wide.</w:t>
      </w:r>
    </w:p>
    <w:p>
      <w:pPr>
        <w:spacing w:after="0" w:line="97" w:lineRule="exact"/>
        <w:rPr>
          <w:sz w:val="20"/>
          <w:szCs w:val="20"/>
          <w:color w:val="auto"/>
        </w:rPr>
      </w:pPr>
    </w:p>
    <w:p>
      <w:pPr>
        <w:ind w:left="4"/>
        <w:spacing w:after="0"/>
        <w:rPr>
          <w:sz w:val="20"/>
          <w:szCs w:val="20"/>
          <w:color w:val="auto"/>
        </w:rPr>
      </w:pPr>
      <w:r>
        <w:rPr>
          <w:rFonts w:ascii="Arial" w:cs="Arial" w:eastAsia="Arial" w:hAnsi="Arial"/>
          <w:sz w:val="32"/>
          <w:szCs w:val="32"/>
          <w:b w:val="1"/>
          <w:bCs w:val="1"/>
          <w:color w:val="C8102E"/>
        </w:rPr>
        <w:t>Elements of Our 2025 Executive Compensation Program</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23"/>
          <w:szCs w:val="23"/>
          <w:color w:val="auto"/>
        </w:rPr>
        <w:t>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-164465</wp:posOffset>
            </wp:positionV>
            <wp:extent cx="699516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23495</wp:posOffset>
            </wp:positionV>
            <wp:extent cx="69951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2" w:lineRule="exact"/>
        <w:rPr>
          <w:sz w:val="20"/>
          <w:szCs w:val="20"/>
          <w:color w:val="auto"/>
        </w:rPr>
      </w:pPr>
    </w:p>
    <w:p>
      <w:pPr>
        <w:jc w:val="both"/>
        <w:ind w:left="4" w:right="20"/>
        <w:spacing w:after="0" w:line="219" w:lineRule="auto"/>
        <w:rPr>
          <w:sz w:val="20"/>
          <w:szCs w:val="20"/>
          <w:color w:val="auto"/>
        </w:rPr>
      </w:pPr>
      <w:r>
        <w:rPr>
          <w:rFonts w:ascii="Arial" w:cs="Arial" w:eastAsia="Arial" w:hAnsi="Arial"/>
          <w:sz w:val="16"/>
          <w:szCs w:val="16"/>
          <w:color w:val="auto"/>
        </w:rPr>
        <w:t>Base salaries are designed to provide compensation that is market competitive so that we can attract the best qualified individuals and retain our senior management. Base salaries are established at an executive’s hire and generally reviewed annually for potential increases. In February 2025, the CHCM Committee set the salary levels for each of our NEOs based on the CHCM Committee’s assessment of the relative roles and responsibilities of management and the results of their individual performance assessments, combined with perspective from competitive compensation data prepared by FW Cook and the CHCM Committee’s reasoned business judgment. A nominal base salary increase was approved for each of Mr. Berry, Mr. Pryor, Ms. Lang and Mr. Ross based on the CHCM Committee’s review of their performance as described by Mr. Trerotola, as well as compensation data of our peer group companies (with the input of FW Cook). and a general evaluation of competitive external market conditions for recruiting and retaining talent. A comparison of base salary levels as of December 31, 2025 and 2024 is set forth below:</w:t>
      </w:r>
    </w:p>
    <w:p>
      <w:pPr>
        <w:spacing w:after="0" w:line="107" w:lineRule="exact"/>
        <w:rPr>
          <w:sz w:val="20"/>
          <w:szCs w:val="20"/>
          <w:color w:val="auto"/>
        </w:rPr>
      </w:pPr>
    </w:p>
    <w:tbl>
      <w:tblPr>
        <w:tblLayout w:type="fixed"/>
        <w:tblInd w:w="4" w:type="dxa"/>
        <w:tblCellMar>
          <w:top w:w="0" w:type="dxa"/>
          <w:left w:w="0" w:type="dxa"/>
          <w:bottom w:w="0" w:type="dxa"/>
          <w:right w:w="0" w:type="dxa"/>
        </w:tblCellMar>
      </w:tblPr>
      <w:tr>
        <w:trPr>
          <w:trHeight w:val="184"/>
        </w:trPr>
        <w:tc>
          <w:tcPr>
            <w:tcW w:w="37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b w:val="1"/>
                <w:bCs w:val="1"/>
                <w:color w:val="C8102E"/>
              </w:rPr>
              <w:t>2024</w:t>
            </w:r>
          </w:p>
        </w:tc>
        <w:tc>
          <w:tcPr>
            <w:tcW w:w="560" w:type="dxa"/>
            <w:vAlign w:val="bottom"/>
          </w:tcPr>
          <w:p>
            <w:pPr>
              <w:spacing w:after="0"/>
              <w:rPr>
                <w:sz w:val="16"/>
                <w:szCs w:val="16"/>
                <w:color w:val="auto"/>
              </w:rPr>
            </w:pPr>
          </w:p>
        </w:tc>
        <w:tc>
          <w:tcPr>
            <w:tcW w:w="1780" w:type="dxa"/>
            <w:vAlign w:val="bottom"/>
          </w:tcPr>
          <w:p>
            <w:pPr>
              <w:jc w:val="right"/>
              <w:ind w:right="459"/>
              <w:spacing w:after="0"/>
              <w:rPr>
                <w:sz w:val="20"/>
                <w:szCs w:val="20"/>
                <w:color w:val="auto"/>
              </w:rPr>
            </w:pPr>
            <w:r>
              <w:rPr>
                <w:rFonts w:ascii="Arial" w:cs="Arial" w:eastAsia="Arial" w:hAnsi="Arial"/>
                <w:sz w:val="16"/>
                <w:szCs w:val="16"/>
                <w:b w:val="1"/>
                <w:bCs w:val="1"/>
                <w:color w:val="C8102E"/>
              </w:rPr>
              <w:t>2025</w:t>
            </w:r>
          </w:p>
        </w:tc>
        <w:tc>
          <w:tcPr>
            <w:tcW w:w="158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C8102E"/>
              </w:rPr>
              <w:t>Percentage</w:t>
            </w:r>
          </w:p>
        </w:tc>
        <w:tc>
          <w:tcPr>
            <w:tcW w:w="0" w:type="dxa"/>
            <w:vAlign w:val="bottom"/>
          </w:tcPr>
          <w:p>
            <w:pPr>
              <w:spacing w:after="0"/>
              <w:rPr>
                <w:sz w:val="1"/>
                <w:szCs w:val="1"/>
                <w:color w:val="auto"/>
              </w:rPr>
            </w:pPr>
          </w:p>
        </w:tc>
      </w:tr>
      <w:tr>
        <w:trPr>
          <w:trHeight w:val="162"/>
        </w:trPr>
        <w:tc>
          <w:tcPr>
            <w:tcW w:w="3740" w:type="dxa"/>
            <w:vAlign w:val="bottom"/>
            <w:vMerge w:val="restart"/>
          </w:tcPr>
          <w:p>
            <w:pPr>
              <w:ind w:left="80"/>
              <w:spacing w:after="0"/>
              <w:rPr>
                <w:sz w:val="20"/>
                <w:szCs w:val="20"/>
                <w:color w:val="auto"/>
              </w:rPr>
            </w:pPr>
            <w:r>
              <w:rPr>
                <w:rFonts w:ascii="Arial" w:cs="Arial" w:eastAsia="Arial" w:hAnsi="Arial"/>
                <w:sz w:val="16"/>
                <w:szCs w:val="16"/>
                <w:b w:val="1"/>
                <w:bCs w:val="1"/>
                <w:color w:val="C8102E"/>
              </w:rPr>
              <w:t>Named Executive Officer</w:t>
            </w:r>
          </w:p>
        </w:tc>
        <w:tc>
          <w:tcPr>
            <w:tcW w:w="2060" w:type="dxa"/>
            <w:vAlign w:val="bottom"/>
          </w:tcPr>
          <w:p>
            <w:pPr>
              <w:spacing w:after="0"/>
              <w:rPr>
                <w:sz w:val="14"/>
                <w:szCs w:val="14"/>
                <w:color w:val="auto"/>
              </w:rPr>
            </w:pPr>
          </w:p>
        </w:tc>
        <w:tc>
          <w:tcPr>
            <w:tcW w:w="1300" w:type="dxa"/>
            <w:vAlign w:val="bottom"/>
          </w:tcPr>
          <w:p>
            <w:pPr>
              <w:jc w:val="right"/>
              <w:ind w:right="99"/>
              <w:spacing w:after="0" w:line="162" w:lineRule="exact"/>
              <w:rPr>
                <w:sz w:val="20"/>
                <w:szCs w:val="20"/>
                <w:color w:val="auto"/>
              </w:rPr>
            </w:pPr>
            <w:r>
              <w:rPr>
                <w:rFonts w:ascii="Arial" w:cs="Arial" w:eastAsia="Arial" w:hAnsi="Arial"/>
                <w:sz w:val="16"/>
                <w:szCs w:val="16"/>
                <w:b w:val="1"/>
                <w:bCs w:val="1"/>
                <w:color w:val="C8102E"/>
              </w:rPr>
              <w:t>Annual</w:t>
            </w:r>
          </w:p>
        </w:tc>
        <w:tc>
          <w:tcPr>
            <w:tcW w:w="560" w:type="dxa"/>
            <w:vAlign w:val="bottom"/>
          </w:tcPr>
          <w:p>
            <w:pPr>
              <w:spacing w:after="0"/>
              <w:rPr>
                <w:sz w:val="14"/>
                <w:szCs w:val="14"/>
                <w:color w:val="auto"/>
              </w:rPr>
            </w:pPr>
          </w:p>
        </w:tc>
        <w:tc>
          <w:tcPr>
            <w:tcW w:w="1780" w:type="dxa"/>
            <w:vAlign w:val="bottom"/>
          </w:tcPr>
          <w:p>
            <w:pPr>
              <w:jc w:val="right"/>
              <w:ind w:right="459"/>
              <w:spacing w:after="0" w:line="162" w:lineRule="exact"/>
              <w:rPr>
                <w:sz w:val="20"/>
                <w:szCs w:val="20"/>
                <w:color w:val="auto"/>
              </w:rPr>
            </w:pPr>
            <w:r>
              <w:rPr>
                <w:rFonts w:ascii="Arial" w:cs="Arial" w:eastAsia="Arial" w:hAnsi="Arial"/>
                <w:sz w:val="16"/>
                <w:szCs w:val="16"/>
                <w:b w:val="1"/>
                <w:bCs w:val="1"/>
                <w:color w:val="C8102E"/>
              </w:rPr>
              <w:t>Annual</w:t>
            </w:r>
          </w:p>
        </w:tc>
        <w:tc>
          <w:tcPr>
            <w:tcW w:w="1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740" w:type="dxa"/>
            <w:vAlign w:val="bottom"/>
            <w:tcBorders>
              <w:bottom w:val="single" w:sz="8" w:color="auto"/>
            </w:tcBorders>
            <w:vMerge w:val="continue"/>
          </w:tcPr>
          <w:p>
            <w:pPr>
              <w:spacing w:after="0"/>
              <w:rPr>
                <w:sz w:val="16"/>
                <w:szCs w:val="16"/>
                <w:color w:val="auto"/>
              </w:rPr>
            </w:pPr>
          </w:p>
        </w:tc>
        <w:tc>
          <w:tcPr>
            <w:tcW w:w="20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C8102E"/>
              </w:rPr>
              <w:t>Base Salary</w:t>
            </w:r>
          </w:p>
        </w:tc>
        <w:tc>
          <w:tcPr>
            <w:tcW w:w="5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C8102E"/>
              </w:rPr>
              <w:t>Base Salary</w:t>
            </w:r>
          </w:p>
        </w:tc>
        <w:tc>
          <w:tcPr>
            <w:tcW w:w="15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C8102E"/>
              </w:rPr>
              <w:t>Increase</w:t>
            </w:r>
          </w:p>
        </w:tc>
        <w:tc>
          <w:tcPr>
            <w:tcW w:w="0" w:type="dxa"/>
            <w:vAlign w:val="bottom"/>
          </w:tcPr>
          <w:p>
            <w:pPr>
              <w:spacing w:after="0"/>
              <w:rPr>
                <w:sz w:val="1"/>
                <w:szCs w:val="1"/>
                <w:color w:val="auto"/>
              </w:rPr>
            </w:pPr>
          </w:p>
        </w:tc>
      </w:tr>
      <w:tr>
        <w:trPr>
          <w:trHeight w:val="196"/>
        </w:trPr>
        <w:tc>
          <w:tcPr>
            <w:tcW w:w="3740" w:type="dxa"/>
            <w:vAlign w:val="bottom"/>
            <w:shd w:val="clear" w:color="auto" w:fill="EDEDEE"/>
          </w:tcPr>
          <w:p>
            <w:pPr>
              <w:ind w:left="60"/>
              <w:spacing w:after="0"/>
              <w:rPr>
                <w:sz w:val="20"/>
                <w:szCs w:val="20"/>
                <w:color w:val="auto"/>
              </w:rPr>
            </w:pPr>
            <w:r>
              <w:rPr>
                <w:rFonts w:ascii="Arial" w:cs="Arial" w:eastAsia="Arial" w:hAnsi="Arial"/>
                <w:sz w:val="16"/>
                <w:szCs w:val="16"/>
                <w:b w:val="1"/>
                <w:bCs w:val="1"/>
                <w:color w:val="auto"/>
              </w:rPr>
              <w:t>Mr. McDonald</w:t>
            </w:r>
          </w:p>
        </w:tc>
        <w:tc>
          <w:tcPr>
            <w:tcW w:w="2060" w:type="dxa"/>
            <w:vAlign w:val="bottom"/>
            <w:shd w:val="clear" w:color="auto" w:fill="EDEDEE"/>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EDEDEE"/>
          </w:tcPr>
          <w:p>
            <w:pPr>
              <w:jc w:val="right"/>
              <w:ind w:right="99"/>
              <w:spacing w:after="0"/>
              <w:rPr>
                <w:sz w:val="20"/>
                <w:szCs w:val="20"/>
                <w:color w:val="auto"/>
              </w:rPr>
            </w:pPr>
            <w:r>
              <w:rPr>
                <w:rFonts w:ascii="Arial" w:cs="Arial" w:eastAsia="Arial" w:hAnsi="Arial"/>
                <w:sz w:val="16"/>
                <w:szCs w:val="16"/>
                <w:color w:val="auto"/>
              </w:rPr>
              <w:t>—</w:t>
            </w:r>
          </w:p>
        </w:tc>
        <w:tc>
          <w:tcPr>
            <w:tcW w:w="560" w:type="dxa"/>
            <w:vAlign w:val="bottom"/>
            <w:shd w:val="clear" w:color="auto" w:fill="EDEDEE"/>
          </w:tcPr>
          <w:p>
            <w:pPr>
              <w:jc w:val="right"/>
              <w:ind w:right="219"/>
              <w:spacing w:after="0"/>
              <w:rPr>
                <w:sz w:val="20"/>
                <w:szCs w:val="20"/>
                <w:color w:val="auto"/>
              </w:rPr>
            </w:pPr>
            <w:r>
              <w:rPr>
                <w:rFonts w:ascii="Arial" w:cs="Arial" w:eastAsia="Arial" w:hAnsi="Arial"/>
                <w:sz w:val="16"/>
                <w:szCs w:val="16"/>
                <w:color w:val="auto"/>
              </w:rPr>
              <w:t>$</w:t>
            </w:r>
          </w:p>
        </w:tc>
        <w:tc>
          <w:tcPr>
            <w:tcW w:w="1780" w:type="dxa"/>
            <w:vAlign w:val="bottom"/>
            <w:shd w:val="clear" w:color="auto" w:fill="EDEDEE"/>
          </w:tcPr>
          <w:p>
            <w:pPr>
              <w:jc w:val="right"/>
              <w:ind w:right="459"/>
              <w:spacing w:after="0"/>
              <w:rPr>
                <w:sz w:val="20"/>
                <w:szCs w:val="20"/>
                <w:color w:val="auto"/>
              </w:rPr>
            </w:pPr>
            <w:r>
              <w:rPr>
                <w:rFonts w:ascii="Arial" w:cs="Arial" w:eastAsia="Arial" w:hAnsi="Arial"/>
                <w:sz w:val="16"/>
                <w:szCs w:val="16"/>
                <w:color w:val="auto"/>
              </w:rPr>
              <w:t>1,000,000</w:t>
            </w:r>
          </w:p>
        </w:tc>
        <w:tc>
          <w:tcPr>
            <w:tcW w:w="1580" w:type="dxa"/>
            <w:vAlign w:val="bottom"/>
            <w:shd w:val="clear" w:color="auto" w:fill="EDEDEE"/>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40" w:type="dxa"/>
            <w:vAlign w:val="bottom"/>
          </w:tcPr>
          <w:p>
            <w:pPr>
              <w:ind w:left="60"/>
              <w:spacing w:after="0" w:line="216" w:lineRule="exact"/>
              <w:rPr>
                <w:sz w:val="20"/>
                <w:szCs w:val="20"/>
                <w:color w:val="auto"/>
              </w:rPr>
            </w:pPr>
            <w:r>
              <w:rPr>
                <w:rFonts w:ascii="Arial" w:cs="Arial" w:eastAsia="Arial" w:hAnsi="Arial"/>
                <w:sz w:val="16"/>
                <w:szCs w:val="16"/>
                <w:b w:val="1"/>
                <w:bCs w:val="1"/>
                <w:color w:val="auto"/>
              </w:rPr>
              <w:t>Mr. Trerotola</w:t>
            </w:r>
            <w:r>
              <w:rPr>
                <w:rFonts w:ascii="Arial" w:cs="Arial" w:eastAsia="Arial" w:hAnsi="Arial"/>
                <w:sz w:val="25"/>
                <w:szCs w:val="25"/>
                <w:b w:val="1"/>
                <w:bCs w:val="1"/>
                <w:color w:val="auto"/>
                <w:vertAlign w:val="superscript"/>
              </w:rPr>
              <w:t>(1)</w:t>
            </w:r>
          </w:p>
        </w:tc>
        <w:tc>
          <w:tcPr>
            <w:tcW w:w="20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1,077,000</w:t>
            </w:r>
          </w:p>
        </w:tc>
        <w:tc>
          <w:tcPr>
            <w:tcW w:w="5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459"/>
              <w:spacing w:after="0"/>
              <w:rPr>
                <w:sz w:val="20"/>
                <w:szCs w:val="20"/>
                <w:color w:val="auto"/>
              </w:rPr>
            </w:pPr>
            <w:r>
              <w:rPr>
                <w:rFonts w:ascii="Arial" w:cs="Arial" w:eastAsia="Arial" w:hAnsi="Arial"/>
                <w:sz w:val="16"/>
                <w:szCs w:val="16"/>
                <w:color w:val="auto"/>
              </w:rPr>
              <w:t>538,500</w:t>
            </w:r>
          </w:p>
        </w:tc>
        <w:tc>
          <w:tcPr>
            <w:tcW w:w="1580" w:type="dxa"/>
            <w:vAlign w:val="bottom"/>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162"/>
        </w:trPr>
        <w:tc>
          <w:tcPr>
            <w:tcW w:w="3740" w:type="dxa"/>
            <w:vAlign w:val="bottom"/>
            <w:shd w:val="clear" w:color="auto" w:fill="EDEDEE"/>
          </w:tcPr>
          <w:p>
            <w:pPr>
              <w:ind w:left="60"/>
              <w:spacing w:after="0" w:line="162" w:lineRule="exact"/>
              <w:rPr>
                <w:sz w:val="20"/>
                <w:szCs w:val="20"/>
                <w:color w:val="auto"/>
              </w:rPr>
            </w:pPr>
            <w:r>
              <w:rPr>
                <w:rFonts w:ascii="Arial" w:cs="Arial" w:eastAsia="Arial" w:hAnsi="Arial"/>
                <w:sz w:val="16"/>
                <w:szCs w:val="16"/>
                <w:b w:val="1"/>
                <w:bCs w:val="1"/>
                <w:color w:val="auto"/>
              </w:rPr>
              <w:t>Mr. Berry</w:t>
            </w:r>
          </w:p>
        </w:tc>
        <w:tc>
          <w:tcPr>
            <w:tcW w:w="2060" w:type="dxa"/>
            <w:vAlign w:val="bottom"/>
            <w:shd w:val="clear" w:color="auto" w:fill="EDEDEE"/>
          </w:tcPr>
          <w:p>
            <w:pPr>
              <w:jc w:val="right"/>
              <w:ind w:right="119"/>
              <w:spacing w:after="0" w:line="162" w:lineRule="exact"/>
              <w:rPr>
                <w:sz w:val="20"/>
                <w:szCs w:val="20"/>
                <w:color w:val="auto"/>
              </w:rPr>
            </w:pPr>
            <w:r>
              <w:rPr>
                <w:rFonts w:ascii="Arial" w:cs="Arial" w:eastAsia="Arial" w:hAnsi="Arial"/>
                <w:sz w:val="16"/>
                <w:szCs w:val="16"/>
                <w:color w:val="auto"/>
              </w:rPr>
              <w:t>$</w:t>
            </w:r>
          </w:p>
        </w:tc>
        <w:tc>
          <w:tcPr>
            <w:tcW w:w="1300" w:type="dxa"/>
            <w:vAlign w:val="bottom"/>
            <w:shd w:val="clear" w:color="auto" w:fill="EDEDEE"/>
          </w:tcPr>
          <w:p>
            <w:pPr>
              <w:jc w:val="right"/>
              <w:ind w:right="99"/>
              <w:spacing w:after="0" w:line="162" w:lineRule="exact"/>
              <w:rPr>
                <w:sz w:val="20"/>
                <w:szCs w:val="20"/>
                <w:color w:val="auto"/>
              </w:rPr>
            </w:pPr>
            <w:r>
              <w:rPr>
                <w:rFonts w:ascii="Arial" w:cs="Arial" w:eastAsia="Arial" w:hAnsi="Arial"/>
                <w:sz w:val="16"/>
                <w:szCs w:val="16"/>
                <w:color w:val="auto"/>
              </w:rPr>
              <w:t>590,000</w:t>
            </w:r>
          </w:p>
        </w:tc>
        <w:tc>
          <w:tcPr>
            <w:tcW w:w="560" w:type="dxa"/>
            <w:vAlign w:val="bottom"/>
            <w:shd w:val="clear" w:color="auto" w:fill="EDEDEE"/>
          </w:tcPr>
          <w:p>
            <w:pPr>
              <w:jc w:val="right"/>
              <w:ind w:right="219"/>
              <w:spacing w:after="0" w:line="162" w:lineRule="exact"/>
              <w:rPr>
                <w:sz w:val="20"/>
                <w:szCs w:val="20"/>
                <w:color w:val="auto"/>
              </w:rPr>
            </w:pPr>
            <w:r>
              <w:rPr>
                <w:rFonts w:ascii="Arial" w:cs="Arial" w:eastAsia="Arial" w:hAnsi="Arial"/>
                <w:sz w:val="16"/>
                <w:szCs w:val="16"/>
                <w:color w:val="auto"/>
              </w:rPr>
              <w:t>$</w:t>
            </w:r>
          </w:p>
        </w:tc>
        <w:tc>
          <w:tcPr>
            <w:tcW w:w="1780" w:type="dxa"/>
            <w:vAlign w:val="bottom"/>
            <w:shd w:val="clear" w:color="auto" w:fill="EDEDEE"/>
          </w:tcPr>
          <w:p>
            <w:pPr>
              <w:jc w:val="right"/>
              <w:ind w:right="459"/>
              <w:spacing w:after="0" w:line="162" w:lineRule="exact"/>
              <w:rPr>
                <w:sz w:val="20"/>
                <w:szCs w:val="20"/>
                <w:color w:val="auto"/>
              </w:rPr>
            </w:pPr>
            <w:r>
              <w:rPr>
                <w:rFonts w:ascii="Arial" w:cs="Arial" w:eastAsia="Arial" w:hAnsi="Arial"/>
                <w:sz w:val="16"/>
                <w:szCs w:val="16"/>
                <w:color w:val="auto"/>
              </w:rPr>
              <w:t>610,000</w:t>
            </w:r>
          </w:p>
        </w:tc>
        <w:tc>
          <w:tcPr>
            <w:tcW w:w="1580" w:type="dxa"/>
            <w:vAlign w:val="bottom"/>
            <w:shd w:val="clear" w:color="auto" w:fill="EDEDEE"/>
          </w:tcPr>
          <w:p>
            <w:pPr>
              <w:jc w:val="right"/>
              <w:spacing w:after="0" w:line="162" w:lineRule="exact"/>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62"/>
        </w:trPr>
        <w:tc>
          <w:tcPr>
            <w:tcW w:w="3740" w:type="dxa"/>
            <w:vAlign w:val="bottom"/>
          </w:tcPr>
          <w:p>
            <w:pPr>
              <w:ind w:left="60"/>
              <w:spacing w:after="0" w:line="162" w:lineRule="exact"/>
              <w:rPr>
                <w:sz w:val="20"/>
                <w:szCs w:val="20"/>
                <w:color w:val="auto"/>
              </w:rPr>
            </w:pPr>
            <w:r>
              <w:rPr>
                <w:rFonts w:ascii="Arial" w:cs="Arial" w:eastAsia="Arial" w:hAnsi="Arial"/>
                <w:sz w:val="16"/>
                <w:szCs w:val="16"/>
                <w:b w:val="1"/>
                <w:bCs w:val="1"/>
                <w:color w:val="auto"/>
              </w:rPr>
              <w:t>Mr. Pryor</w:t>
            </w:r>
          </w:p>
        </w:tc>
        <w:tc>
          <w:tcPr>
            <w:tcW w:w="2060" w:type="dxa"/>
            <w:vAlign w:val="bottom"/>
          </w:tcPr>
          <w:p>
            <w:pPr>
              <w:jc w:val="right"/>
              <w:ind w:right="119"/>
              <w:spacing w:after="0" w:line="162" w:lineRule="exact"/>
              <w:rPr>
                <w:sz w:val="20"/>
                <w:szCs w:val="20"/>
                <w:color w:val="auto"/>
              </w:rPr>
            </w:pPr>
            <w:r>
              <w:rPr>
                <w:rFonts w:ascii="Arial" w:cs="Arial" w:eastAsia="Arial" w:hAnsi="Arial"/>
                <w:sz w:val="16"/>
                <w:szCs w:val="16"/>
                <w:color w:val="auto"/>
              </w:rPr>
              <w:t>$</w:t>
            </w:r>
          </w:p>
        </w:tc>
        <w:tc>
          <w:tcPr>
            <w:tcW w:w="1300" w:type="dxa"/>
            <w:vAlign w:val="bottom"/>
          </w:tcPr>
          <w:p>
            <w:pPr>
              <w:jc w:val="right"/>
              <w:ind w:right="99"/>
              <w:spacing w:after="0" w:line="162" w:lineRule="exact"/>
              <w:rPr>
                <w:sz w:val="20"/>
                <w:szCs w:val="20"/>
                <w:color w:val="auto"/>
              </w:rPr>
            </w:pPr>
            <w:r>
              <w:rPr>
                <w:rFonts w:ascii="Arial" w:cs="Arial" w:eastAsia="Arial" w:hAnsi="Arial"/>
                <w:sz w:val="16"/>
                <w:szCs w:val="16"/>
                <w:color w:val="auto"/>
              </w:rPr>
              <w:t>600,000</w:t>
            </w:r>
          </w:p>
        </w:tc>
        <w:tc>
          <w:tcPr>
            <w:tcW w:w="560" w:type="dxa"/>
            <w:vAlign w:val="bottom"/>
          </w:tcPr>
          <w:p>
            <w:pPr>
              <w:jc w:val="right"/>
              <w:ind w:right="219"/>
              <w:spacing w:after="0" w:line="162" w:lineRule="exact"/>
              <w:rPr>
                <w:sz w:val="20"/>
                <w:szCs w:val="20"/>
                <w:color w:val="auto"/>
              </w:rPr>
            </w:pPr>
            <w:r>
              <w:rPr>
                <w:rFonts w:ascii="Arial" w:cs="Arial" w:eastAsia="Arial" w:hAnsi="Arial"/>
                <w:sz w:val="16"/>
                <w:szCs w:val="16"/>
                <w:color w:val="auto"/>
              </w:rPr>
              <w:t>$</w:t>
            </w:r>
          </w:p>
        </w:tc>
        <w:tc>
          <w:tcPr>
            <w:tcW w:w="1780" w:type="dxa"/>
            <w:vAlign w:val="bottom"/>
          </w:tcPr>
          <w:p>
            <w:pPr>
              <w:jc w:val="right"/>
              <w:ind w:right="459"/>
              <w:spacing w:after="0" w:line="162" w:lineRule="exact"/>
              <w:rPr>
                <w:sz w:val="20"/>
                <w:szCs w:val="20"/>
                <w:color w:val="auto"/>
              </w:rPr>
            </w:pPr>
            <w:r>
              <w:rPr>
                <w:rFonts w:ascii="Arial" w:cs="Arial" w:eastAsia="Arial" w:hAnsi="Arial"/>
                <w:sz w:val="16"/>
                <w:szCs w:val="16"/>
                <w:color w:val="auto"/>
              </w:rPr>
              <w:t>620,000</w:t>
            </w:r>
          </w:p>
        </w:tc>
        <w:tc>
          <w:tcPr>
            <w:tcW w:w="1580" w:type="dxa"/>
            <w:vAlign w:val="bottom"/>
          </w:tcPr>
          <w:p>
            <w:pPr>
              <w:jc w:val="right"/>
              <w:spacing w:after="0" w:line="162" w:lineRule="exact"/>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62"/>
        </w:trPr>
        <w:tc>
          <w:tcPr>
            <w:tcW w:w="3740" w:type="dxa"/>
            <w:vAlign w:val="bottom"/>
            <w:shd w:val="clear" w:color="auto" w:fill="EDEDEE"/>
          </w:tcPr>
          <w:p>
            <w:pPr>
              <w:ind w:left="60"/>
              <w:spacing w:after="0" w:line="162" w:lineRule="exact"/>
              <w:rPr>
                <w:sz w:val="20"/>
                <w:szCs w:val="20"/>
                <w:color w:val="auto"/>
              </w:rPr>
            </w:pPr>
            <w:r>
              <w:rPr>
                <w:rFonts w:ascii="Arial" w:cs="Arial" w:eastAsia="Arial" w:hAnsi="Arial"/>
                <w:sz w:val="16"/>
                <w:szCs w:val="16"/>
                <w:b w:val="1"/>
                <w:bCs w:val="1"/>
                <w:color w:val="auto"/>
              </w:rPr>
              <w:t>Mr. Ross</w:t>
            </w:r>
          </w:p>
        </w:tc>
        <w:tc>
          <w:tcPr>
            <w:tcW w:w="2060" w:type="dxa"/>
            <w:vAlign w:val="bottom"/>
            <w:shd w:val="clear" w:color="auto" w:fill="EDEDEE"/>
          </w:tcPr>
          <w:p>
            <w:pPr>
              <w:jc w:val="right"/>
              <w:ind w:right="119"/>
              <w:spacing w:after="0" w:line="162" w:lineRule="exact"/>
              <w:rPr>
                <w:sz w:val="20"/>
                <w:szCs w:val="20"/>
                <w:color w:val="auto"/>
              </w:rPr>
            </w:pPr>
            <w:r>
              <w:rPr>
                <w:rFonts w:ascii="Arial" w:cs="Arial" w:eastAsia="Arial" w:hAnsi="Arial"/>
                <w:sz w:val="16"/>
                <w:szCs w:val="16"/>
                <w:color w:val="auto"/>
              </w:rPr>
              <w:t>$</w:t>
            </w:r>
          </w:p>
        </w:tc>
        <w:tc>
          <w:tcPr>
            <w:tcW w:w="1300" w:type="dxa"/>
            <w:vAlign w:val="bottom"/>
            <w:shd w:val="clear" w:color="auto" w:fill="EDEDEE"/>
          </w:tcPr>
          <w:p>
            <w:pPr>
              <w:jc w:val="right"/>
              <w:ind w:right="99"/>
              <w:spacing w:after="0" w:line="162" w:lineRule="exact"/>
              <w:rPr>
                <w:sz w:val="20"/>
                <w:szCs w:val="20"/>
                <w:color w:val="auto"/>
              </w:rPr>
            </w:pPr>
            <w:r>
              <w:rPr>
                <w:rFonts w:ascii="Arial" w:cs="Arial" w:eastAsia="Arial" w:hAnsi="Arial"/>
                <w:sz w:val="16"/>
                <w:szCs w:val="16"/>
                <w:color w:val="auto"/>
              </w:rPr>
              <w:t>500,000</w:t>
            </w:r>
          </w:p>
        </w:tc>
        <w:tc>
          <w:tcPr>
            <w:tcW w:w="560" w:type="dxa"/>
            <w:vAlign w:val="bottom"/>
            <w:shd w:val="clear" w:color="auto" w:fill="EDEDEE"/>
          </w:tcPr>
          <w:p>
            <w:pPr>
              <w:jc w:val="right"/>
              <w:ind w:right="219"/>
              <w:spacing w:after="0" w:line="162" w:lineRule="exact"/>
              <w:rPr>
                <w:sz w:val="20"/>
                <w:szCs w:val="20"/>
                <w:color w:val="auto"/>
              </w:rPr>
            </w:pPr>
            <w:r>
              <w:rPr>
                <w:rFonts w:ascii="Arial" w:cs="Arial" w:eastAsia="Arial" w:hAnsi="Arial"/>
                <w:sz w:val="16"/>
                <w:szCs w:val="16"/>
                <w:color w:val="auto"/>
              </w:rPr>
              <w:t>$</w:t>
            </w:r>
          </w:p>
        </w:tc>
        <w:tc>
          <w:tcPr>
            <w:tcW w:w="1780" w:type="dxa"/>
            <w:vAlign w:val="bottom"/>
            <w:shd w:val="clear" w:color="auto" w:fill="EDEDEE"/>
          </w:tcPr>
          <w:p>
            <w:pPr>
              <w:jc w:val="right"/>
              <w:ind w:right="459"/>
              <w:spacing w:after="0" w:line="162" w:lineRule="exact"/>
              <w:rPr>
                <w:sz w:val="20"/>
                <w:szCs w:val="20"/>
                <w:color w:val="auto"/>
              </w:rPr>
            </w:pPr>
            <w:r>
              <w:rPr>
                <w:rFonts w:ascii="Arial" w:cs="Arial" w:eastAsia="Arial" w:hAnsi="Arial"/>
                <w:sz w:val="16"/>
                <w:szCs w:val="16"/>
                <w:color w:val="auto"/>
              </w:rPr>
              <w:t>520,000</w:t>
            </w:r>
          </w:p>
        </w:tc>
        <w:tc>
          <w:tcPr>
            <w:tcW w:w="1580" w:type="dxa"/>
            <w:vAlign w:val="bottom"/>
            <w:shd w:val="clear" w:color="auto" w:fill="EDEDEE"/>
          </w:tcPr>
          <w:p>
            <w:pPr>
              <w:jc w:val="right"/>
              <w:spacing w:after="0" w:line="162" w:lineRule="exact"/>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62"/>
        </w:trPr>
        <w:tc>
          <w:tcPr>
            <w:tcW w:w="3740" w:type="dxa"/>
            <w:vAlign w:val="bottom"/>
          </w:tcPr>
          <w:p>
            <w:pPr>
              <w:ind w:left="60"/>
              <w:spacing w:after="0" w:line="162" w:lineRule="exact"/>
              <w:rPr>
                <w:sz w:val="20"/>
                <w:szCs w:val="20"/>
                <w:color w:val="auto"/>
              </w:rPr>
            </w:pPr>
            <w:r>
              <w:rPr>
                <w:rFonts w:ascii="Arial" w:cs="Arial" w:eastAsia="Arial" w:hAnsi="Arial"/>
                <w:sz w:val="16"/>
                <w:szCs w:val="16"/>
                <w:b w:val="1"/>
                <w:bCs w:val="1"/>
                <w:color w:val="auto"/>
              </w:rPr>
              <w:t>Ms. Lang</w:t>
            </w:r>
          </w:p>
        </w:tc>
        <w:tc>
          <w:tcPr>
            <w:tcW w:w="2060" w:type="dxa"/>
            <w:vAlign w:val="bottom"/>
          </w:tcPr>
          <w:p>
            <w:pPr>
              <w:jc w:val="right"/>
              <w:ind w:right="119"/>
              <w:spacing w:after="0" w:line="162" w:lineRule="exact"/>
              <w:rPr>
                <w:sz w:val="20"/>
                <w:szCs w:val="20"/>
                <w:color w:val="auto"/>
              </w:rPr>
            </w:pPr>
            <w:r>
              <w:rPr>
                <w:rFonts w:ascii="Arial" w:cs="Arial" w:eastAsia="Arial" w:hAnsi="Arial"/>
                <w:sz w:val="16"/>
                <w:szCs w:val="16"/>
                <w:color w:val="auto"/>
              </w:rPr>
              <w:t>$</w:t>
            </w:r>
          </w:p>
        </w:tc>
        <w:tc>
          <w:tcPr>
            <w:tcW w:w="1300" w:type="dxa"/>
            <w:vAlign w:val="bottom"/>
          </w:tcPr>
          <w:p>
            <w:pPr>
              <w:jc w:val="right"/>
              <w:ind w:right="99"/>
              <w:spacing w:after="0" w:line="162" w:lineRule="exact"/>
              <w:rPr>
                <w:sz w:val="20"/>
                <w:szCs w:val="20"/>
                <w:color w:val="auto"/>
              </w:rPr>
            </w:pPr>
            <w:r>
              <w:rPr>
                <w:rFonts w:ascii="Arial" w:cs="Arial" w:eastAsia="Arial" w:hAnsi="Arial"/>
                <w:sz w:val="16"/>
                <w:szCs w:val="16"/>
                <w:color w:val="auto"/>
              </w:rPr>
              <w:t>495,000</w:t>
            </w:r>
          </w:p>
        </w:tc>
        <w:tc>
          <w:tcPr>
            <w:tcW w:w="560" w:type="dxa"/>
            <w:vAlign w:val="bottom"/>
          </w:tcPr>
          <w:p>
            <w:pPr>
              <w:jc w:val="right"/>
              <w:ind w:right="219"/>
              <w:spacing w:after="0" w:line="162" w:lineRule="exact"/>
              <w:rPr>
                <w:sz w:val="20"/>
                <w:szCs w:val="20"/>
                <w:color w:val="auto"/>
              </w:rPr>
            </w:pPr>
            <w:r>
              <w:rPr>
                <w:rFonts w:ascii="Arial" w:cs="Arial" w:eastAsia="Arial" w:hAnsi="Arial"/>
                <w:sz w:val="16"/>
                <w:szCs w:val="16"/>
                <w:color w:val="auto"/>
              </w:rPr>
              <w:t>$</w:t>
            </w:r>
          </w:p>
        </w:tc>
        <w:tc>
          <w:tcPr>
            <w:tcW w:w="1780" w:type="dxa"/>
            <w:vAlign w:val="bottom"/>
          </w:tcPr>
          <w:p>
            <w:pPr>
              <w:jc w:val="right"/>
              <w:ind w:right="459"/>
              <w:spacing w:after="0" w:line="162" w:lineRule="exact"/>
              <w:rPr>
                <w:sz w:val="20"/>
                <w:szCs w:val="20"/>
                <w:color w:val="auto"/>
              </w:rPr>
            </w:pPr>
            <w:r>
              <w:rPr>
                <w:rFonts w:ascii="Arial" w:cs="Arial" w:eastAsia="Arial" w:hAnsi="Arial"/>
                <w:sz w:val="16"/>
                <w:szCs w:val="16"/>
                <w:color w:val="auto"/>
              </w:rPr>
              <w:t>505,000</w:t>
            </w:r>
          </w:p>
        </w:tc>
        <w:tc>
          <w:tcPr>
            <w:tcW w:w="1580" w:type="dxa"/>
            <w:vAlign w:val="bottom"/>
          </w:tcPr>
          <w:p>
            <w:pPr>
              <w:jc w:val="right"/>
              <w:spacing w:after="0" w:line="162" w:lineRule="exact"/>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62"/>
        </w:trPr>
        <w:tc>
          <w:tcPr>
            <w:tcW w:w="3740" w:type="dxa"/>
            <w:vAlign w:val="bottom"/>
            <w:shd w:val="clear" w:color="auto" w:fill="EDEDEE"/>
          </w:tcPr>
          <w:p>
            <w:pPr>
              <w:ind w:left="60"/>
              <w:spacing w:after="0" w:line="162" w:lineRule="exact"/>
              <w:rPr>
                <w:sz w:val="20"/>
                <w:szCs w:val="20"/>
                <w:color w:val="auto"/>
              </w:rPr>
            </w:pPr>
            <w:r>
              <w:rPr>
                <w:rFonts w:ascii="Arial" w:cs="Arial" w:eastAsia="Arial" w:hAnsi="Arial"/>
                <w:sz w:val="16"/>
                <w:szCs w:val="16"/>
                <w:b w:val="1"/>
                <w:bCs w:val="1"/>
                <w:color w:val="auto"/>
              </w:rPr>
              <w:t>Mr. Vogt</w:t>
            </w:r>
          </w:p>
        </w:tc>
        <w:tc>
          <w:tcPr>
            <w:tcW w:w="2060" w:type="dxa"/>
            <w:vAlign w:val="bottom"/>
            <w:shd w:val="clear" w:color="auto" w:fill="EDEDEE"/>
          </w:tcPr>
          <w:p>
            <w:pPr>
              <w:jc w:val="right"/>
              <w:ind w:right="119"/>
              <w:spacing w:after="0" w:line="162" w:lineRule="exact"/>
              <w:rPr>
                <w:sz w:val="20"/>
                <w:szCs w:val="20"/>
                <w:color w:val="auto"/>
              </w:rPr>
            </w:pPr>
            <w:r>
              <w:rPr>
                <w:rFonts w:ascii="Arial" w:cs="Arial" w:eastAsia="Arial" w:hAnsi="Arial"/>
                <w:sz w:val="16"/>
                <w:szCs w:val="16"/>
                <w:color w:val="auto"/>
              </w:rPr>
              <w:t>$</w:t>
            </w:r>
          </w:p>
        </w:tc>
        <w:tc>
          <w:tcPr>
            <w:tcW w:w="1300" w:type="dxa"/>
            <w:vAlign w:val="bottom"/>
            <w:shd w:val="clear" w:color="auto" w:fill="EDEDEE"/>
          </w:tcPr>
          <w:p>
            <w:pPr>
              <w:jc w:val="right"/>
              <w:ind w:right="99"/>
              <w:spacing w:after="0" w:line="162" w:lineRule="exact"/>
              <w:rPr>
                <w:sz w:val="20"/>
                <w:szCs w:val="20"/>
                <w:color w:val="auto"/>
              </w:rPr>
            </w:pPr>
            <w:r>
              <w:rPr>
                <w:rFonts w:ascii="Arial" w:cs="Arial" w:eastAsia="Arial" w:hAnsi="Arial"/>
                <w:sz w:val="16"/>
                <w:szCs w:val="16"/>
                <w:color w:val="auto"/>
              </w:rPr>
              <w:t>500,000</w:t>
            </w:r>
          </w:p>
        </w:tc>
        <w:tc>
          <w:tcPr>
            <w:tcW w:w="560" w:type="dxa"/>
            <w:vAlign w:val="bottom"/>
            <w:shd w:val="clear" w:color="auto" w:fill="EDEDEE"/>
          </w:tcPr>
          <w:p>
            <w:pPr>
              <w:jc w:val="right"/>
              <w:ind w:right="219"/>
              <w:spacing w:after="0" w:line="162" w:lineRule="exact"/>
              <w:rPr>
                <w:sz w:val="20"/>
                <w:szCs w:val="20"/>
                <w:color w:val="auto"/>
              </w:rPr>
            </w:pPr>
            <w:r>
              <w:rPr>
                <w:rFonts w:ascii="Arial" w:cs="Arial" w:eastAsia="Arial" w:hAnsi="Arial"/>
                <w:sz w:val="16"/>
                <w:szCs w:val="16"/>
                <w:color w:val="auto"/>
              </w:rPr>
              <w:t>$</w:t>
            </w:r>
          </w:p>
        </w:tc>
        <w:tc>
          <w:tcPr>
            <w:tcW w:w="1780" w:type="dxa"/>
            <w:vAlign w:val="bottom"/>
            <w:shd w:val="clear" w:color="auto" w:fill="EDEDEE"/>
          </w:tcPr>
          <w:p>
            <w:pPr>
              <w:jc w:val="right"/>
              <w:ind w:right="459"/>
              <w:spacing w:after="0" w:line="162" w:lineRule="exact"/>
              <w:rPr>
                <w:sz w:val="20"/>
                <w:szCs w:val="20"/>
                <w:color w:val="auto"/>
              </w:rPr>
            </w:pPr>
            <w:r>
              <w:rPr>
                <w:rFonts w:ascii="Arial" w:cs="Arial" w:eastAsia="Arial" w:hAnsi="Arial"/>
                <w:sz w:val="16"/>
                <w:szCs w:val="16"/>
                <w:color w:val="auto"/>
              </w:rPr>
              <w:t>500,000</w:t>
            </w:r>
          </w:p>
        </w:tc>
        <w:tc>
          <w:tcPr>
            <w:tcW w:w="1580" w:type="dxa"/>
            <w:vAlign w:val="bottom"/>
            <w:shd w:val="clear" w:color="auto" w:fill="EDEDEE"/>
          </w:tcPr>
          <w:p>
            <w:pPr>
              <w:jc w:val="right"/>
              <w:ind w:right="79"/>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24" w:hanging="324"/>
        <w:spacing w:after="0"/>
        <w:tabs>
          <w:tab w:leader="none" w:pos="324" w:val="left"/>
        </w:tabs>
        <w:numPr>
          <w:ilvl w:val="0"/>
          <w:numId w:val="71"/>
        </w:numPr>
        <w:rPr>
          <w:rFonts w:ascii="Arial" w:cs="Arial" w:eastAsia="Arial" w:hAnsi="Arial"/>
          <w:sz w:val="14"/>
          <w:szCs w:val="14"/>
          <w:color w:val="auto"/>
        </w:rPr>
      </w:pPr>
      <w:r>
        <w:rPr>
          <w:rFonts w:ascii="Arial" w:cs="Arial" w:eastAsia="Arial" w:hAnsi="Arial"/>
          <w:sz w:val="14"/>
          <w:szCs w:val="14"/>
          <w:color w:val="auto"/>
        </w:rPr>
        <w:t>Mr. Trerotola’s base salary was reduced by 50% effective as of May 12, 2025 in connection with his transition to an Executive Advisor role.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6755130</wp:posOffset>
            </wp:positionH>
            <wp:positionV relativeFrom="paragraph">
              <wp:posOffset>118110</wp:posOffset>
            </wp:positionV>
            <wp:extent cx="17145" cy="3175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7145" cy="317500"/>
                    </a:xfrm>
                    <a:prstGeom prst="rect">
                      <a:avLst/>
                    </a:prstGeom>
                    <a:noFill/>
                  </pic:spPr>
                </pic:pic>
              </a:graphicData>
            </a:graphic>
          </wp:anchor>
        </w:drawing>
      </w:r>
    </w:p>
    <w:p>
      <w:pPr>
        <w:spacing w:after="0" w:line="166" w:lineRule="exact"/>
        <w:rPr>
          <w:sz w:val="20"/>
          <w:szCs w:val="20"/>
          <w:color w:val="auto"/>
        </w:rPr>
      </w:pPr>
    </w:p>
    <w:p>
      <w:pPr>
        <w:ind w:left="7524"/>
        <w:spacing w:after="0"/>
        <w:tabs>
          <w:tab w:leader="none" w:pos="10804" w:val="left"/>
        </w:tabs>
        <w:rPr>
          <w:sz w:val="20"/>
          <w:szCs w:val="20"/>
          <w:color w:val="auto"/>
        </w:rPr>
      </w:pPr>
      <w:r>
        <w:rPr>
          <w:sz w:val="1"/>
          <w:szCs w:val="1"/>
          <w:color w:val="auto"/>
        </w:rPr>
        <w:drawing>
          <wp:inline distT="0" distB="0" distL="0" distR="0">
            <wp:extent cx="685800" cy="163195"/>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0" cy="163195"/>
                    </a:xfrm>
                    <a:prstGeom prst="rect">
                      <a:avLst/>
                    </a:prstGeom>
                    <a:noFill/>
                    <a:ln>
                      <a:noFill/>
                    </a:ln>
                  </pic:spPr>
                </pic:pic>
              </a:graphicData>
            </a:graphic>
          </wp:inline>
        </w:drawing>
      </w:r>
      <w:r>
        <w:rPr>
          <w:rFonts w:ascii="Arial" w:cs="Arial" w:eastAsia="Arial" w:hAnsi="Arial"/>
          <w:sz w:val="18"/>
          <w:szCs w:val="18"/>
          <w:color w:val="auto"/>
        </w:rPr>
        <w:t xml:space="preserve"> - 2026 Proxy Statement</w:t>
      </w:r>
      <w:r>
        <w:rPr>
          <w:sz w:val="20"/>
          <w:szCs w:val="20"/>
          <w:color w:val="auto"/>
        </w:rPr>
        <w:tab/>
      </w: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9516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649" w:right="439" w:bottom="1440" w:gutter="0" w:footer="0" w:header="0"/>
        </w:sectPr>
      </w:pPr>
    </w:p>
    <w:bookmarkStart w:id="37" w:name="page38"/>
    <w:bookmarkEnd w:id="37"/>
    <w:p>
      <w:pPr>
        <w:ind w:left="4"/>
        <w:spacing w:after="0"/>
        <w:rPr>
          <w:sz w:val="20"/>
          <w:szCs w:val="20"/>
          <w:color w:val="auto"/>
        </w:rPr>
      </w:pPr>
      <w:r>
        <w:rPr>
          <w:rFonts w:ascii="Arial" w:cs="Arial" w:eastAsia="Arial" w:hAnsi="Arial"/>
          <w:sz w:val="23"/>
          <w:szCs w:val="23"/>
          <w:color w:val="auto"/>
        </w:rPr>
        <w:drawing>
          <wp:anchor simplePos="0" relativeHeight="251657728" behindDoc="1" locked="0" layoutInCell="0" allowOverlap="1">
            <wp:simplePos x="0" y="0"/>
            <wp:positionH relativeFrom="page">
              <wp:posOffset>276860</wp:posOffset>
            </wp:positionH>
            <wp:positionV relativeFrom="page">
              <wp:posOffset>457200</wp:posOffset>
            </wp:positionV>
            <wp:extent cx="699516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95160" cy="8255"/>
                    </a:xfrm>
                    <a:prstGeom prst="rect">
                      <a:avLst/>
                    </a:prstGeom>
                    <a:noFill/>
                  </pic:spPr>
                </pic:pic>
              </a:graphicData>
            </a:graphic>
          </wp:anchor>
        </w:drawing>
        <w:t> Annual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9951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729" w:right="439" w:bottom="1440" w:gutter="0" w:footer="0" w:header="0"/>
        </w:sectPr>
      </w:pPr>
    </w:p>
    <w:p>
      <w:pPr>
        <w:spacing w:after="0" w:line="212" w:lineRule="exact"/>
        <w:rPr>
          <w:sz w:val="20"/>
          <w:szCs w:val="20"/>
          <w:color w:val="auto"/>
        </w:rPr>
      </w:pPr>
    </w:p>
    <w:p>
      <w:pPr>
        <w:jc w:val="both"/>
        <w:ind w:left="4"/>
        <w:spacing w:after="0" w:line="228" w:lineRule="auto"/>
        <w:rPr>
          <w:sz w:val="20"/>
          <w:szCs w:val="20"/>
          <w:color w:val="auto"/>
        </w:rPr>
      </w:pPr>
      <w:r>
        <w:rPr>
          <w:rFonts w:ascii="Arial" w:cs="Arial" w:eastAsia="Arial" w:hAnsi="Arial"/>
          <w:sz w:val="16"/>
          <w:szCs w:val="16"/>
          <w:color w:val="auto"/>
        </w:rPr>
        <w:t>The goal of our AIP is to reward our executives for achievement in key areas of Company operational and financial performance as well as each executive’s individual contributions to Company success. Our NEOs are eligible to receive a cash incentive payment that is expressed as a percentage of the executive’s base salary (i.e., “target bonus”) under the AIP. Performance measures include corporate and individual performance against pre-established financial and operational metrics approved by the CHCM Committee at the beginning of the fiscal year.</w:t>
      </w:r>
    </w:p>
    <w:p>
      <w:pPr>
        <w:spacing w:after="0" w:line="111" w:lineRule="exact"/>
        <w:rPr>
          <w:sz w:val="20"/>
          <w:szCs w:val="20"/>
          <w:color w:val="auto"/>
        </w:rPr>
      </w:pPr>
    </w:p>
    <w:p>
      <w:pPr>
        <w:jc w:val="both"/>
        <w:ind w:left="4" w:right="20"/>
        <w:spacing w:after="0" w:line="225" w:lineRule="auto"/>
        <w:rPr>
          <w:sz w:val="20"/>
          <w:szCs w:val="20"/>
          <w:color w:val="auto"/>
        </w:rPr>
      </w:pPr>
      <w:r>
        <w:rPr>
          <w:rFonts w:ascii="Arial" w:cs="Arial" w:eastAsia="Arial" w:hAnsi="Arial"/>
          <w:sz w:val="16"/>
          <w:szCs w:val="16"/>
          <w:color w:val="auto"/>
        </w:rPr>
        <w:t>These performance metrics established by the CHCM Committee for business leaders reflect both Company-wide and business-specific performance targets and result in a company performance factor (“CPF”). The amount payable for each NEO under the AIP can be adjusted upward or downward based on the individual performance factor (“IPF”), which is linked to specific, individualized business goals for each NEO. Actual bonus amounts are determined following completion of the performance year and are based on performance relative to these pre-established business and individual goals using the following formulas: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1748790</wp:posOffset>
            </wp:positionH>
            <wp:positionV relativeFrom="paragraph">
              <wp:posOffset>95885</wp:posOffset>
            </wp:positionV>
            <wp:extent cx="3497580" cy="1423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97580"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left="4"/>
        <w:spacing w:after="0" w:line="234" w:lineRule="auto"/>
        <w:rPr>
          <w:sz w:val="20"/>
          <w:szCs w:val="20"/>
          <w:color w:val="auto"/>
        </w:rPr>
      </w:pPr>
      <w:r>
        <w:rPr>
          <w:rFonts w:ascii="Arial" w:cs="Arial" w:eastAsia="Arial" w:hAnsi="Arial"/>
          <w:sz w:val="16"/>
          <w:szCs w:val="16"/>
          <w:color w:val="auto"/>
        </w:rPr>
        <w:t>Executives can achieve a payout percentage of their target bonus ranging from zero for below-threshold performance, 50% for threshold performance, and up to a maximum of 200%, with 100% target goal achievement resulting in 100% payout of the individual’s target bonus for that performance metric, based on the extent to which objective pre-established financial and operational performance goals are achieved.</w:t>
      </w:r>
    </w:p>
    <w:p>
      <w:pPr>
        <w:spacing w:after="0" w:line="110" w:lineRule="exact"/>
        <w:rPr>
          <w:sz w:val="20"/>
          <w:szCs w:val="20"/>
          <w:color w:val="auto"/>
        </w:rPr>
      </w:pPr>
    </w:p>
    <w:p>
      <w:pPr>
        <w:jc w:val="both"/>
        <w:ind w:left="4" w:right="20"/>
        <w:spacing w:after="0" w:line="228" w:lineRule="auto"/>
        <w:rPr>
          <w:sz w:val="20"/>
          <w:szCs w:val="20"/>
          <w:color w:val="auto"/>
        </w:rPr>
      </w:pPr>
      <w:r>
        <w:rPr>
          <w:rFonts w:ascii="Arial" w:cs="Arial" w:eastAsia="Arial" w:hAnsi="Arial"/>
          <w:sz w:val="16"/>
          <w:szCs w:val="16"/>
          <w:color w:val="auto"/>
        </w:rPr>
        <w:t>The total amount earned is subject to adjustment based on individual achievement as measured by an IPF. The IPF is a multiplier that ranges from 0 to 1.5 (subject to an overall payout cap of 250% of the target bonus). The IPF rating is based on individual performance against pre-established objectives and the embodiment of our Company’s core values and behaviors. The IPF and key performance indicators include both financial and non-financial Company objectives over which the executive has primary control.</w:t>
      </w:r>
    </w:p>
    <w:p>
      <w:pPr>
        <w:spacing w:after="0" w:line="111" w:lineRule="exact"/>
        <w:rPr>
          <w:sz w:val="20"/>
          <w:szCs w:val="20"/>
          <w:color w:val="auto"/>
        </w:rPr>
      </w:pPr>
    </w:p>
    <w:p>
      <w:pPr>
        <w:jc w:val="both"/>
        <w:ind w:left="4" w:right="20"/>
        <w:spacing w:after="0" w:line="251" w:lineRule="auto"/>
        <w:rPr>
          <w:sz w:val="20"/>
          <w:szCs w:val="20"/>
          <w:color w:val="auto"/>
        </w:rPr>
      </w:pPr>
      <w:r>
        <w:rPr>
          <w:rFonts w:ascii="Arial" w:cs="Arial" w:eastAsia="Arial" w:hAnsi="Arial"/>
          <w:sz w:val="16"/>
          <w:szCs w:val="16"/>
          <w:color w:val="auto"/>
        </w:rPr>
        <w:t>Detail regarding the individual components of these formulas for fiscal year 2025, including a calculation of the payout percentages and description of the IPF component, follows below.</w:t>
      </w:r>
    </w:p>
    <w:p>
      <w:pPr>
        <w:spacing w:after="0" w:line="11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C8102E"/>
        </w:rPr>
        <w:t>Key Executive Team Achievements</w:t>
      </w:r>
    </w:p>
    <w:p>
      <w:pPr>
        <w:spacing w:after="0" w:line="87" w:lineRule="exact"/>
        <w:rPr>
          <w:sz w:val="20"/>
          <w:szCs w:val="20"/>
          <w:color w:val="auto"/>
        </w:rPr>
      </w:pPr>
    </w:p>
    <w:p>
      <w:pPr>
        <w:ind w:left="324" w:hanging="324"/>
        <w:spacing w:after="0"/>
        <w:tabs>
          <w:tab w:leader="none" w:pos="324" w:val="left"/>
        </w:tabs>
        <w:numPr>
          <w:ilvl w:val="0"/>
          <w:numId w:val="72"/>
        </w:numPr>
        <w:rPr>
          <w:rFonts w:ascii="MS PGothic" w:cs="MS PGothic" w:eastAsia="MS PGothic" w:hAnsi="MS PGothic"/>
          <w:sz w:val="29"/>
          <w:szCs w:val="29"/>
          <w:color w:val="C8102E"/>
          <w:vertAlign w:val="superscript"/>
        </w:rPr>
      </w:pPr>
      <w:r>
        <w:rPr>
          <w:rFonts w:ascii="Arial" w:cs="Arial" w:eastAsia="Arial" w:hAnsi="Arial"/>
          <w:sz w:val="16"/>
          <w:szCs w:val="16"/>
          <w:color w:val="auto"/>
        </w:rPr>
        <w:t>Continued commercial momentum with strong sales growth (7% reported, 6% on an organic basis) with net sales in Recon growing</w:t>
      </w:r>
    </w:p>
    <w:p>
      <w:pPr>
        <w:spacing w:after="0" w:line="138" w:lineRule="exact"/>
        <w:rPr>
          <w:rFonts w:ascii="MS PGothic" w:cs="MS PGothic" w:eastAsia="MS PGothic" w:hAnsi="MS PGothic"/>
          <w:sz w:val="29"/>
          <w:szCs w:val="29"/>
          <w:color w:val="C8102E"/>
          <w:vertAlign w:val="superscript"/>
        </w:rPr>
      </w:pPr>
    </w:p>
    <w:p>
      <w:pPr>
        <w:ind w:left="324" w:right="20" w:hanging="324"/>
        <w:spacing w:after="0" w:line="182" w:lineRule="auto"/>
        <w:tabs>
          <w:tab w:leader="none" w:pos="324" w:val="left"/>
        </w:tabs>
        <w:numPr>
          <w:ilvl w:val="0"/>
          <w:numId w:val="72"/>
        </w:numPr>
        <w:rPr>
          <w:rFonts w:ascii="MS PGothic" w:cs="MS PGothic" w:eastAsia="MS PGothic" w:hAnsi="MS PGothic"/>
          <w:sz w:val="29"/>
          <w:szCs w:val="29"/>
          <w:color w:val="C8102E"/>
          <w:vertAlign w:val="superscript"/>
        </w:rPr>
      </w:pPr>
      <w:r>
        <w:rPr>
          <w:rFonts w:ascii="Arial" w:cs="Arial" w:eastAsia="Arial" w:hAnsi="Arial"/>
          <w:sz w:val="16"/>
          <w:szCs w:val="16"/>
          <w:color w:val="auto"/>
        </w:rPr>
        <w:t>Delivered above-market organic growth with sustainable year-over-year operating improvements which included positive free cash flow and debt reduction</w:t>
      </w:r>
    </w:p>
    <w:p>
      <w:pPr>
        <w:spacing w:after="0" w:line="48" w:lineRule="exact"/>
        <w:rPr>
          <w:rFonts w:ascii="MS PGothic" w:cs="MS PGothic" w:eastAsia="MS PGothic" w:hAnsi="MS PGothic"/>
          <w:sz w:val="29"/>
          <w:szCs w:val="29"/>
          <w:color w:val="C8102E"/>
          <w:vertAlign w:val="superscript"/>
        </w:rPr>
      </w:pPr>
    </w:p>
    <w:p>
      <w:pPr>
        <w:ind w:left="324" w:hanging="324"/>
        <w:spacing w:after="0"/>
        <w:tabs>
          <w:tab w:leader="none" w:pos="324" w:val="left"/>
        </w:tabs>
        <w:numPr>
          <w:ilvl w:val="0"/>
          <w:numId w:val="72"/>
        </w:numPr>
        <w:rPr>
          <w:rFonts w:ascii="MS PGothic" w:cs="MS PGothic" w:eastAsia="MS PGothic" w:hAnsi="MS PGothic"/>
          <w:sz w:val="29"/>
          <w:szCs w:val="29"/>
          <w:color w:val="C8102E"/>
          <w:vertAlign w:val="superscript"/>
        </w:rPr>
      </w:pPr>
      <w:r>
        <w:rPr>
          <w:rFonts w:ascii="Arial" w:cs="Arial" w:eastAsia="Arial" w:hAnsi="Arial"/>
          <w:sz w:val="16"/>
          <w:szCs w:val="16"/>
          <w:color w:val="auto"/>
        </w:rPr>
        <w:t>Advanced second-year LimaCorporate S.p.A. integration priorities</w:t>
      </w:r>
    </w:p>
    <w:p>
      <w:pPr>
        <w:spacing w:after="0" w:line="152" w:lineRule="exact"/>
        <w:rPr>
          <w:rFonts w:ascii="MS PGothic" w:cs="MS PGothic" w:eastAsia="MS PGothic" w:hAnsi="MS PGothic"/>
          <w:sz w:val="29"/>
          <w:szCs w:val="29"/>
          <w:color w:val="C8102E"/>
          <w:vertAlign w:val="superscript"/>
        </w:rPr>
      </w:pPr>
    </w:p>
    <w:p>
      <w:pPr>
        <w:ind w:left="324" w:right="20" w:hanging="324"/>
        <w:spacing w:after="0" w:line="182" w:lineRule="auto"/>
        <w:tabs>
          <w:tab w:leader="none" w:pos="324" w:val="left"/>
        </w:tabs>
        <w:numPr>
          <w:ilvl w:val="0"/>
          <w:numId w:val="72"/>
        </w:numPr>
        <w:rPr>
          <w:rFonts w:ascii="MS PGothic" w:cs="MS PGothic" w:eastAsia="MS PGothic" w:hAnsi="MS PGothic"/>
          <w:sz w:val="29"/>
          <w:szCs w:val="29"/>
          <w:color w:val="C8102E"/>
          <w:vertAlign w:val="superscript"/>
        </w:rPr>
      </w:pPr>
      <w:r>
        <w:rPr>
          <w:rFonts w:ascii="Arial" w:cs="Arial" w:eastAsia="Arial" w:hAnsi="Arial"/>
          <w:sz w:val="16"/>
          <w:szCs w:val="16"/>
          <w:color w:val="auto"/>
        </w:rPr>
        <w:t>Significantly improved safety performance, resulting in a 15% reduction in reportable incidents and a 24% improvement in the Company’s total recordable incident rate</w:t>
      </w:r>
    </w:p>
    <w:p>
      <w:pPr>
        <w:spacing w:after="0" w:line="124" w:lineRule="exact"/>
        <w:rPr>
          <w:rFonts w:ascii="MS PGothic" w:cs="MS PGothic" w:eastAsia="MS PGothic" w:hAnsi="MS PGothic"/>
          <w:sz w:val="29"/>
          <w:szCs w:val="29"/>
          <w:color w:val="C8102E"/>
          <w:vertAlign w:val="superscript"/>
        </w:rPr>
      </w:pPr>
    </w:p>
    <w:p>
      <w:pPr>
        <w:ind w:left="324" w:right="20" w:hanging="324"/>
        <w:spacing w:after="0" w:line="190" w:lineRule="auto"/>
        <w:tabs>
          <w:tab w:leader="none" w:pos="324" w:val="left"/>
        </w:tabs>
        <w:numPr>
          <w:ilvl w:val="0"/>
          <w:numId w:val="72"/>
        </w:numPr>
        <w:rPr>
          <w:rFonts w:ascii="MS PGothic" w:cs="MS PGothic" w:eastAsia="MS PGothic" w:hAnsi="MS PGothic"/>
          <w:sz w:val="29"/>
          <w:szCs w:val="29"/>
          <w:color w:val="C8102E"/>
          <w:vertAlign w:val="superscript"/>
        </w:rPr>
      </w:pPr>
      <w:r>
        <w:rPr>
          <w:rFonts w:ascii="Arial" w:cs="Arial" w:eastAsia="Arial" w:hAnsi="Arial"/>
          <w:sz w:val="16"/>
          <w:szCs w:val="16"/>
          <w:color w:val="auto"/>
        </w:rPr>
        <w:t>Successfully launched several new products, including ManaFuse within the Company’s P&amp;R segment and the Nebula hip stem and OrthoDrive surgical impactor in our Reconstructive segment</w:t>
      </w:r>
    </w:p>
    <w:p>
      <w:pPr>
        <w:spacing w:after="0" w:line="48" w:lineRule="exact"/>
        <w:rPr>
          <w:rFonts w:ascii="MS PGothic" w:cs="MS PGothic" w:eastAsia="MS PGothic" w:hAnsi="MS PGothic"/>
          <w:sz w:val="29"/>
          <w:szCs w:val="29"/>
          <w:color w:val="C8102E"/>
          <w:vertAlign w:val="superscript"/>
        </w:rPr>
      </w:pPr>
    </w:p>
    <w:p>
      <w:pPr>
        <w:ind w:left="324" w:hanging="324"/>
        <w:spacing w:after="0"/>
        <w:tabs>
          <w:tab w:leader="none" w:pos="324" w:val="left"/>
        </w:tabs>
        <w:numPr>
          <w:ilvl w:val="0"/>
          <w:numId w:val="72"/>
        </w:numPr>
        <w:rPr>
          <w:rFonts w:ascii="MS PGothic" w:cs="MS PGothic" w:eastAsia="MS PGothic" w:hAnsi="MS PGothic"/>
          <w:sz w:val="29"/>
          <w:szCs w:val="29"/>
          <w:color w:val="C8102E"/>
          <w:vertAlign w:val="superscript"/>
        </w:rPr>
      </w:pPr>
      <w:r>
        <w:rPr>
          <w:rFonts w:ascii="Arial" w:cs="Arial" w:eastAsia="Arial" w:hAnsi="Arial"/>
          <w:sz w:val="16"/>
          <w:szCs w:val="16"/>
          <w:color w:val="auto"/>
        </w:rPr>
        <w:t>Maintained a strong Company-wide employee engagement score of 81%</w:t>
      </w:r>
    </w:p>
    <w:p>
      <w:pPr>
        <w:spacing w:after="0" w:line="152" w:lineRule="exact"/>
        <w:rPr>
          <w:rFonts w:ascii="MS PGothic" w:cs="MS PGothic" w:eastAsia="MS PGothic" w:hAnsi="MS PGothic"/>
          <w:sz w:val="29"/>
          <w:szCs w:val="29"/>
          <w:color w:val="C8102E"/>
          <w:vertAlign w:val="superscript"/>
        </w:rPr>
      </w:pPr>
    </w:p>
    <w:p>
      <w:pPr>
        <w:ind w:left="324" w:hanging="324"/>
        <w:spacing w:after="0" w:line="183" w:lineRule="auto"/>
        <w:tabs>
          <w:tab w:leader="none" w:pos="324" w:val="left"/>
        </w:tabs>
        <w:numPr>
          <w:ilvl w:val="0"/>
          <w:numId w:val="72"/>
        </w:numPr>
        <w:rPr>
          <w:rFonts w:ascii="MS PGothic" w:cs="MS PGothic" w:eastAsia="MS PGothic" w:hAnsi="MS PGothic"/>
          <w:sz w:val="26"/>
          <w:szCs w:val="26"/>
          <w:color w:val="C8102E"/>
          <w:vertAlign w:val="superscript"/>
        </w:rPr>
      </w:pPr>
      <w:r>
        <w:rPr>
          <w:rFonts w:ascii="Arial" w:cs="Arial" w:eastAsia="Arial" w:hAnsi="Arial"/>
          <w:sz w:val="15"/>
          <w:szCs w:val="15"/>
          <w:color w:val="auto"/>
        </w:rPr>
        <w:t>Leveraged the Company’s EGX tools to drive efficiency and productivity to offset impacts of inflation and tariffs</w:t>
      </w:r>
    </w:p>
    <w:p>
      <w:pPr>
        <w:spacing w:after="0" w:line="146" w:lineRule="exact"/>
        <w:rPr>
          <w:sz w:val="20"/>
          <w:szCs w:val="20"/>
          <w:color w:val="auto"/>
        </w:rPr>
      </w:pPr>
    </w:p>
    <w:p>
      <w:pPr>
        <w:ind w:left="4"/>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-127635</wp:posOffset>
            </wp:positionV>
            <wp:extent cx="762635" cy="3860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2635" cy="386080"/>
                    </a:xfrm>
                    <a:prstGeom prst="rect">
                      <a:avLst/>
                    </a:prstGeom>
                    <a:noFill/>
                  </pic:spPr>
                </pic:pic>
              </a:graphicData>
            </a:graphic>
          </wp:anchor>
        </w:drawing>
      </w:r>
    </w:p>
    <w:p>
      <w:pPr>
        <w:ind w:left="1584"/>
        <w:spacing w:after="0"/>
        <w:rPr>
          <w:sz w:val="20"/>
          <w:szCs w:val="20"/>
          <w:color w:val="auto"/>
        </w:rPr>
      </w:pPr>
      <w:r>
        <w:rPr>
          <w:rFonts w:ascii="Arial" w:cs="Arial" w:eastAsia="Arial" w:hAnsi="Arial"/>
          <w:sz w:val="18"/>
          <w:szCs w:val="18"/>
          <w:color w:val="auto"/>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699516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729" w:right="439" w:bottom="1440" w:gutter="0" w:footer="0" w:header="0"/>
          <w:type w:val="continuous"/>
        </w:sectPr>
      </w:pPr>
    </w:p>
    <w:bookmarkStart w:id="38" w:name="page39"/>
    <w:bookmarkEnd w:id="38"/>
    <w:p>
      <w:pPr>
        <w:ind w:left="4"/>
        <w:spacing w:after="0"/>
        <w:rPr>
          <w:sz w:val="20"/>
          <w:szCs w:val="20"/>
          <w:color w:val="auto"/>
        </w:rPr>
      </w:pPr>
      <w:r>
        <w:rPr>
          <w:rFonts w:ascii="Arial" w:cs="Arial" w:eastAsia="Arial" w:hAnsi="Arial"/>
          <w:sz w:val="20"/>
          <w:szCs w:val="20"/>
          <w:b w:val="1"/>
          <w:bCs w:val="1"/>
          <w:color w:val="auto"/>
        </w:rPr>
        <w:t>Bonus Calculation and Payment – Financial and Operational Metrics and 2025 Performance Results</w:t>
      </w:r>
    </w:p>
    <w:p>
      <w:pPr>
        <w:spacing w:after="0" w:line="117" w:lineRule="exact"/>
        <w:rPr>
          <w:sz w:val="20"/>
          <w:szCs w:val="20"/>
          <w:color w:val="auto"/>
        </w:rPr>
      </w:pPr>
    </w:p>
    <w:p>
      <w:pPr>
        <w:jc w:val="both"/>
        <w:ind w:left="4" w:right="20"/>
        <w:spacing w:after="0" w:line="234" w:lineRule="auto"/>
        <w:rPr>
          <w:sz w:val="20"/>
          <w:szCs w:val="20"/>
          <w:color w:val="auto"/>
        </w:rPr>
      </w:pPr>
      <w:r>
        <w:rPr>
          <w:rFonts w:ascii="Arial" w:cs="Arial" w:eastAsia="Arial" w:hAnsi="Arial"/>
          <w:sz w:val="16"/>
          <w:szCs w:val="16"/>
          <w:color w:val="auto"/>
        </w:rPr>
        <w:t>For our NEOs, in 2025 we utilized financial targets based on net sales (as adjusted), and adjusted EBITDA for the Company performance factors. Performance targets were based upon Board-approved operational and financial goals for 2025 and represented significant progress in each category toward the achievement of the Company’s long-term growth objectives and aligned with the Board-approved corporate budget.</w:t>
      </w:r>
    </w:p>
    <w:p>
      <w:pPr>
        <w:spacing w:after="0" w:line="96" w:lineRule="exact"/>
        <w:rPr>
          <w:sz w:val="20"/>
          <w:szCs w:val="20"/>
          <w:color w:val="auto"/>
        </w:rPr>
      </w:pPr>
    </w:p>
    <w:tbl>
      <w:tblPr>
        <w:tblLayout w:type="fixed"/>
        <w:tblInd w:w="4" w:type="dxa"/>
        <w:tblCellMar>
          <w:top w:w="0" w:type="dxa"/>
          <w:left w:w="0" w:type="dxa"/>
          <w:bottom w:w="0" w:type="dxa"/>
          <w:right w:w="0" w:type="dxa"/>
        </w:tblCellMar>
      </w:tblPr>
      <w:tr>
        <w:trPr>
          <w:trHeight w:val="215"/>
        </w:trPr>
        <w:tc>
          <w:tcPr>
            <w:tcW w:w="9540" w:type="dxa"/>
            <w:vAlign w:val="bottom"/>
          </w:tcPr>
          <w:p>
            <w:pPr>
              <w:spacing w:after="0"/>
              <w:rPr>
                <w:sz w:val="20"/>
                <w:szCs w:val="20"/>
                <w:color w:val="auto"/>
              </w:rPr>
            </w:pPr>
            <w:r>
              <w:rPr>
                <w:rFonts w:ascii="Arial" w:cs="Arial" w:eastAsia="Arial" w:hAnsi="Arial"/>
                <w:sz w:val="16"/>
                <w:szCs w:val="16"/>
                <w:color w:val="auto"/>
              </w:rPr>
              <w:t>The financial and operational performance measures and corresponding weightings of these metrics for 2025 were as follows:</w:t>
            </w:r>
          </w:p>
        </w:tc>
        <w:tc>
          <w:tcPr>
            <w:tcW w:w="1480" w:type="dxa"/>
            <w:vAlign w:val="bottom"/>
          </w:tcPr>
          <w:p>
            <w:pPr>
              <w:spacing w:after="0"/>
              <w:rPr>
                <w:sz w:val="18"/>
                <w:szCs w:val="18"/>
                <w:color w:val="auto"/>
              </w:rPr>
            </w:pPr>
          </w:p>
        </w:tc>
      </w:tr>
      <w:tr>
        <w:trPr>
          <w:trHeight w:val="286"/>
        </w:trPr>
        <w:tc>
          <w:tcPr>
            <w:tcW w:w="95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C8102E"/>
              </w:rPr>
              <w:t> Measure</w:t>
            </w:r>
          </w:p>
        </w:tc>
        <w:tc>
          <w:tcPr>
            <w:tcW w:w="1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C8102E"/>
              </w:rPr>
              <w:t>Weighting</w:t>
            </w:r>
          </w:p>
        </w:tc>
      </w:tr>
      <w:tr>
        <w:trPr>
          <w:trHeight w:val="223"/>
        </w:trPr>
        <w:tc>
          <w:tcPr>
            <w:tcW w:w="9540" w:type="dxa"/>
            <w:vAlign w:val="bottom"/>
            <w:shd w:val="clear" w:color="auto" w:fill="EDEDEE"/>
          </w:tcPr>
          <w:p>
            <w:pPr>
              <w:spacing w:after="0" w:line="223" w:lineRule="exact"/>
              <w:rPr>
                <w:sz w:val="20"/>
                <w:szCs w:val="20"/>
                <w:color w:val="auto"/>
              </w:rPr>
            </w:pPr>
            <w:r>
              <w:rPr>
                <w:rFonts w:ascii="Arial" w:cs="Arial" w:eastAsia="Arial" w:hAnsi="Arial"/>
                <w:sz w:val="16"/>
                <w:szCs w:val="16"/>
                <w:b w:val="1"/>
                <w:bCs w:val="1"/>
                <w:color w:val="auto"/>
              </w:rPr>
              <w:t> Net sales (as adjusted)</w:t>
            </w:r>
            <w:r>
              <w:rPr>
                <w:rFonts w:ascii="Arial" w:cs="Arial" w:eastAsia="Arial" w:hAnsi="Arial"/>
                <w:sz w:val="20"/>
                <w:szCs w:val="20"/>
                <w:b w:val="1"/>
                <w:bCs w:val="1"/>
                <w:color w:val="auto"/>
                <w:vertAlign w:val="superscript"/>
              </w:rPr>
              <w:t>(1)(3)</w:t>
            </w:r>
          </w:p>
        </w:tc>
        <w:tc>
          <w:tcPr>
            <w:tcW w:w="1480" w:type="dxa"/>
            <w:vAlign w:val="bottom"/>
            <w:shd w:val="clear" w:color="auto" w:fill="EDEDEE"/>
          </w:tcPr>
          <w:p>
            <w:pPr>
              <w:jc w:val="right"/>
              <w:spacing w:after="0"/>
              <w:rPr>
                <w:sz w:val="20"/>
                <w:szCs w:val="20"/>
                <w:color w:val="auto"/>
              </w:rPr>
            </w:pPr>
            <w:r>
              <w:rPr>
                <w:rFonts w:ascii="Arial" w:cs="Arial" w:eastAsia="Arial" w:hAnsi="Arial"/>
                <w:sz w:val="16"/>
                <w:szCs w:val="16"/>
                <w:color w:val="auto"/>
              </w:rPr>
              <w:t>      40%</w:t>
            </w:r>
          </w:p>
        </w:tc>
      </w:tr>
      <w:tr>
        <w:trPr>
          <w:trHeight w:val="285"/>
        </w:trPr>
        <w:tc>
          <w:tcPr>
            <w:tcW w:w="9540" w:type="dxa"/>
            <w:vAlign w:val="bottom"/>
          </w:tcPr>
          <w:p>
            <w:pPr>
              <w:spacing w:after="0"/>
              <w:rPr>
                <w:sz w:val="20"/>
                <w:szCs w:val="20"/>
                <w:color w:val="auto"/>
              </w:rPr>
            </w:pPr>
            <w:r>
              <w:rPr>
                <w:rFonts w:ascii="Arial" w:cs="Arial" w:eastAsia="Arial" w:hAnsi="Arial"/>
                <w:sz w:val="16"/>
                <w:szCs w:val="16"/>
                <w:b w:val="1"/>
                <w:bCs w:val="1"/>
                <w:color w:val="auto"/>
              </w:rPr>
              <w:t> Adjusted EBITDA</w:t>
            </w:r>
            <w:r>
              <w:rPr>
                <w:rFonts w:ascii="Arial" w:cs="Arial" w:eastAsia="Arial" w:hAnsi="Arial"/>
                <w:sz w:val="20"/>
                <w:szCs w:val="20"/>
                <w:b w:val="1"/>
                <w:bCs w:val="1"/>
                <w:color w:val="auto"/>
                <w:vertAlign w:val="superscript"/>
              </w:rPr>
              <w:t>(2)(3)</w:t>
            </w:r>
          </w:p>
        </w:tc>
        <w:tc>
          <w:tcPr>
            <w:tcW w:w="1480" w:type="dxa"/>
            <w:vAlign w:val="bottom"/>
          </w:tcPr>
          <w:p>
            <w:pPr>
              <w:jc w:val="right"/>
              <w:spacing w:after="0"/>
              <w:rPr>
                <w:sz w:val="20"/>
                <w:szCs w:val="20"/>
                <w:color w:val="auto"/>
              </w:rPr>
            </w:pPr>
            <w:r>
              <w:rPr>
                <w:rFonts w:ascii="Arial" w:cs="Arial" w:eastAsia="Arial" w:hAnsi="Arial"/>
                <w:sz w:val="16"/>
                <w:szCs w:val="16"/>
                <w:color w:val="auto"/>
              </w:rPr>
              <w:t>60%</w:t>
            </w:r>
          </w:p>
        </w:tc>
      </w:tr>
    </w:tbl>
    <w:p>
      <w:pPr>
        <w:spacing w:after="0" w:line="56" w:lineRule="exact"/>
        <w:rPr>
          <w:sz w:val="20"/>
          <w:szCs w:val="20"/>
          <w:color w:val="auto"/>
        </w:rPr>
      </w:pPr>
    </w:p>
    <w:p>
      <w:pPr>
        <w:ind w:left="324" w:right="20" w:hanging="324"/>
        <w:spacing w:after="0" w:line="264" w:lineRule="auto"/>
        <w:tabs>
          <w:tab w:leader="none" w:pos="324" w:val="left"/>
        </w:tabs>
        <w:numPr>
          <w:ilvl w:val="0"/>
          <w:numId w:val="73"/>
        </w:numPr>
        <w:rPr>
          <w:rFonts w:ascii="Arial" w:cs="Arial" w:eastAsia="Arial" w:hAnsi="Arial"/>
          <w:sz w:val="14"/>
          <w:szCs w:val="14"/>
          <w:color w:val="auto"/>
        </w:rPr>
      </w:pPr>
      <w:r>
        <w:rPr>
          <w:rFonts w:ascii="Arial" w:cs="Arial" w:eastAsia="Arial" w:hAnsi="Arial"/>
          <w:sz w:val="14"/>
          <w:szCs w:val="14"/>
          <w:color w:val="auto"/>
        </w:rPr>
        <w:t>Net sales performance is measured by comparing (a) the actual US GAAP sales excluding unbudgeted acquisitions versus (b) the target sales adjusted for changes in currency translation exchange rates in order to create a constant currency view. Targets are adjusted for unbudgeted divested and discontinued operations.</w:t>
      </w:r>
    </w:p>
    <w:p>
      <w:pPr>
        <w:spacing w:after="0" w:line="145" w:lineRule="exact"/>
        <w:rPr>
          <w:rFonts w:ascii="Arial" w:cs="Arial" w:eastAsia="Arial" w:hAnsi="Arial"/>
          <w:sz w:val="14"/>
          <w:szCs w:val="14"/>
          <w:color w:val="auto"/>
        </w:rPr>
      </w:pPr>
    </w:p>
    <w:p>
      <w:pPr>
        <w:jc w:val="both"/>
        <w:ind w:left="324" w:right="20" w:hanging="324"/>
        <w:spacing w:after="0" w:line="224" w:lineRule="auto"/>
        <w:tabs>
          <w:tab w:leader="none" w:pos="324" w:val="left"/>
        </w:tabs>
        <w:numPr>
          <w:ilvl w:val="0"/>
          <w:numId w:val="73"/>
        </w:numPr>
        <w:rPr>
          <w:rFonts w:ascii="Arial" w:cs="Arial" w:eastAsia="Arial" w:hAnsi="Arial"/>
          <w:sz w:val="14"/>
          <w:szCs w:val="14"/>
          <w:color w:val="auto"/>
        </w:rPr>
      </w:pPr>
      <w:r>
        <w:rPr>
          <w:rFonts w:ascii="Arial" w:cs="Arial" w:eastAsia="Arial" w:hAnsi="Arial"/>
          <w:sz w:val="14"/>
          <w:szCs w:val="14"/>
          <w:color w:val="auto"/>
        </w:rPr>
        <w:t>Adjusted EBITDA is a non-GAAP measure and is calculated by adding to US GAAP operating income (a) depreciation and amortization expense; (b) adjustment categories included in the Company’s 2025 budget, including but not limited to restructuring charges, EU MDR fees and other costs, strategic transaction costs, stock-based compensation, acquisition-related intangible asset amortization, strategic purchase of economic interest on future royalty payments, property plant and equipment step-up depreciation, and inventory step-up, and unusual litigation costs; and (c) other nonrecurring charges for impairments of goodwill or intangibles, highly inflationary accounting, material tax, regulatory or accounting pronouncement changes, pension curtailment costs, material acquisition deal and integration costs, or material financing-related charges. Adjusted EBITDA performance is measured by comparing (a) the actual adjusted EBITDA, excluding unbudgeted acquisitions versus (b) the target adjusted EBITDA further adjusted for changes in currency translation exchange rates in order to create a constant currency view. Targets are adjusted for unbudgeted divested and discontinued operations and for fifty percent of net tariff impacts.</w:t>
      </w:r>
    </w:p>
    <w:p>
      <w:pPr>
        <w:spacing w:after="0" w:line="161" w:lineRule="exact"/>
        <w:rPr>
          <w:rFonts w:ascii="Arial" w:cs="Arial" w:eastAsia="Arial" w:hAnsi="Arial"/>
          <w:sz w:val="14"/>
          <w:szCs w:val="14"/>
          <w:color w:val="auto"/>
        </w:rPr>
      </w:pPr>
    </w:p>
    <w:p>
      <w:pPr>
        <w:ind w:left="324" w:right="20" w:hanging="324"/>
        <w:spacing w:after="0" w:line="264" w:lineRule="auto"/>
        <w:tabs>
          <w:tab w:leader="none" w:pos="324" w:val="left"/>
        </w:tabs>
        <w:numPr>
          <w:ilvl w:val="0"/>
          <w:numId w:val="73"/>
        </w:numPr>
        <w:rPr>
          <w:rFonts w:ascii="Arial" w:cs="Arial" w:eastAsia="Arial" w:hAnsi="Arial"/>
          <w:sz w:val="14"/>
          <w:szCs w:val="14"/>
          <w:color w:val="auto"/>
        </w:rPr>
      </w:pPr>
      <w:r>
        <w:rPr>
          <w:rFonts w:ascii="Arial" w:cs="Arial" w:eastAsia="Arial" w:hAnsi="Arial"/>
          <w:sz w:val="14"/>
          <w:szCs w:val="14"/>
          <w:color w:val="auto"/>
        </w:rPr>
        <w:t>For a more detailed explanation of why we present these non-GAAP measures, how we calculate these non-GAAP measures and the reconciliation of these non-GAAP measures to their nearest GAAP measures, see our 2025 Annual Report on Form 10-K, under the heading “Non-GAAP Measures.”</w:t>
      </w:r>
    </w:p>
    <w:p>
      <w:pPr>
        <w:spacing w:after="0" w:line="6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Bonus Calculation – Target Bonus</w:t>
      </w:r>
    </w:p>
    <w:p>
      <w:pPr>
        <w:spacing w:after="0" w:line="122" w:lineRule="exact"/>
        <w:rPr>
          <w:sz w:val="20"/>
          <w:szCs w:val="20"/>
          <w:color w:val="auto"/>
        </w:rPr>
      </w:pPr>
    </w:p>
    <w:p>
      <w:pPr>
        <w:jc w:val="both"/>
        <w:ind w:left="4" w:right="20"/>
        <w:spacing w:after="0" w:line="234" w:lineRule="auto"/>
        <w:rPr>
          <w:sz w:val="20"/>
          <w:szCs w:val="20"/>
          <w:color w:val="auto"/>
        </w:rPr>
      </w:pPr>
      <w:r>
        <w:rPr>
          <w:rFonts w:ascii="Arial" w:cs="Arial" w:eastAsia="Arial" w:hAnsi="Arial"/>
          <w:sz w:val="16"/>
          <w:szCs w:val="16"/>
          <w:color w:val="auto"/>
        </w:rPr>
        <w:t>The CHCM Committee annually reviews and approves AIP target bonus percentages for each executive officer in alignment with our compensation philosophy and taking into consideration the CHCM Committee’s competitive marketplace review. Targets as a percentage of base salary, which are set forth below, did not change from prior-year targets.</w:t>
      </w:r>
    </w:p>
    <w:p>
      <w:pPr>
        <w:spacing w:after="0" w:line="96"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weighted average performance result for the 2025 CPF was 92.2% of plan, as set forth below.</w:t>
      </w:r>
    </w:p>
    <w:p>
      <w:pPr>
        <w:spacing w:after="0" w:line="92" w:lineRule="exact"/>
        <w:rPr>
          <w:sz w:val="20"/>
          <w:szCs w:val="20"/>
          <w:color w:val="auto"/>
        </w:rPr>
      </w:pPr>
    </w:p>
    <w:tbl>
      <w:tblPr>
        <w:tblLayout w:type="fixed"/>
        <w:tblInd w:w="4" w:type="dxa"/>
        <w:tblCellMar>
          <w:top w:w="0" w:type="dxa"/>
          <w:left w:w="0" w:type="dxa"/>
          <w:bottom w:w="0" w:type="dxa"/>
          <w:right w:w="0" w:type="dxa"/>
        </w:tblCellMar>
      </w:tblPr>
      <w:tr>
        <w:trPr>
          <w:trHeight w:val="184"/>
        </w:trPr>
        <w:tc>
          <w:tcPr>
            <w:tcW w:w="29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0" w:type="dxa"/>
            <w:vAlign w:val="bottom"/>
          </w:tcPr>
          <w:p>
            <w:pPr>
              <w:ind w:left="720"/>
              <w:spacing w:after="0"/>
              <w:rPr>
                <w:sz w:val="20"/>
                <w:szCs w:val="20"/>
                <w:color w:val="auto"/>
              </w:rPr>
            </w:pPr>
            <w:r>
              <w:rPr>
                <w:rFonts w:ascii="Arial" w:cs="Arial" w:eastAsia="Arial" w:hAnsi="Arial"/>
                <w:sz w:val="16"/>
                <w:szCs w:val="16"/>
                <w:b w:val="1"/>
                <w:bCs w:val="1"/>
                <w:color w:val="C8102E"/>
              </w:rPr>
              <w:t>CPF</w:t>
            </w:r>
          </w:p>
        </w:tc>
        <w:tc>
          <w:tcPr>
            <w:tcW w:w="0" w:type="dxa"/>
            <w:vAlign w:val="bottom"/>
          </w:tcPr>
          <w:p>
            <w:pPr>
              <w:spacing w:after="0"/>
              <w:rPr>
                <w:sz w:val="1"/>
                <w:szCs w:val="1"/>
                <w:color w:val="auto"/>
              </w:rPr>
            </w:pPr>
          </w:p>
        </w:tc>
      </w:tr>
      <w:tr>
        <w:trPr>
          <w:trHeight w:val="162"/>
        </w:trPr>
        <w:tc>
          <w:tcPr>
            <w:tcW w:w="2980" w:type="dxa"/>
            <w:vAlign w:val="bottom"/>
            <w:vMerge w:val="restart"/>
          </w:tcPr>
          <w:p>
            <w:pPr>
              <w:spacing w:after="0"/>
              <w:rPr>
                <w:sz w:val="20"/>
                <w:szCs w:val="20"/>
                <w:color w:val="auto"/>
              </w:rPr>
            </w:pPr>
            <w:r>
              <w:rPr>
                <w:rFonts w:ascii="Arial" w:cs="Arial" w:eastAsia="Arial" w:hAnsi="Arial"/>
                <w:sz w:val="16"/>
                <w:szCs w:val="16"/>
                <w:b w:val="1"/>
                <w:bCs w:val="1"/>
                <w:color w:val="C8102E"/>
              </w:rPr>
              <w:t> Measure</w:t>
            </w:r>
          </w:p>
        </w:tc>
        <w:tc>
          <w:tcPr>
            <w:tcW w:w="138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C8102E"/>
              </w:rPr>
              <w:t>Weighting</w:t>
            </w:r>
          </w:p>
        </w:tc>
        <w:tc>
          <w:tcPr>
            <w:tcW w:w="130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C8102E"/>
              </w:rPr>
              <w:t>Threshold</w:t>
            </w:r>
          </w:p>
        </w:tc>
        <w:tc>
          <w:tcPr>
            <w:tcW w:w="136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C8102E"/>
              </w:rPr>
              <w:t>Target</w:t>
            </w:r>
          </w:p>
        </w:tc>
        <w:tc>
          <w:tcPr>
            <w:tcW w:w="13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C8102E"/>
              </w:rPr>
              <w:t>Maximum</w:t>
            </w:r>
          </w:p>
        </w:tc>
        <w:tc>
          <w:tcPr>
            <w:tcW w:w="146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C8102E"/>
              </w:rPr>
              <w:t>Achieved</w:t>
            </w:r>
          </w:p>
        </w:tc>
        <w:tc>
          <w:tcPr>
            <w:tcW w:w="1200" w:type="dxa"/>
            <w:vAlign w:val="bottom"/>
          </w:tcPr>
          <w:p>
            <w:pPr>
              <w:jc w:val="right"/>
              <w:ind w:right="79"/>
              <w:spacing w:after="0" w:line="162" w:lineRule="exact"/>
              <w:rPr>
                <w:sz w:val="20"/>
                <w:szCs w:val="20"/>
                <w:color w:val="auto"/>
              </w:rPr>
            </w:pPr>
            <w:r>
              <w:rPr>
                <w:rFonts w:ascii="Arial" w:cs="Arial" w:eastAsia="Arial" w:hAnsi="Arial"/>
                <w:sz w:val="16"/>
                <w:szCs w:val="16"/>
                <w:b w:val="1"/>
                <w:bCs w:val="1"/>
                <w:color w:val="C8102E"/>
              </w:rPr>
              <w:t>Based on</w:t>
            </w:r>
          </w:p>
        </w:tc>
        <w:tc>
          <w:tcPr>
            <w:tcW w:w="0" w:type="dxa"/>
            <w:vAlign w:val="bottom"/>
          </w:tcPr>
          <w:p>
            <w:pPr>
              <w:spacing w:after="0"/>
              <w:rPr>
                <w:sz w:val="1"/>
                <w:szCs w:val="1"/>
                <w:color w:val="auto"/>
              </w:rPr>
            </w:pPr>
          </w:p>
        </w:tc>
      </w:tr>
      <w:tr>
        <w:trPr>
          <w:trHeight w:val="189"/>
        </w:trPr>
        <w:tc>
          <w:tcPr>
            <w:tcW w:w="298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C8102E"/>
              </w:rPr>
              <w:t>Weighting</w:t>
            </w:r>
          </w:p>
        </w:tc>
        <w:tc>
          <w:tcPr>
            <w:tcW w:w="0" w:type="dxa"/>
            <w:vAlign w:val="bottom"/>
          </w:tcPr>
          <w:p>
            <w:pPr>
              <w:spacing w:after="0"/>
              <w:rPr>
                <w:sz w:val="1"/>
                <w:szCs w:val="1"/>
                <w:color w:val="auto"/>
              </w:rPr>
            </w:pPr>
          </w:p>
        </w:tc>
      </w:tr>
      <w:tr>
        <w:trPr>
          <w:trHeight w:val="155"/>
        </w:trPr>
        <w:tc>
          <w:tcPr>
            <w:tcW w:w="2980" w:type="dxa"/>
            <w:vAlign w:val="bottom"/>
            <w:shd w:val="clear" w:color="auto" w:fill="EDEDEE"/>
          </w:tcPr>
          <w:p>
            <w:pPr>
              <w:spacing w:after="0" w:line="155" w:lineRule="exact"/>
              <w:rPr>
                <w:sz w:val="20"/>
                <w:szCs w:val="20"/>
                <w:color w:val="auto"/>
              </w:rPr>
            </w:pPr>
            <w:r>
              <w:rPr>
                <w:rFonts w:ascii="Arial" w:cs="Arial" w:eastAsia="Arial" w:hAnsi="Arial"/>
                <w:sz w:val="16"/>
                <w:szCs w:val="16"/>
                <w:color w:val="auto"/>
              </w:rPr>
              <w:t> Net Sales (as adjusted)</w:t>
            </w:r>
          </w:p>
        </w:tc>
        <w:tc>
          <w:tcPr>
            <w:tcW w:w="1380" w:type="dxa"/>
            <w:vAlign w:val="bottom"/>
            <w:shd w:val="clear" w:color="auto" w:fill="EDEDEE"/>
          </w:tcPr>
          <w:p>
            <w:pPr>
              <w:jc w:val="right"/>
              <w:ind w:right="19"/>
              <w:spacing w:after="0" w:line="155" w:lineRule="exact"/>
              <w:rPr>
                <w:sz w:val="20"/>
                <w:szCs w:val="20"/>
                <w:color w:val="auto"/>
              </w:rPr>
            </w:pPr>
            <w:r>
              <w:rPr>
                <w:rFonts w:ascii="Arial" w:cs="Arial" w:eastAsia="Arial" w:hAnsi="Arial"/>
                <w:sz w:val="16"/>
                <w:szCs w:val="16"/>
                <w:color w:val="auto"/>
              </w:rPr>
              <w:t>40%</w:t>
            </w:r>
          </w:p>
        </w:tc>
        <w:tc>
          <w:tcPr>
            <w:tcW w:w="1300" w:type="dxa"/>
            <w:vAlign w:val="bottom"/>
            <w:shd w:val="clear" w:color="auto" w:fill="EDEDEE"/>
          </w:tcPr>
          <w:p>
            <w:pPr>
              <w:jc w:val="right"/>
              <w:ind w:right="79"/>
              <w:spacing w:after="0" w:line="155" w:lineRule="exact"/>
              <w:rPr>
                <w:sz w:val="20"/>
                <w:szCs w:val="20"/>
                <w:color w:val="auto"/>
              </w:rPr>
            </w:pPr>
            <w:r>
              <w:rPr>
                <w:rFonts w:ascii="Arial" w:cs="Arial" w:eastAsia="Arial" w:hAnsi="Arial"/>
                <w:sz w:val="16"/>
                <w:szCs w:val="16"/>
                <w:color w:val="auto"/>
              </w:rPr>
              <w:t>$ 2.164 million</w:t>
            </w:r>
          </w:p>
        </w:tc>
        <w:tc>
          <w:tcPr>
            <w:tcW w:w="1360" w:type="dxa"/>
            <w:vAlign w:val="bottom"/>
            <w:shd w:val="clear" w:color="auto" w:fill="EDEDEE"/>
          </w:tcPr>
          <w:p>
            <w:pPr>
              <w:jc w:val="right"/>
              <w:ind w:right="79"/>
              <w:spacing w:after="0" w:line="155" w:lineRule="exact"/>
              <w:rPr>
                <w:sz w:val="20"/>
                <w:szCs w:val="20"/>
                <w:color w:val="auto"/>
              </w:rPr>
            </w:pPr>
            <w:r>
              <w:rPr>
                <w:rFonts w:ascii="Arial" w:cs="Arial" w:eastAsia="Arial" w:hAnsi="Arial"/>
                <w:sz w:val="16"/>
                <w:szCs w:val="16"/>
                <w:color w:val="auto"/>
              </w:rPr>
              <w:t>$ 2.254 million</w:t>
            </w:r>
          </w:p>
        </w:tc>
        <w:tc>
          <w:tcPr>
            <w:tcW w:w="1340" w:type="dxa"/>
            <w:vAlign w:val="bottom"/>
            <w:shd w:val="clear" w:color="auto" w:fill="EDEDEE"/>
          </w:tcPr>
          <w:p>
            <w:pPr>
              <w:jc w:val="right"/>
              <w:ind w:right="79"/>
              <w:spacing w:after="0" w:line="155" w:lineRule="exact"/>
              <w:rPr>
                <w:sz w:val="20"/>
                <w:szCs w:val="20"/>
                <w:color w:val="auto"/>
              </w:rPr>
            </w:pPr>
            <w:r>
              <w:rPr>
                <w:rFonts w:ascii="Arial" w:cs="Arial" w:eastAsia="Arial" w:hAnsi="Arial"/>
                <w:sz w:val="16"/>
                <w:szCs w:val="16"/>
                <w:color w:val="auto"/>
              </w:rPr>
              <w:t>$ 2.434 million</w:t>
            </w:r>
          </w:p>
        </w:tc>
        <w:tc>
          <w:tcPr>
            <w:tcW w:w="1460" w:type="dxa"/>
            <w:vAlign w:val="bottom"/>
            <w:shd w:val="clear" w:color="auto" w:fill="EDEDEE"/>
          </w:tcPr>
          <w:p>
            <w:pPr>
              <w:jc w:val="right"/>
              <w:ind w:right="179"/>
              <w:spacing w:after="0" w:line="155" w:lineRule="exact"/>
              <w:rPr>
                <w:sz w:val="20"/>
                <w:szCs w:val="20"/>
                <w:color w:val="auto"/>
              </w:rPr>
            </w:pPr>
            <w:r>
              <w:rPr>
                <w:rFonts w:ascii="Arial" w:cs="Arial" w:eastAsia="Arial" w:hAnsi="Arial"/>
                <w:sz w:val="16"/>
                <w:szCs w:val="16"/>
                <w:color w:val="auto"/>
              </w:rPr>
              <w:t>$ 2.244 million</w:t>
            </w:r>
          </w:p>
        </w:tc>
        <w:tc>
          <w:tcPr>
            <w:tcW w:w="1200" w:type="dxa"/>
            <w:vAlign w:val="bottom"/>
            <w:shd w:val="clear" w:color="auto" w:fill="EDEDEE"/>
          </w:tcPr>
          <w:p>
            <w:pPr>
              <w:ind w:left="720"/>
              <w:spacing w:after="0" w:line="155" w:lineRule="exact"/>
              <w:rPr>
                <w:sz w:val="20"/>
                <w:szCs w:val="20"/>
                <w:color w:val="auto"/>
              </w:rPr>
            </w:pPr>
            <w:r>
              <w:rPr>
                <w:rFonts w:ascii="Arial" w:cs="Arial" w:eastAsia="Arial" w:hAnsi="Arial"/>
                <w:sz w:val="16"/>
                <w:szCs w:val="16"/>
                <w:color w:val="auto"/>
              </w:rPr>
              <w:t>94.4%</w:t>
            </w:r>
          </w:p>
        </w:tc>
        <w:tc>
          <w:tcPr>
            <w:tcW w:w="0" w:type="dxa"/>
            <w:vAlign w:val="bottom"/>
          </w:tcPr>
          <w:p>
            <w:pPr>
              <w:spacing w:after="0"/>
              <w:rPr>
                <w:sz w:val="1"/>
                <w:szCs w:val="1"/>
                <w:color w:val="auto"/>
              </w:rPr>
            </w:pPr>
          </w:p>
        </w:tc>
      </w:tr>
      <w:tr>
        <w:trPr>
          <w:trHeight w:val="162"/>
        </w:trPr>
        <w:tc>
          <w:tcPr>
            <w:tcW w:w="2980" w:type="dxa"/>
            <w:vAlign w:val="bottom"/>
          </w:tcPr>
          <w:p>
            <w:pPr>
              <w:spacing w:after="0" w:line="162" w:lineRule="exact"/>
              <w:rPr>
                <w:sz w:val="20"/>
                <w:szCs w:val="20"/>
                <w:color w:val="auto"/>
              </w:rPr>
            </w:pPr>
            <w:r>
              <w:rPr>
                <w:rFonts w:ascii="Arial" w:cs="Arial" w:eastAsia="Arial" w:hAnsi="Arial"/>
                <w:sz w:val="16"/>
                <w:szCs w:val="16"/>
                <w:color w:val="auto"/>
              </w:rPr>
              <w:t> Adjusted EBITDA</w:t>
            </w:r>
          </w:p>
        </w:tc>
        <w:tc>
          <w:tcPr>
            <w:tcW w:w="1380" w:type="dxa"/>
            <w:vAlign w:val="bottom"/>
          </w:tcPr>
          <w:p>
            <w:pPr>
              <w:jc w:val="right"/>
              <w:ind w:right="19"/>
              <w:spacing w:after="0" w:line="162" w:lineRule="exact"/>
              <w:rPr>
                <w:sz w:val="20"/>
                <w:szCs w:val="20"/>
                <w:color w:val="auto"/>
              </w:rPr>
            </w:pPr>
            <w:r>
              <w:rPr>
                <w:rFonts w:ascii="Arial" w:cs="Arial" w:eastAsia="Arial" w:hAnsi="Arial"/>
                <w:sz w:val="16"/>
                <w:szCs w:val="16"/>
                <w:color w:val="auto"/>
              </w:rPr>
              <w:t>60%</w:t>
            </w:r>
          </w:p>
        </w:tc>
        <w:tc>
          <w:tcPr>
            <w:tcW w:w="1300" w:type="dxa"/>
            <w:vAlign w:val="bottom"/>
          </w:tcPr>
          <w:p>
            <w:pPr>
              <w:jc w:val="right"/>
              <w:ind w:right="79"/>
              <w:spacing w:after="0" w:line="162" w:lineRule="exact"/>
              <w:rPr>
                <w:sz w:val="20"/>
                <w:szCs w:val="20"/>
                <w:color w:val="auto"/>
              </w:rPr>
            </w:pPr>
            <w:r>
              <w:rPr>
                <w:rFonts w:ascii="Arial" w:cs="Arial" w:eastAsia="Arial" w:hAnsi="Arial"/>
                <w:sz w:val="16"/>
                <w:szCs w:val="16"/>
                <w:color w:val="auto"/>
              </w:rPr>
              <w:t>$ 359.9 million</w:t>
            </w:r>
          </w:p>
        </w:tc>
        <w:tc>
          <w:tcPr>
            <w:tcW w:w="1360" w:type="dxa"/>
            <w:vAlign w:val="bottom"/>
          </w:tcPr>
          <w:p>
            <w:pPr>
              <w:jc w:val="right"/>
              <w:ind w:right="79"/>
              <w:spacing w:after="0" w:line="162" w:lineRule="exact"/>
              <w:rPr>
                <w:sz w:val="20"/>
                <w:szCs w:val="20"/>
                <w:color w:val="auto"/>
              </w:rPr>
            </w:pPr>
            <w:r>
              <w:rPr>
                <w:rFonts w:ascii="Arial" w:cs="Arial" w:eastAsia="Arial" w:hAnsi="Arial"/>
                <w:sz w:val="16"/>
                <w:szCs w:val="16"/>
                <w:color w:val="auto"/>
              </w:rPr>
              <w:t>$ 411.3 million</w:t>
            </w:r>
          </w:p>
        </w:tc>
        <w:tc>
          <w:tcPr>
            <w:tcW w:w="1340" w:type="dxa"/>
            <w:vAlign w:val="bottom"/>
          </w:tcPr>
          <w:p>
            <w:pPr>
              <w:jc w:val="right"/>
              <w:ind w:right="79"/>
              <w:spacing w:after="0" w:line="162" w:lineRule="exact"/>
              <w:rPr>
                <w:sz w:val="20"/>
                <w:szCs w:val="20"/>
                <w:color w:val="auto"/>
              </w:rPr>
            </w:pPr>
            <w:r>
              <w:rPr>
                <w:rFonts w:ascii="Arial" w:cs="Arial" w:eastAsia="Arial" w:hAnsi="Arial"/>
                <w:sz w:val="16"/>
                <w:szCs w:val="16"/>
                <w:color w:val="auto"/>
              </w:rPr>
              <w:t>$ 514.1 million</w:t>
            </w:r>
          </w:p>
        </w:tc>
        <w:tc>
          <w:tcPr>
            <w:tcW w:w="1460" w:type="dxa"/>
            <w:vAlign w:val="bottom"/>
          </w:tcPr>
          <w:p>
            <w:pPr>
              <w:jc w:val="right"/>
              <w:ind w:right="179"/>
              <w:spacing w:after="0" w:line="162" w:lineRule="exact"/>
              <w:rPr>
                <w:sz w:val="20"/>
                <w:szCs w:val="20"/>
                <w:color w:val="auto"/>
              </w:rPr>
            </w:pPr>
            <w:r>
              <w:rPr>
                <w:rFonts w:ascii="Arial" w:cs="Arial" w:eastAsia="Arial" w:hAnsi="Arial"/>
                <w:sz w:val="16"/>
                <w:szCs w:val="16"/>
                <w:color w:val="auto"/>
              </w:rPr>
              <w:t>$ 401.8 million</w:t>
            </w:r>
          </w:p>
        </w:tc>
        <w:tc>
          <w:tcPr>
            <w:tcW w:w="1200" w:type="dxa"/>
            <w:vAlign w:val="bottom"/>
          </w:tcPr>
          <w:p>
            <w:pPr>
              <w:ind w:left="720"/>
              <w:spacing w:after="0" w:line="162" w:lineRule="exact"/>
              <w:rPr>
                <w:sz w:val="20"/>
                <w:szCs w:val="20"/>
                <w:color w:val="auto"/>
              </w:rPr>
            </w:pPr>
            <w:r>
              <w:rPr>
                <w:rFonts w:ascii="Arial" w:cs="Arial" w:eastAsia="Arial" w:hAnsi="Arial"/>
                <w:sz w:val="16"/>
                <w:szCs w:val="16"/>
                <w:color w:val="auto"/>
              </w:rPr>
              <w:t>90.8%</w:t>
            </w:r>
          </w:p>
        </w:tc>
        <w:tc>
          <w:tcPr>
            <w:tcW w:w="0" w:type="dxa"/>
            <w:vAlign w:val="bottom"/>
          </w:tcPr>
          <w:p>
            <w:pPr>
              <w:spacing w:after="0"/>
              <w:rPr>
                <w:sz w:val="1"/>
                <w:szCs w:val="1"/>
                <w:color w:val="auto"/>
              </w:rPr>
            </w:pPr>
          </w:p>
        </w:tc>
      </w:tr>
      <w:tr>
        <w:trPr>
          <w:trHeight w:val="202"/>
        </w:trPr>
        <w:tc>
          <w:tcPr>
            <w:tcW w:w="2980" w:type="dxa"/>
            <w:vAlign w:val="bottom"/>
            <w:shd w:val="clear" w:color="auto" w:fill="EDEDEE"/>
          </w:tcPr>
          <w:p>
            <w:pPr>
              <w:spacing w:after="0"/>
              <w:rPr>
                <w:sz w:val="20"/>
                <w:szCs w:val="20"/>
                <w:color w:val="auto"/>
              </w:rPr>
            </w:pPr>
            <w:r>
              <w:rPr>
                <w:rFonts w:ascii="Arial" w:cs="Arial" w:eastAsia="Arial" w:hAnsi="Arial"/>
                <w:sz w:val="16"/>
                <w:szCs w:val="16"/>
                <w:b w:val="1"/>
                <w:bCs w:val="1"/>
                <w:color w:val="auto"/>
              </w:rPr>
              <w:t> Weighted aggregate CPF for 2025</w:t>
            </w:r>
          </w:p>
        </w:tc>
        <w:tc>
          <w:tcPr>
            <w:tcW w:w="1380" w:type="dxa"/>
            <w:vAlign w:val="bottom"/>
            <w:shd w:val="clear" w:color="auto" w:fill="EDEDEE"/>
          </w:tcPr>
          <w:p>
            <w:pPr>
              <w:spacing w:after="0"/>
              <w:rPr>
                <w:sz w:val="17"/>
                <w:szCs w:val="17"/>
                <w:color w:val="auto"/>
              </w:rPr>
            </w:pPr>
          </w:p>
        </w:tc>
        <w:tc>
          <w:tcPr>
            <w:tcW w:w="1300" w:type="dxa"/>
            <w:vAlign w:val="bottom"/>
            <w:shd w:val="clear" w:color="auto" w:fill="EDEDEE"/>
          </w:tcPr>
          <w:p>
            <w:pPr>
              <w:spacing w:after="0"/>
              <w:rPr>
                <w:sz w:val="17"/>
                <w:szCs w:val="17"/>
                <w:color w:val="auto"/>
              </w:rPr>
            </w:pPr>
          </w:p>
        </w:tc>
        <w:tc>
          <w:tcPr>
            <w:tcW w:w="1360" w:type="dxa"/>
            <w:vAlign w:val="bottom"/>
            <w:shd w:val="clear" w:color="auto" w:fill="EDEDEE"/>
          </w:tcPr>
          <w:p>
            <w:pPr>
              <w:spacing w:after="0"/>
              <w:rPr>
                <w:sz w:val="17"/>
                <w:szCs w:val="17"/>
                <w:color w:val="auto"/>
              </w:rPr>
            </w:pPr>
          </w:p>
        </w:tc>
        <w:tc>
          <w:tcPr>
            <w:tcW w:w="1340" w:type="dxa"/>
            <w:vAlign w:val="bottom"/>
            <w:shd w:val="clear" w:color="auto" w:fill="EDEDEE"/>
          </w:tcPr>
          <w:p>
            <w:pPr>
              <w:spacing w:after="0"/>
              <w:rPr>
                <w:sz w:val="17"/>
                <w:szCs w:val="17"/>
                <w:color w:val="auto"/>
              </w:rPr>
            </w:pPr>
          </w:p>
        </w:tc>
        <w:tc>
          <w:tcPr>
            <w:tcW w:w="1460" w:type="dxa"/>
            <w:vAlign w:val="bottom"/>
            <w:shd w:val="clear" w:color="auto" w:fill="EDEDEE"/>
          </w:tcPr>
          <w:p>
            <w:pPr>
              <w:spacing w:after="0"/>
              <w:rPr>
                <w:sz w:val="17"/>
                <w:szCs w:val="17"/>
                <w:color w:val="auto"/>
              </w:rPr>
            </w:pPr>
          </w:p>
        </w:tc>
        <w:tc>
          <w:tcPr>
            <w:tcW w:w="1200" w:type="dxa"/>
            <w:vAlign w:val="bottom"/>
            <w:shd w:val="clear" w:color="auto" w:fill="EDEDEE"/>
          </w:tcPr>
          <w:p>
            <w:pPr>
              <w:ind w:left="720"/>
              <w:spacing w:after="0"/>
              <w:rPr>
                <w:sz w:val="20"/>
                <w:szCs w:val="20"/>
                <w:color w:val="auto"/>
              </w:rPr>
            </w:pPr>
            <w:r>
              <w:rPr>
                <w:rFonts w:ascii="Arial" w:cs="Arial" w:eastAsia="Arial" w:hAnsi="Arial"/>
                <w:sz w:val="16"/>
                <w:szCs w:val="16"/>
                <w:color w:val="auto"/>
              </w:rPr>
              <w:t>92.2%</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Bonus Calculation – Individual Performance Factor</w:t>
      </w:r>
    </w:p>
    <w:p>
      <w:pPr>
        <w:spacing w:after="0" w:line="194" w:lineRule="exact"/>
        <w:rPr>
          <w:sz w:val="20"/>
          <w:szCs w:val="20"/>
          <w:color w:val="auto"/>
        </w:rPr>
      </w:pPr>
    </w:p>
    <w:p>
      <w:pPr>
        <w:jc w:val="both"/>
        <w:ind w:left="4" w:right="20"/>
        <w:spacing w:after="0" w:line="256" w:lineRule="auto"/>
        <w:rPr>
          <w:sz w:val="20"/>
          <w:szCs w:val="20"/>
          <w:color w:val="auto"/>
        </w:rPr>
      </w:pPr>
      <w:r>
        <w:rPr>
          <w:rFonts w:ascii="Arial" w:cs="Arial" w:eastAsia="Arial" w:hAnsi="Arial"/>
          <w:sz w:val="16"/>
          <w:szCs w:val="16"/>
          <w:color w:val="auto"/>
        </w:rPr>
        <w:t>In addition to the target bonus percentages and financial and operational metrics discussed above, the third and final factor under our AIP is the IPF, as described above. The individual performance factors for each executive were determined after evaluating each NEO’s performance, including the key executive team achievements detailed on page 32 above. In 2025, certain non-financial Company objectives were considered in determining the IPFs for our NEOs, including among others, improvements in safety performance, advancement of human capital management initiatives, employee engagement, development and retention of key leaders, and information security and compliance program enhancements.</w:t>
      </w:r>
    </w:p>
    <w:p>
      <w:pPr>
        <w:spacing w:after="0" w:line="139" w:lineRule="exact"/>
        <w:rPr>
          <w:sz w:val="20"/>
          <w:szCs w:val="20"/>
          <w:color w:val="auto"/>
        </w:rPr>
      </w:pPr>
    </w:p>
    <w:p>
      <w:pPr>
        <w:jc w:val="both"/>
        <w:ind w:left="4" w:right="20"/>
        <w:spacing w:after="0" w:line="251" w:lineRule="auto"/>
        <w:rPr>
          <w:sz w:val="20"/>
          <w:szCs w:val="20"/>
          <w:color w:val="auto"/>
        </w:rPr>
      </w:pPr>
      <w:r>
        <w:rPr>
          <w:rFonts w:ascii="Arial" w:cs="Arial" w:eastAsia="Arial" w:hAnsi="Arial"/>
          <w:sz w:val="16"/>
          <w:szCs w:val="16"/>
          <w:color w:val="auto"/>
        </w:rPr>
        <w:t>Bonuses for each of our NEOs, as calculated pursuant to the foregoing calculations, are set forth in the following table. These bonuses are also reflected in the “Non-Equity Incentive Plan Compensation” column of the Summary Compensation Table below on page 41.</w:t>
      </w:r>
    </w:p>
    <w:p>
      <w:pPr>
        <w:spacing w:after="0" w:line="66" w:lineRule="exact"/>
        <w:rPr>
          <w:sz w:val="20"/>
          <w:szCs w:val="20"/>
          <w:color w:val="auto"/>
        </w:rPr>
      </w:pPr>
    </w:p>
    <w:tbl>
      <w:tblPr>
        <w:tblLayout w:type="fixed"/>
        <w:tblInd w:w="4" w:type="dxa"/>
        <w:tblCellMar>
          <w:top w:w="0" w:type="dxa"/>
          <w:left w:w="0" w:type="dxa"/>
          <w:bottom w:w="0" w:type="dxa"/>
          <w:right w:w="0" w:type="dxa"/>
        </w:tblCellMar>
      </w:tblPr>
      <w:tr>
        <w:trPr>
          <w:trHeight w:val="184"/>
        </w:trPr>
        <w:tc>
          <w:tcPr>
            <w:tcW w:w="1660" w:type="dxa"/>
            <w:vAlign w:val="bottom"/>
          </w:tcPr>
          <w:p>
            <w:pPr>
              <w:spacing w:after="0"/>
              <w:rPr>
                <w:sz w:val="16"/>
                <w:szCs w:val="16"/>
                <w:color w:val="auto"/>
              </w:rPr>
            </w:pPr>
          </w:p>
        </w:tc>
        <w:tc>
          <w:tcPr>
            <w:tcW w:w="114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C8102E"/>
              </w:rPr>
              <w:t>Base</w:t>
            </w:r>
          </w:p>
        </w:tc>
        <w:tc>
          <w:tcPr>
            <w:tcW w:w="360" w:type="dxa"/>
            <w:vAlign w:val="bottom"/>
          </w:tcPr>
          <w:p>
            <w:pPr>
              <w:spacing w:after="0"/>
              <w:rPr>
                <w:sz w:val="16"/>
                <w:szCs w:val="16"/>
                <w:color w:val="auto"/>
              </w:rPr>
            </w:pPr>
          </w:p>
        </w:tc>
        <w:tc>
          <w:tcPr>
            <w:tcW w:w="11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C8102E"/>
              </w:rPr>
              <w:t>Target</w:t>
            </w:r>
          </w:p>
        </w:tc>
        <w:tc>
          <w:tcPr>
            <w:tcW w:w="380" w:type="dxa"/>
            <w:vAlign w:val="bottom"/>
          </w:tcPr>
          <w:p>
            <w:pPr>
              <w:spacing w:after="0"/>
              <w:rPr>
                <w:sz w:val="16"/>
                <w:szCs w:val="16"/>
                <w:color w:val="auto"/>
              </w:rPr>
            </w:pPr>
          </w:p>
        </w:tc>
        <w:tc>
          <w:tcPr>
            <w:tcW w:w="100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C8102E"/>
              </w:rPr>
              <w:t>Target</w:t>
            </w: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C80E2D"/>
              </w:rPr>
              <w:t>Bonus</w:t>
            </w:r>
          </w:p>
        </w:tc>
        <w:tc>
          <w:tcPr>
            <w:tcW w:w="12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C8102E"/>
              </w:rPr>
              <w:t>Individual</w:t>
            </w:r>
          </w:p>
        </w:tc>
        <w:tc>
          <w:tcPr>
            <w:tcW w:w="520" w:type="dxa"/>
            <w:vAlign w:val="bottom"/>
          </w:tcPr>
          <w:p>
            <w:pPr>
              <w:spacing w:after="0"/>
              <w:rPr>
                <w:sz w:val="16"/>
                <w:szCs w:val="16"/>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b w:val="1"/>
                <w:bCs w:val="1"/>
                <w:color w:val="C8102E"/>
              </w:rPr>
              <w:t>Executive</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Arial" w:cs="Arial" w:eastAsia="Arial" w:hAnsi="Arial"/>
                <w:sz w:val="16"/>
                <w:szCs w:val="16"/>
                <w:b w:val="1"/>
                <w:bCs w:val="1"/>
                <w:color w:val="C80E2D"/>
              </w:rPr>
              <w:t>before IPF</w:t>
            </w:r>
          </w:p>
        </w:tc>
        <w:tc>
          <w:tcPr>
            <w:tcW w:w="12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jc w:val="right"/>
              <w:ind w:right="39"/>
              <w:spacing w:after="0" w:line="162" w:lineRule="exact"/>
              <w:rPr>
                <w:sz w:val="20"/>
                <w:szCs w:val="20"/>
                <w:color w:val="auto"/>
              </w:rPr>
            </w:pPr>
            <w:r>
              <w:rPr>
                <w:rFonts w:ascii="Arial" w:cs="Arial" w:eastAsia="Arial" w:hAnsi="Arial"/>
                <w:sz w:val="16"/>
                <w:szCs w:val="16"/>
                <w:b w:val="1"/>
                <w:bCs w:val="1"/>
                <w:color w:val="C8102E"/>
              </w:rPr>
              <w:t>Bonus</w:t>
            </w:r>
          </w:p>
        </w:tc>
        <w:tc>
          <w:tcPr>
            <w:tcW w:w="0" w:type="dxa"/>
            <w:vAlign w:val="bottom"/>
          </w:tcPr>
          <w:p>
            <w:pPr>
              <w:spacing w:after="0"/>
              <w:rPr>
                <w:sz w:val="1"/>
                <w:szCs w:val="1"/>
                <w:color w:val="auto"/>
              </w:rPr>
            </w:pPr>
          </w:p>
        </w:tc>
      </w:tr>
      <w:tr>
        <w:trPr>
          <w:trHeight w:val="162"/>
        </w:trPr>
        <w:tc>
          <w:tcPr>
            <w:tcW w:w="1660" w:type="dxa"/>
            <w:vAlign w:val="bottom"/>
            <w:vMerge w:val="restart"/>
          </w:tcPr>
          <w:p>
            <w:pPr>
              <w:spacing w:after="0"/>
              <w:rPr>
                <w:sz w:val="20"/>
                <w:szCs w:val="20"/>
                <w:color w:val="auto"/>
              </w:rPr>
            </w:pPr>
            <w:r>
              <w:rPr>
                <w:rFonts w:ascii="Arial" w:cs="Arial" w:eastAsia="Arial" w:hAnsi="Arial"/>
                <w:sz w:val="16"/>
                <w:szCs w:val="16"/>
                <w:b w:val="1"/>
                <w:bCs w:val="1"/>
                <w:color w:val="C8102E"/>
              </w:rPr>
              <w:t> NEO</w:t>
            </w:r>
          </w:p>
        </w:tc>
        <w:tc>
          <w:tcPr>
            <w:tcW w:w="1140" w:type="dxa"/>
            <w:vAlign w:val="bottom"/>
          </w:tcPr>
          <w:p>
            <w:pPr>
              <w:jc w:val="right"/>
              <w:ind w:right="19"/>
              <w:spacing w:after="0" w:line="162" w:lineRule="exact"/>
              <w:rPr>
                <w:sz w:val="20"/>
                <w:szCs w:val="20"/>
                <w:color w:val="auto"/>
              </w:rPr>
            </w:pPr>
            <w:r>
              <w:rPr>
                <w:rFonts w:ascii="Arial" w:cs="Arial" w:eastAsia="Arial" w:hAnsi="Arial"/>
                <w:sz w:val="16"/>
                <w:szCs w:val="16"/>
                <w:b w:val="1"/>
                <w:bCs w:val="1"/>
                <w:color w:val="C8102E"/>
              </w:rPr>
              <w:t>Salary</w:t>
            </w:r>
          </w:p>
        </w:tc>
        <w:tc>
          <w:tcPr>
            <w:tcW w:w="360" w:type="dxa"/>
            <w:vAlign w:val="bottom"/>
          </w:tcPr>
          <w:p>
            <w:pPr>
              <w:spacing w:after="0"/>
              <w:rPr>
                <w:sz w:val="14"/>
                <w:szCs w:val="14"/>
                <w:color w:val="auto"/>
              </w:rPr>
            </w:pPr>
          </w:p>
        </w:tc>
        <w:tc>
          <w:tcPr>
            <w:tcW w:w="1140" w:type="dxa"/>
            <w:vAlign w:val="bottom"/>
          </w:tcPr>
          <w:p>
            <w:pPr>
              <w:jc w:val="right"/>
              <w:ind w:right="39"/>
              <w:spacing w:after="0" w:line="162" w:lineRule="exact"/>
              <w:rPr>
                <w:sz w:val="20"/>
                <w:szCs w:val="20"/>
                <w:color w:val="auto"/>
              </w:rPr>
            </w:pPr>
            <w:r>
              <w:rPr>
                <w:rFonts w:ascii="Arial" w:cs="Arial" w:eastAsia="Arial" w:hAnsi="Arial"/>
                <w:sz w:val="16"/>
                <w:szCs w:val="16"/>
                <w:b w:val="1"/>
                <w:bCs w:val="1"/>
                <w:color w:val="C8102E"/>
              </w:rPr>
              <w:t>Bonus</w:t>
            </w:r>
          </w:p>
        </w:tc>
        <w:tc>
          <w:tcPr>
            <w:tcW w:w="380" w:type="dxa"/>
            <w:vAlign w:val="bottom"/>
          </w:tcPr>
          <w:p>
            <w:pPr>
              <w:spacing w:after="0"/>
              <w:rPr>
                <w:sz w:val="14"/>
                <w:szCs w:val="14"/>
                <w:color w:val="auto"/>
              </w:rPr>
            </w:pPr>
          </w:p>
        </w:tc>
        <w:tc>
          <w:tcPr>
            <w:tcW w:w="1000" w:type="dxa"/>
            <w:vAlign w:val="bottom"/>
          </w:tcPr>
          <w:p>
            <w:pPr>
              <w:jc w:val="right"/>
              <w:ind w:right="19"/>
              <w:spacing w:after="0" w:line="162" w:lineRule="exact"/>
              <w:rPr>
                <w:sz w:val="20"/>
                <w:szCs w:val="20"/>
                <w:color w:val="auto"/>
              </w:rPr>
            </w:pPr>
            <w:r>
              <w:rPr>
                <w:rFonts w:ascii="Arial" w:cs="Arial" w:eastAsia="Arial" w:hAnsi="Arial"/>
                <w:sz w:val="16"/>
                <w:szCs w:val="16"/>
                <w:b w:val="1"/>
                <w:bCs w:val="1"/>
                <w:color w:val="C8102E"/>
              </w:rPr>
              <w:t>Bonus</w:t>
            </w:r>
          </w:p>
        </w:tc>
        <w:tc>
          <w:tcPr>
            <w:tcW w:w="520" w:type="dxa"/>
            <w:vAlign w:val="bottom"/>
          </w:tcPr>
          <w:p>
            <w:pPr>
              <w:spacing w:after="0"/>
              <w:rPr>
                <w:sz w:val="14"/>
                <w:szCs w:val="14"/>
                <w:color w:val="auto"/>
              </w:rPr>
            </w:pPr>
          </w:p>
        </w:tc>
        <w:tc>
          <w:tcPr>
            <w:tcW w:w="88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C8102E"/>
              </w:rPr>
              <w:t>CPF</w:t>
            </w:r>
          </w:p>
        </w:tc>
        <w:tc>
          <w:tcPr>
            <w:tcW w:w="1020" w:type="dxa"/>
            <w:vAlign w:val="bottom"/>
          </w:tcPr>
          <w:p>
            <w:pPr>
              <w:jc w:val="right"/>
              <w:spacing w:after="0" w:line="162" w:lineRule="exact"/>
              <w:rPr>
                <w:sz w:val="20"/>
                <w:szCs w:val="20"/>
                <w:color w:val="auto"/>
              </w:rPr>
            </w:pPr>
            <w:r>
              <w:rPr>
                <w:rFonts w:ascii="Arial" w:cs="Arial" w:eastAsia="Arial" w:hAnsi="Arial"/>
                <w:sz w:val="16"/>
                <w:szCs w:val="16"/>
                <w:b w:val="1"/>
                <w:bCs w:val="1"/>
                <w:color w:val="C80E2D"/>
              </w:rPr>
              <w:t>application</w:t>
            </w:r>
          </w:p>
        </w:tc>
        <w:tc>
          <w:tcPr>
            <w:tcW w:w="1220" w:type="dxa"/>
            <w:vAlign w:val="bottom"/>
          </w:tcPr>
          <w:p>
            <w:pPr>
              <w:jc w:val="right"/>
              <w:ind w:right="40"/>
              <w:spacing w:after="0" w:line="162" w:lineRule="exact"/>
              <w:rPr>
                <w:sz w:val="20"/>
                <w:szCs w:val="20"/>
                <w:color w:val="auto"/>
              </w:rPr>
            </w:pPr>
            <w:r>
              <w:rPr>
                <w:rFonts w:ascii="Arial" w:cs="Arial" w:eastAsia="Arial" w:hAnsi="Arial"/>
                <w:sz w:val="16"/>
                <w:szCs w:val="16"/>
                <w:b w:val="1"/>
                <w:bCs w:val="1"/>
                <w:color w:val="C8102E"/>
              </w:rPr>
              <w:t>Performance</w:t>
            </w:r>
          </w:p>
        </w:tc>
        <w:tc>
          <w:tcPr>
            <w:tcW w:w="520" w:type="dxa"/>
            <w:vAlign w:val="bottom"/>
          </w:tcPr>
          <w:p>
            <w:pPr>
              <w:spacing w:after="0"/>
              <w:rPr>
                <w:sz w:val="14"/>
                <w:szCs w:val="14"/>
                <w:color w:val="auto"/>
              </w:rPr>
            </w:pPr>
          </w:p>
        </w:tc>
        <w:tc>
          <w:tcPr>
            <w:tcW w:w="1180" w:type="dxa"/>
            <w:vAlign w:val="bottom"/>
          </w:tcPr>
          <w:p>
            <w:pPr>
              <w:jc w:val="right"/>
              <w:ind w:right="39"/>
              <w:spacing w:after="0" w:line="162" w:lineRule="exact"/>
              <w:rPr>
                <w:sz w:val="20"/>
                <w:szCs w:val="20"/>
                <w:color w:val="auto"/>
              </w:rPr>
            </w:pPr>
            <w:r>
              <w:rPr>
                <w:rFonts w:ascii="Arial" w:cs="Arial" w:eastAsia="Arial" w:hAnsi="Arial"/>
                <w:sz w:val="16"/>
                <w:szCs w:val="16"/>
                <w:b w:val="1"/>
                <w:bCs w:val="1"/>
                <w:color w:val="C8102E"/>
              </w:rPr>
              <w:t>Payment</w:t>
            </w:r>
          </w:p>
        </w:tc>
        <w:tc>
          <w:tcPr>
            <w:tcW w:w="0" w:type="dxa"/>
            <w:vAlign w:val="bottom"/>
          </w:tcPr>
          <w:p>
            <w:pPr>
              <w:spacing w:after="0"/>
              <w:rPr>
                <w:sz w:val="1"/>
                <w:szCs w:val="1"/>
                <w:color w:val="auto"/>
              </w:rPr>
            </w:pPr>
          </w:p>
        </w:tc>
      </w:tr>
      <w:tr>
        <w:trPr>
          <w:trHeight w:val="189"/>
        </w:trPr>
        <w:tc>
          <w:tcPr>
            <w:tcW w:w="166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C8102E"/>
              </w:rPr>
              <w:t>($)</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C8102E"/>
              </w:rPr>
              <w:t>Percentage</w:t>
            </w: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C8102E"/>
              </w:rPr>
              <w:t>($)</w:t>
            </w:r>
          </w:p>
        </w:tc>
        <w:tc>
          <w:tcPr>
            <w:tcW w:w="5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C80E2D"/>
              </w:rPr>
              <w:t>($)</w:t>
            </w:r>
          </w:p>
        </w:tc>
        <w:tc>
          <w:tcPr>
            <w:tcW w:w="1220" w:type="dxa"/>
            <w:vAlign w:val="bottom"/>
            <w:tcBorders>
              <w:bottom w:val="single" w:sz="8" w:color="auto"/>
            </w:tcBorders>
          </w:tcPr>
          <w:p>
            <w:pPr>
              <w:jc w:val="right"/>
              <w:ind w:right="20"/>
              <w:spacing w:after="0" w:line="189" w:lineRule="exact"/>
              <w:rPr>
                <w:sz w:val="20"/>
                <w:szCs w:val="20"/>
                <w:color w:val="auto"/>
              </w:rPr>
            </w:pPr>
            <w:r>
              <w:rPr>
                <w:rFonts w:ascii="Arial" w:cs="Arial" w:eastAsia="Arial" w:hAnsi="Arial"/>
                <w:sz w:val="14"/>
                <w:szCs w:val="14"/>
                <w:b w:val="1"/>
                <w:bCs w:val="1"/>
                <w:color w:val="C8102E"/>
              </w:rPr>
              <w:t>Factor (IPF)</w:t>
            </w:r>
            <w:r>
              <w:rPr>
                <w:rFonts w:ascii="Arial" w:cs="Arial" w:eastAsia="Arial" w:hAnsi="Arial"/>
                <w:sz w:val="21"/>
                <w:szCs w:val="21"/>
                <w:b w:val="1"/>
                <w:bCs w:val="1"/>
                <w:color w:val="C8102E"/>
                <w:vertAlign w:val="superscript"/>
              </w:rPr>
              <w:t>(1)</w:t>
            </w:r>
          </w:p>
        </w:tc>
        <w:tc>
          <w:tcPr>
            <w:tcW w:w="5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C8102E"/>
              </w:rPr>
              <w:t>($)</w:t>
            </w:r>
          </w:p>
        </w:tc>
        <w:tc>
          <w:tcPr>
            <w:tcW w:w="0" w:type="dxa"/>
            <w:vAlign w:val="bottom"/>
          </w:tcPr>
          <w:p>
            <w:pPr>
              <w:spacing w:after="0"/>
              <w:rPr>
                <w:sz w:val="1"/>
                <w:szCs w:val="1"/>
                <w:color w:val="auto"/>
              </w:rPr>
            </w:pPr>
          </w:p>
        </w:tc>
      </w:tr>
      <w:tr>
        <w:trPr>
          <w:trHeight w:val="209"/>
        </w:trPr>
        <w:tc>
          <w:tcPr>
            <w:tcW w:w="1660" w:type="dxa"/>
            <w:vAlign w:val="bottom"/>
            <w:shd w:val="clear" w:color="auto" w:fill="EDEDEE"/>
          </w:tcPr>
          <w:p>
            <w:pPr>
              <w:spacing w:after="0" w:line="210" w:lineRule="exact"/>
              <w:rPr>
                <w:sz w:val="20"/>
                <w:szCs w:val="20"/>
                <w:color w:val="auto"/>
              </w:rPr>
            </w:pPr>
            <w:r>
              <w:rPr>
                <w:rFonts w:ascii="Arial" w:cs="Arial" w:eastAsia="Arial" w:hAnsi="Arial"/>
                <w:sz w:val="15"/>
                <w:szCs w:val="15"/>
                <w:b w:val="1"/>
                <w:bCs w:val="1"/>
                <w:color w:val="auto"/>
              </w:rPr>
              <w:t>Mr. McDonald</w:t>
            </w:r>
            <w:r>
              <w:rPr>
                <w:rFonts w:ascii="Arial" w:cs="Arial" w:eastAsia="Arial" w:hAnsi="Arial"/>
                <w:sz w:val="24"/>
                <w:szCs w:val="24"/>
                <w:b w:val="1"/>
                <w:bCs w:val="1"/>
                <w:color w:val="auto"/>
                <w:vertAlign w:val="superscript"/>
              </w:rPr>
              <w:t>(2)</w:t>
            </w:r>
          </w:p>
        </w:tc>
        <w:tc>
          <w:tcPr>
            <w:tcW w:w="1140" w:type="dxa"/>
            <w:vAlign w:val="bottom"/>
            <w:shd w:val="clear" w:color="auto" w:fill="EDEDEE"/>
          </w:tcPr>
          <w:p>
            <w:pPr>
              <w:jc w:val="right"/>
              <w:ind w:right="19"/>
              <w:spacing w:after="0"/>
              <w:rPr>
                <w:sz w:val="20"/>
                <w:szCs w:val="20"/>
                <w:color w:val="auto"/>
              </w:rPr>
            </w:pPr>
            <w:r>
              <w:rPr>
                <w:rFonts w:ascii="Arial" w:cs="Arial" w:eastAsia="Arial" w:hAnsi="Arial"/>
                <w:sz w:val="16"/>
                <w:szCs w:val="16"/>
                <w:color w:val="auto"/>
              </w:rPr>
              <w:t>641,096</w:t>
            </w:r>
          </w:p>
        </w:tc>
        <w:tc>
          <w:tcPr>
            <w:tcW w:w="360" w:type="dxa"/>
            <w:vAlign w:val="bottom"/>
            <w:shd w:val="clear" w:color="auto" w:fill="EDEDEE"/>
          </w:tcPr>
          <w:p>
            <w:pPr>
              <w:ind w:left="100"/>
              <w:spacing w:after="0"/>
              <w:rPr>
                <w:sz w:val="20"/>
                <w:szCs w:val="20"/>
                <w:color w:val="auto"/>
              </w:rPr>
            </w:pPr>
            <w:r>
              <w:rPr>
                <w:rFonts w:ascii="Arial" w:cs="Arial" w:eastAsia="Arial" w:hAnsi="Arial"/>
                <w:sz w:val="16"/>
                <w:szCs w:val="16"/>
                <w:color w:val="C80E2D"/>
              </w:rPr>
              <w:t>X</w:t>
            </w:r>
          </w:p>
        </w:tc>
        <w:tc>
          <w:tcPr>
            <w:tcW w:w="1140" w:type="dxa"/>
            <w:vAlign w:val="bottom"/>
            <w:shd w:val="clear" w:color="auto" w:fill="EDEDEE"/>
          </w:tcPr>
          <w:p>
            <w:pPr>
              <w:jc w:val="right"/>
              <w:ind w:right="39"/>
              <w:spacing w:after="0"/>
              <w:rPr>
                <w:sz w:val="20"/>
                <w:szCs w:val="20"/>
                <w:color w:val="auto"/>
              </w:rPr>
            </w:pPr>
            <w:r>
              <w:rPr>
                <w:rFonts w:ascii="Arial" w:cs="Arial" w:eastAsia="Arial" w:hAnsi="Arial"/>
                <w:sz w:val="16"/>
                <w:szCs w:val="16"/>
                <w:color w:val="auto"/>
              </w:rPr>
              <w:t>125%</w:t>
            </w:r>
          </w:p>
        </w:tc>
        <w:tc>
          <w:tcPr>
            <w:tcW w:w="380" w:type="dxa"/>
            <w:vAlign w:val="bottom"/>
            <w:shd w:val="clear" w:color="auto" w:fill="EDEDEE"/>
          </w:tcPr>
          <w:p>
            <w:pPr>
              <w:jc w:val="right"/>
              <w:ind w:right="99"/>
              <w:spacing w:after="0"/>
              <w:rPr>
                <w:sz w:val="20"/>
                <w:szCs w:val="20"/>
                <w:color w:val="auto"/>
              </w:rPr>
            </w:pPr>
            <w:r>
              <w:rPr>
                <w:rFonts w:ascii="Arial" w:cs="Arial" w:eastAsia="Arial" w:hAnsi="Arial"/>
                <w:sz w:val="16"/>
                <w:szCs w:val="16"/>
                <w:color w:val="C80E2D"/>
              </w:rPr>
              <w:t>=</w:t>
            </w:r>
          </w:p>
        </w:tc>
        <w:tc>
          <w:tcPr>
            <w:tcW w:w="1000" w:type="dxa"/>
            <w:vAlign w:val="bottom"/>
            <w:shd w:val="clear" w:color="auto" w:fill="EDEDEE"/>
          </w:tcPr>
          <w:p>
            <w:pPr>
              <w:jc w:val="right"/>
              <w:ind w:right="19"/>
              <w:spacing w:after="0"/>
              <w:rPr>
                <w:sz w:val="20"/>
                <w:szCs w:val="20"/>
                <w:color w:val="auto"/>
              </w:rPr>
            </w:pPr>
            <w:r>
              <w:rPr>
                <w:rFonts w:ascii="Arial" w:cs="Arial" w:eastAsia="Arial" w:hAnsi="Arial"/>
                <w:sz w:val="16"/>
                <w:szCs w:val="16"/>
                <w:color w:val="auto"/>
              </w:rPr>
              <w:t>801,370</w:t>
            </w:r>
          </w:p>
        </w:tc>
        <w:tc>
          <w:tcPr>
            <w:tcW w:w="520" w:type="dxa"/>
            <w:vAlign w:val="bottom"/>
            <w:shd w:val="clear" w:color="auto" w:fill="EDEDEE"/>
          </w:tcPr>
          <w:p>
            <w:pPr>
              <w:ind w:left="120"/>
              <w:spacing w:after="0"/>
              <w:rPr>
                <w:sz w:val="20"/>
                <w:szCs w:val="20"/>
                <w:color w:val="auto"/>
              </w:rPr>
            </w:pPr>
            <w:r>
              <w:rPr>
                <w:rFonts w:ascii="Arial" w:cs="Arial" w:eastAsia="Arial" w:hAnsi="Arial"/>
                <w:sz w:val="16"/>
                <w:szCs w:val="16"/>
                <w:color w:val="C80E2D"/>
              </w:rPr>
              <w:t>X</w:t>
            </w:r>
          </w:p>
        </w:tc>
        <w:tc>
          <w:tcPr>
            <w:tcW w:w="880" w:type="dxa"/>
            <w:vAlign w:val="bottom"/>
            <w:shd w:val="clear" w:color="auto" w:fill="EDEDEE"/>
          </w:tcPr>
          <w:p>
            <w:pPr>
              <w:jc w:val="right"/>
              <w:ind w:right="39"/>
              <w:spacing w:after="0"/>
              <w:rPr>
                <w:sz w:val="20"/>
                <w:szCs w:val="20"/>
                <w:color w:val="auto"/>
              </w:rPr>
            </w:pPr>
            <w:r>
              <w:rPr>
                <w:rFonts w:ascii="Arial" w:cs="Arial" w:eastAsia="Arial" w:hAnsi="Arial"/>
                <w:sz w:val="16"/>
                <w:szCs w:val="16"/>
                <w:color w:val="auto"/>
              </w:rPr>
              <w:t>92.2%</w:t>
            </w:r>
          </w:p>
        </w:tc>
        <w:tc>
          <w:tcPr>
            <w:tcW w:w="1020" w:type="dxa"/>
            <w:vAlign w:val="bottom"/>
            <w:shd w:val="clear" w:color="auto" w:fill="EDEDEE"/>
          </w:tcPr>
          <w:p>
            <w:pPr>
              <w:jc w:val="right"/>
              <w:spacing w:after="0"/>
              <w:rPr>
                <w:sz w:val="20"/>
                <w:szCs w:val="20"/>
                <w:color w:val="auto"/>
              </w:rPr>
            </w:pPr>
            <w:r>
              <w:rPr>
                <w:rFonts w:ascii="Arial" w:cs="Arial" w:eastAsia="Arial" w:hAnsi="Arial"/>
                <w:sz w:val="16"/>
                <w:szCs w:val="16"/>
                <w:color w:val="auto"/>
              </w:rPr>
              <w:t>738,863</w:t>
            </w:r>
          </w:p>
        </w:tc>
        <w:tc>
          <w:tcPr>
            <w:tcW w:w="1220" w:type="dxa"/>
            <w:vAlign w:val="bottom"/>
            <w:shd w:val="clear" w:color="auto" w:fill="EDEDEE"/>
          </w:tcPr>
          <w:p>
            <w:pPr>
              <w:jc w:val="right"/>
              <w:ind w:right="40"/>
              <w:spacing w:after="0"/>
              <w:rPr>
                <w:sz w:val="20"/>
                <w:szCs w:val="20"/>
                <w:color w:val="auto"/>
              </w:rPr>
            </w:pPr>
            <w:r>
              <w:rPr>
                <w:rFonts w:ascii="Arial" w:cs="Arial" w:eastAsia="Arial" w:hAnsi="Arial"/>
                <w:sz w:val="16"/>
                <w:szCs w:val="16"/>
                <w:color w:val="auto"/>
              </w:rPr>
              <w:t>110.0%</w:t>
            </w:r>
          </w:p>
        </w:tc>
        <w:tc>
          <w:tcPr>
            <w:tcW w:w="520" w:type="dxa"/>
            <w:vAlign w:val="bottom"/>
            <w:shd w:val="clear" w:color="auto" w:fill="EDEDEE"/>
          </w:tcPr>
          <w:p>
            <w:pPr>
              <w:jc w:val="right"/>
              <w:ind w:right="239"/>
              <w:spacing w:after="0"/>
              <w:rPr>
                <w:sz w:val="20"/>
                <w:szCs w:val="20"/>
                <w:color w:val="auto"/>
              </w:rPr>
            </w:pPr>
            <w:r>
              <w:rPr>
                <w:rFonts w:ascii="Arial" w:cs="Arial" w:eastAsia="Arial" w:hAnsi="Arial"/>
                <w:sz w:val="16"/>
                <w:szCs w:val="16"/>
                <w:color w:val="C80E2D"/>
              </w:rPr>
              <w:t>=</w:t>
            </w:r>
          </w:p>
        </w:tc>
        <w:tc>
          <w:tcPr>
            <w:tcW w:w="1180" w:type="dxa"/>
            <w:vAlign w:val="bottom"/>
            <w:shd w:val="clear" w:color="auto" w:fill="EDEDEE"/>
          </w:tcPr>
          <w:p>
            <w:pPr>
              <w:jc w:val="right"/>
              <w:ind w:right="39"/>
              <w:spacing w:after="0"/>
              <w:rPr>
                <w:sz w:val="20"/>
                <w:szCs w:val="20"/>
                <w:color w:val="auto"/>
              </w:rPr>
            </w:pPr>
            <w:r>
              <w:rPr>
                <w:rFonts w:ascii="Arial" w:cs="Arial" w:eastAsia="Arial" w:hAnsi="Arial"/>
                <w:sz w:val="16"/>
                <w:szCs w:val="16"/>
                <w:color w:val="auto"/>
              </w:rPr>
              <w:t>812,749</w:t>
            </w:r>
          </w:p>
        </w:tc>
        <w:tc>
          <w:tcPr>
            <w:tcW w:w="0" w:type="dxa"/>
            <w:vAlign w:val="bottom"/>
          </w:tcPr>
          <w:p>
            <w:pPr>
              <w:spacing w:after="0"/>
              <w:rPr>
                <w:sz w:val="1"/>
                <w:szCs w:val="1"/>
                <w:color w:val="auto"/>
              </w:rPr>
            </w:pPr>
          </w:p>
        </w:tc>
      </w:tr>
      <w:tr>
        <w:trPr>
          <w:trHeight w:val="216"/>
        </w:trPr>
        <w:tc>
          <w:tcPr>
            <w:tcW w:w="1660" w:type="dxa"/>
            <w:vAlign w:val="bottom"/>
          </w:tcPr>
          <w:p>
            <w:pPr>
              <w:spacing w:after="0" w:line="216" w:lineRule="exact"/>
              <w:rPr>
                <w:sz w:val="20"/>
                <w:szCs w:val="20"/>
                <w:color w:val="auto"/>
              </w:rPr>
            </w:pPr>
            <w:r>
              <w:rPr>
                <w:rFonts w:ascii="Arial" w:cs="Arial" w:eastAsia="Arial" w:hAnsi="Arial"/>
                <w:sz w:val="16"/>
                <w:szCs w:val="16"/>
                <w:b w:val="1"/>
                <w:bCs w:val="1"/>
                <w:color w:val="auto"/>
              </w:rPr>
              <w:t>Mr. Trerotola</w:t>
            </w:r>
            <w:r>
              <w:rPr>
                <w:rFonts w:ascii="Arial" w:cs="Arial" w:eastAsia="Arial" w:hAnsi="Arial"/>
                <w:sz w:val="25"/>
                <w:szCs w:val="25"/>
                <w:b w:val="1"/>
                <w:bCs w:val="1"/>
                <w:color w:val="auto"/>
                <w:vertAlign w:val="superscript"/>
              </w:rPr>
              <w:t>(3)</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857,458</w:t>
            </w:r>
          </w:p>
        </w:tc>
        <w:tc>
          <w:tcPr>
            <w:tcW w:w="360" w:type="dxa"/>
            <w:vAlign w:val="bottom"/>
          </w:tcPr>
          <w:p>
            <w:pPr>
              <w:ind w:left="100"/>
              <w:spacing w:after="0"/>
              <w:rPr>
                <w:sz w:val="20"/>
                <w:szCs w:val="20"/>
                <w:color w:val="auto"/>
              </w:rPr>
            </w:pPr>
            <w:r>
              <w:rPr>
                <w:rFonts w:ascii="Arial" w:cs="Arial" w:eastAsia="Arial" w:hAnsi="Arial"/>
                <w:sz w:val="16"/>
                <w:szCs w:val="16"/>
                <w:color w:val="C8102E"/>
              </w:rPr>
              <w:t>X</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125%</w:t>
            </w:r>
          </w:p>
        </w:tc>
        <w:tc>
          <w:tcPr>
            <w:tcW w:w="380" w:type="dxa"/>
            <w:vAlign w:val="bottom"/>
          </w:tcPr>
          <w:p>
            <w:pPr>
              <w:jc w:val="right"/>
              <w:ind w:right="99"/>
              <w:spacing w:after="0"/>
              <w:rPr>
                <w:sz w:val="20"/>
                <w:szCs w:val="20"/>
                <w:color w:val="auto"/>
              </w:rPr>
            </w:pPr>
            <w:r>
              <w:rPr>
                <w:rFonts w:ascii="Arial" w:cs="Arial" w:eastAsia="Arial" w:hAnsi="Arial"/>
                <w:sz w:val="16"/>
                <w:szCs w:val="16"/>
                <w:color w:val="C8102E"/>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1,071,823</w:t>
            </w:r>
          </w:p>
        </w:tc>
        <w:tc>
          <w:tcPr>
            <w:tcW w:w="520" w:type="dxa"/>
            <w:vAlign w:val="bottom"/>
          </w:tcPr>
          <w:p>
            <w:pPr>
              <w:ind w:left="120"/>
              <w:spacing w:after="0"/>
              <w:rPr>
                <w:sz w:val="20"/>
                <w:szCs w:val="20"/>
                <w:color w:val="auto"/>
              </w:rPr>
            </w:pPr>
            <w:r>
              <w:rPr>
                <w:rFonts w:ascii="Arial" w:cs="Arial" w:eastAsia="Arial" w:hAnsi="Arial"/>
                <w:sz w:val="16"/>
                <w:szCs w:val="16"/>
                <w:color w:val="C8102E"/>
              </w:rPr>
              <w:t>X</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92.2%</w:t>
            </w:r>
          </w:p>
        </w:tc>
        <w:tc>
          <w:tcPr>
            <w:tcW w:w="1020" w:type="dxa"/>
            <w:vAlign w:val="bottom"/>
          </w:tcPr>
          <w:p>
            <w:pPr>
              <w:jc w:val="right"/>
              <w:spacing w:after="0"/>
              <w:rPr>
                <w:sz w:val="20"/>
                <w:szCs w:val="20"/>
                <w:color w:val="auto"/>
              </w:rPr>
            </w:pPr>
            <w:r>
              <w:rPr>
                <w:rFonts w:ascii="Arial" w:cs="Arial" w:eastAsia="Arial" w:hAnsi="Arial"/>
                <w:sz w:val="16"/>
                <w:szCs w:val="16"/>
                <w:color w:val="auto"/>
              </w:rPr>
              <w:t>988,220</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100.0%</w:t>
            </w:r>
          </w:p>
        </w:tc>
        <w:tc>
          <w:tcPr>
            <w:tcW w:w="520" w:type="dxa"/>
            <w:vAlign w:val="bottom"/>
          </w:tcPr>
          <w:p>
            <w:pPr>
              <w:jc w:val="right"/>
              <w:ind w:right="239"/>
              <w:spacing w:after="0"/>
              <w:rPr>
                <w:sz w:val="20"/>
                <w:szCs w:val="20"/>
                <w:color w:val="auto"/>
              </w:rPr>
            </w:pPr>
            <w:r>
              <w:rPr>
                <w:rFonts w:ascii="Arial" w:cs="Arial" w:eastAsia="Arial" w:hAnsi="Arial"/>
                <w:sz w:val="16"/>
                <w:szCs w:val="16"/>
                <w:color w:val="C8102E"/>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988,220</w:t>
            </w:r>
          </w:p>
        </w:tc>
        <w:tc>
          <w:tcPr>
            <w:tcW w:w="0" w:type="dxa"/>
            <w:vAlign w:val="bottom"/>
          </w:tcPr>
          <w:p>
            <w:pPr>
              <w:spacing w:after="0"/>
              <w:rPr>
                <w:sz w:val="1"/>
                <w:szCs w:val="1"/>
                <w:color w:val="auto"/>
              </w:rPr>
            </w:pPr>
          </w:p>
        </w:tc>
      </w:tr>
      <w:tr>
        <w:trPr>
          <w:trHeight w:val="162"/>
        </w:trPr>
        <w:tc>
          <w:tcPr>
            <w:tcW w:w="1660" w:type="dxa"/>
            <w:vAlign w:val="bottom"/>
            <w:shd w:val="clear" w:color="auto" w:fill="EDEDEE"/>
          </w:tcPr>
          <w:p>
            <w:pPr>
              <w:spacing w:after="0" w:line="162" w:lineRule="exact"/>
              <w:rPr>
                <w:sz w:val="20"/>
                <w:szCs w:val="20"/>
                <w:color w:val="auto"/>
              </w:rPr>
            </w:pPr>
            <w:r>
              <w:rPr>
                <w:rFonts w:ascii="Arial" w:cs="Arial" w:eastAsia="Arial" w:hAnsi="Arial"/>
                <w:sz w:val="16"/>
                <w:szCs w:val="16"/>
                <w:b w:val="1"/>
                <w:bCs w:val="1"/>
                <w:color w:val="auto"/>
              </w:rPr>
              <w:t>Mr. Berry</w:t>
            </w:r>
          </w:p>
        </w:tc>
        <w:tc>
          <w:tcPr>
            <w:tcW w:w="1140" w:type="dxa"/>
            <w:vAlign w:val="bottom"/>
            <w:shd w:val="clear" w:color="auto" w:fill="EDEDEE"/>
          </w:tcPr>
          <w:p>
            <w:pPr>
              <w:jc w:val="right"/>
              <w:ind w:right="19"/>
              <w:spacing w:after="0" w:line="162" w:lineRule="exact"/>
              <w:rPr>
                <w:sz w:val="20"/>
                <w:szCs w:val="20"/>
                <w:color w:val="auto"/>
              </w:rPr>
            </w:pPr>
            <w:r>
              <w:rPr>
                <w:rFonts w:ascii="Arial" w:cs="Arial" w:eastAsia="Arial" w:hAnsi="Arial"/>
                <w:sz w:val="16"/>
                <w:szCs w:val="16"/>
                <w:color w:val="auto"/>
              </w:rPr>
              <w:t>610,000</w:t>
            </w:r>
          </w:p>
        </w:tc>
        <w:tc>
          <w:tcPr>
            <w:tcW w:w="360" w:type="dxa"/>
            <w:vAlign w:val="bottom"/>
            <w:shd w:val="clear" w:color="auto" w:fill="EDEDEE"/>
          </w:tcPr>
          <w:p>
            <w:pPr>
              <w:ind w:left="100"/>
              <w:spacing w:after="0" w:line="162" w:lineRule="exact"/>
              <w:rPr>
                <w:sz w:val="20"/>
                <w:szCs w:val="20"/>
                <w:color w:val="auto"/>
              </w:rPr>
            </w:pPr>
            <w:r>
              <w:rPr>
                <w:rFonts w:ascii="Arial" w:cs="Arial" w:eastAsia="Arial" w:hAnsi="Arial"/>
                <w:sz w:val="16"/>
                <w:szCs w:val="16"/>
                <w:color w:val="C8102E"/>
              </w:rPr>
              <w:t>X</w:t>
            </w:r>
          </w:p>
        </w:tc>
        <w:tc>
          <w:tcPr>
            <w:tcW w:w="1140" w:type="dxa"/>
            <w:vAlign w:val="bottom"/>
            <w:shd w:val="clear" w:color="auto" w:fill="EDEDEE"/>
          </w:tcPr>
          <w:p>
            <w:pPr>
              <w:jc w:val="right"/>
              <w:ind w:right="39"/>
              <w:spacing w:after="0" w:line="162" w:lineRule="exact"/>
              <w:rPr>
                <w:sz w:val="20"/>
                <w:szCs w:val="20"/>
                <w:color w:val="auto"/>
              </w:rPr>
            </w:pPr>
            <w:r>
              <w:rPr>
                <w:rFonts w:ascii="Arial" w:cs="Arial" w:eastAsia="Arial" w:hAnsi="Arial"/>
                <w:sz w:val="16"/>
                <w:szCs w:val="16"/>
                <w:color w:val="auto"/>
              </w:rPr>
              <w:t>75%</w:t>
            </w:r>
          </w:p>
        </w:tc>
        <w:tc>
          <w:tcPr>
            <w:tcW w:w="380" w:type="dxa"/>
            <w:vAlign w:val="bottom"/>
            <w:shd w:val="clear" w:color="auto" w:fill="EDEDEE"/>
          </w:tcPr>
          <w:p>
            <w:pPr>
              <w:jc w:val="right"/>
              <w:ind w:right="99"/>
              <w:spacing w:after="0" w:line="162" w:lineRule="exact"/>
              <w:rPr>
                <w:sz w:val="20"/>
                <w:szCs w:val="20"/>
                <w:color w:val="auto"/>
              </w:rPr>
            </w:pPr>
            <w:r>
              <w:rPr>
                <w:rFonts w:ascii="Arial" w:cs="Arial" w:eastAsia="Arial" w:hAnsi="Arial"/>
                <w:sz w:val="16"/>
                <w:szCs w:val="16"/>
                <w:color w:val="C8102E"/>
              </w:rPr>
              <w:t>=</w:t>
            </w:r>
          </w:p>
        </w:tc>
        <w:tc>
          <w:tcPr>
            <w:tcW w:w="1000" w:type="dxa"/>
            <w:vAlign w:val="bottom"/>
            <w:shd w:val="clear" w:color="auto" w:fill="EDEDEE"/>
          </w:tcPr>
          <w:p>
            <w:pPr>
              <w:jc w:val="right"/>
              <w:ind w:right="19"/>
              <w:spacing w:after="0" w:line="162" w:lineRule="exact"/>
              <w:rPr>
                <w:sz w:val="20"/>
                <w:szCs w:val="20"/>
                <w:color w:val="auto"/>
              </w:rPr>
            </w:pPr>
            <w:r>
              <w:rPr>
                <w:rFonts w:ascii="Arial" w:cs="Arial" w:eastAsia="Arial" w:hAnsi="Arial"/>
                <w:sz w:val="16"/>
                <w:szCs w:val="16"/>
                <w:color w:val="auto"/>
              </w:rPr>
              <w:t>457,500</w:t>
            </w:r>
          </w:p>
        </w:tc>
        <w:tc>
          <w:tcPr>
            <w:tcW w:w="520" w:type="dxa"/>
            <w:vAlign w:val="bottom"/>
            <w:shd w:val="clear" w:color="auto" w:fill="EDEDEE"/>
          </w:tcPr>
          <w:p>
            <w:pPr>
              <w:ind w:left="120"/>
              <w:spacing w:after="0" w:line="162" w:lineRule="exact"/>
              <w:rPr>
                <w:sz w:val="20"/>
                <w:szCs w:val="20"/>
                <w:color w:val="auto"/>
              </w:rPr>
            </w:pPr>
            <w:r>
              <w:rPr>
                <w:rFonts w:ascii="Arial" w:cs="Arial" w:eastAsia="Arial" w:hAnsi="Arial"/>
                <w:sz w:val="16"/>
                <w:szCs w:val="16"/>
                <w:color w:val="C8102E"/>
              </w:rPr>
              <w:t>X</w:t>
            </w:r>
          </w:p>
        </w:tc>
        <w:tc>
          <w:tcPr>
            <w:tcW w:w="880" w:type="dxa"/>
            <w:vAlign w:val="bottom"/>
            <w:shd w:val="clear" w:color="auto" w:fill="EDEDEE"/>
          </w:tcPr>
          <w:p>
            <w:pPr>
              <w:jc w:val="right"/>
              <w:ind w:right="39"/>
              <w:spacing w:after="0" w:line="162" w:lineRule="exact"/>
              <w:rPr>
                <w:sz w:val="20"/>
                <w:szCs w:val="20"/>
                <w:color w:val="auto"/>
              </w:rPr>
            </w:pPr>
            <w:r>
              <w:rPr>
                <w:rFonts w:ascii="Arial" w:cs="Arial" w:eastAsia="Arial" w:hAnsi="Arial"/>
                <w:sz w:val="16"/>
                <w:szCs w:val="16"/>
                <w:color w:val="auto"/>
              </w:rPr>
              <w:t>92.2%</w:t>
            </w:r>
          </w:p>
        </w:tc>
        <w:tc>
          <w:tcPr>
            <w:tcW w:w="1020" w:type="dxa"/>
            <w:vAlign w:val="bottom"/>
            <w:shd w:val="clear" w:color="auto" w:fill="EDEDEE"/>
          </w:tcPr>
          <w:p>
            <w:pPr>
              <w:jc w:val="right"/>
              <w:spacing w:after="0" w:line="162" w:lineRule="exact"/>
              <w:rPr>
                <w:sz w:val="20"/>
                <w:szCs w:val="20"/>
                <w:color w:val="auto"/>
              </w:rPr>
            </w:pPr>
            <w:r>
              <w:rPr>
                <w:rFonts w:ascii="Arial" w:cs="Arial" w:eastAsia="Arial" w:hAnsi="Arial"/>
                <w:sz w:val="16"/>
                <w:szCs w:val="16"/>
                <w:color w:val="auto"/>
              </w:rPr>
              <w:t>421,815</w:t>
            </w:r>
          </w:p>
        </w:tc>
        <w:tc>
          <w:tcPr>
            <w:tcW w:w="1220" w:type="dxa"/>
            <w:vAlign w:val="bottom"/>
            <w:shd w:val="clear" w:color="auto" w:fill="EDEDEE"/>
          </w:tcPr>
          <w:p>
            <w:pPr>
              <w:jc w:val="right"/>
              <w:ind w:right="40"/>
              <w:spacing w:after="0" w:line="162" w:lineRule="exact"/>
              <w:rPr>
                <w:sz w:val="20"/>
                <w:szCs w:val="20"/>
                <w:color w:val="auto"/>
              </w:rPr>
            </w:pPr>
            <w:r>
              <w:rPr>
                <w:rFonts w:ascii="Arial" w:cs="Arial" w:eastAsia="Arial" w:hAnsi="Arial"/>
                <w:sz w:val="16"/>
                <w:szCs w:val="16"/>
                <w:color w:val="auto"/>
              </w:rPr>
              <w:t>110.0%</w:t>
            </w:r>
          </w:p>
        </w:tc>
        <w:tc>
          <w:tcPr>
            <w:tcW w:w="520" w:type="dxa"/>
            <w:vAlign w:val="bottom"/>
            <w:shd w:val="clear" w:color="auto" w:fill="EDEDEE"/>
          </w:tcPr>
          <w:p>
            <w:pPr>
              <w:jc w:val="right"/>
              <w:ind w:right="239"/>
              <w:spacing w:after="0" w:line="162" w:lineRule="exact"/>
              <w:rPr>
                <w:sz w:val="20"/>
                <w:szCs w:val="20"/>
                <w:color w:val="auto"/>
              </w:rPr>
            </w:pPr>
            <w:r>
              <w:rPr>
                <w:rFonts w:ascii="Arial" w:cs="Arial" w:eastAsia="Arial" w:hAnsi="Arial"/>
                <w:sz w:val="16"/>
                <w:szCs w:val="16"/>
                <w:color w:val="C8102E"/>
              </w:rPr>
              <w:t>=</w:t>
            </w:r>
          </w:p>
        </w:tc>
        <w:tc>
          <w:tcPr>
            <w:tcW w:w="1180" w:type="dxa"/>
            <w:vAlign w:val="bottom"/>
            <w:shd w:val="clear" w:color="auto" w:fill="EDEDEE"/>
          </w:tcPr>
          <w:p>
            <w:pPr>
              <w:jc w:val="right"/>
              <w:ind w:right="39"/>
              <w:spacing w:after="0" w:line="162" w:lineRule="exact"/>
              <w:rPr>
                <w:sz w:val="20"/>
                <w:szCs w:val="20"/>
                <w:color w:val="auto"/>
              </w:rPr>
            </w:pPr>
            <w:r>
              <w:rPr>
                <w:rFonts w:ascii="Arial" w:cs="Arial" w:eastAsia="Arial" w:hAnsi="Arial"/>
                <w:sz w:val="16"/>
                <w:szCs w:val="16"/>
                <w:color w:val="auto"/>
              </w:rPr>
              <w:t>463,997</w:t>
            </w:r>
          </w:p>
        </w:tc>
        <w:tc>
          <w:tcPr>
            <w:tcW w:w="0" w:type="dxa"/>
            <w:vAlign w:val="bottom"/>
          </w:tcPr>
          <w:p>
            <w:pPr>
              <w:spacing w:after="0"/>
              <w:rPr>
                <w:sz w:val="1"/>
                <w:szCs w:val="1"/>
                <w:color w:val="auto"/>
              </w:rPr>
            </w:pPr>
          </w:p>
        </w:tc>
      </w:tr>
      <w:tr>
        <w:trPr>
          <w:trHeight w:val="162"/>
        </w:trPr>
        <w:tc>
          <w:tcPr>
            <w:tcW w:w="1660" w:type="dxa"/>
            <w:vAlign w:val="bottom"/>
          </w:tcPr>
          <w:p>
            <w:pPr>
              <w:spacing w:after="0" w:line="162" w:lineRule="exact"/>
              <w:rPr>
                <w:sz w:val="20"/>
                <w:szCs w:val="20"/>
                <w:color w:val="auto"/>
              </w:rPr>
            </w:pPr>
            <w:r>
              <w:rPr>
                <w:rFonts w:ascii="Arial" w:cs="Arial" w:eastAsia="Arial" w:hAnsi="Arial"/>
                <w:sz w:val="16"/>
                <w:szCs w:val="16"/>
                <w:b w:val="1"/>
                <w:bCs w:val="1"/>
                <w:color w:val="auto"/>
              </w:rPr>
              <w:t>Mr. Pryor</w:t>
            </w:r>
          </w:p>
        </w:tc>
        <w:tc>
          <w:tcPr>
            <w:tcW w:w="1140" w:type="dxa"/>
            <w:vAlign w:val="bottom"/>
          </w:tcPr>
          <w:p>
            <w:pPr>
              <w:jc w:val="right"/>
              <w:ind w:right="19"/>
              <w:spacing w:after="0" w:line="162" w:lineRule="exact"/>
              <w:rPr>
                <w:sz w:val="20"/>
                <w:szCs w:val="20"/>
                <w:color w:val="auto"/>
              </w:rPr>
            </w:pPr>
            <w:r>
              <w:rPr>
                <w:rFonts w:ascii="Arial" w:cs="Arial" w:eastAsia="Arial" w:hAnsi="Arial"/>
                <w:sz w:val="16"/>
                <w:szCs w:val="16"/>
                <w:color w:val="auto"/>
              </w:rPr>
              <w:t>620,000</w:t>
            </w:r>
          </w:p>
        </w:tc>
        <w:tc>
          <w:tcPr>
            <w:tcW w:w="360" w:type="dxa"/>
            <w:vAlign w:val="bottom"/>
          </w:tcPr>
          <w:p>
            <w:pPr>
              <w:ind w:left="100"/>
              <w:spacing w:after="0" w:line="162" w:lineRule="exact"/>
              <w:rPr>
                <w:sz w:val="20"/>
                <w:szCs w:val="20"/>
                <w:color w:val="auto"/>
              </w:rPr>
            </w:pPr>
            <w:r>
              <w:rPr>
                <w:rFonts w:ascii="Arial" w:cs="Arial" w:eastAsia="Arial" w:hAnsi="Arial"/>
                <w:sz w:val="16"/>
                <w:szCs w:val="16"/>
                <w:color w:val="C8102E"/>
              </w:rPr>
              <w:t>X</w:t>
            </w:r>
          </w:p>
        </w:tc>
        <w:tc>
          <w:tcPr>
            <w:tcW w:w="1140" w:type="dxa"/>
            <w:vAlign w:val="bottom"/>
          </w:tcPr>
          <w:p>
            <w:pPr>
              <w:jc w:val="right"/>
              <w:ind w:right="39"/>
              <w:spacing w:after="0" w:line="162" w:lineRule="exact"/>
              <w:rPr>
                <w:sz w:val="20"/>
                <w:szCs w:val="20"/>
                <w:color w:val="auto"/>
              </w:rPr>
            </w:pPr>
            <w:r>
              <w:rPr>
                <w:rFonts w:ascii="Arial" w:cs="Arial" w:eastAsia="Arial" w:hAnsi="Arial"/>
                <w:sz w:val="16"/>
                <w:szCs w:val="16"/>
                <w:color w:val="auto"/>
              </w:rPr>
              <w:t>80%</w:t>
            </w:r>
          </w:p>
        </w:tc>
        <w:tc>
          <w:tcPr>
            <w:tcW w:w="380" w:type="dxa"/>
            <w:vAlign w:val="bottom"/>
          </w:tcPr>
          <w:p>
            <w:pPr>
              <w:jc w:val="right"/>
              <w:ind w:right="99"/>
              <w:spacing w:after="0" w:line="162" w:lineRule="exact"/>
              <w:rPr>
                <w:sz w:val="20"/>
                <w:szCs w:val="20"/>
                <w:color w:val="auto"/>
              </w:rPr>
            </w:pPr>
            <w:r>
              <w:rPr>
                <w:rFonts w:ascii="Arial" w:cs="Arial" w:eastAsia="Arial" w:hAnsi="Arial"/>
                <w:sz w:val="16"/>
                <w:szCs w:val="16"/>
                <w:color w:val="C8102E"/>
              </w:rPr>
              <w:t>=</w:t>
            </w:r>
          </w:p>
        </w:tc>
        <w:tc>
          <w:tcPr>
            <w:tcW w:w="1000" w:type="dxa"/>
            <w:vAlign w:val="bottom"/>
          </w:tcPr>
          <w:p>
            <w:pPr>
              <w:jc w:val="right"/>
              <w:ind w:right="19"/>
              <w:spacing w:after="0" w:line="162" w:lineRule="exact"/>
              <w:rPr>
                <w:sz w:val="20"/>
                <w:szCs w:val="20"/>
                <w:color w:val="auto"/>
              </w:rPr>
            </w:pPr>
            <w:r>
              <w:rPr>
                <w:rFonts w:ascii="Arial" w:cs="Arial" w:eastAsia="Arial" w:hAnsi="Arial"/>
                <w:sz w:val="16"/>
                <w:szCs w:val="16"/>
                <w:color w:val="auto"/>
              </w:rPr>
              <w:t>496,000</w:t>
            </w:r>
          </w:p>
        </w:tc>
        <w:tc>
          <w:tcPr>
            <w:tcW w:w="520" w:type="dxa"/>
            <w:vAlign w:val="bottom"/>
          </w:tcPr>
          <w:p>
            <w:pPr>
              <w:ind w:left="120"/>
              <w:spacing w:after="0" w:line="162" w:lineRule="exact"/>
              <w:rPr>
                <w:sz w:val="20"/>
                <w:szCs w:val="20"/>
                <w:color w:val="auto"/>
              </w:rPr>
            </w:pPr>
            <w:r>
              <w:rPr>
                <w:rFonts w:ascii="Arial" w:cs="Arial" w:eastAsia="Arial" w:hAnsi="Arial"/>
                <w:sz w:val="16"/>
                <w:szCs w:val="16"/>
                <w:color w:val="C8102E"/>
              </w:rPr>
              <w:t>X</w:t>
            </w:r>
          </w:p>
        </w:tc>
        <w:tc>
          <w:tcPr>
            <w:tcW w:w="880" w:type="dxa"/>
            <w:vAlign w:val="bottom"/>
          </w:tcPr>
          <w:p>
            <w:pPr>
              <w:jc w:val="right"/>
              <w:ind w:right="39"/>
              <w:spacing w:after="0" w:line="162" w:lineRule="exact"/>
              <w:rPr>
                <w:sz w:val="20"/>
                <w:szCs w:val="20"/>
                <w:color w:val="auto"/>
              </w:rPr>
            </w:pPr>
            <w:r>
              <w:rPr>
                <w:rFonts w:ascii="Arial" w:cs="Arial" w:eastAsia="Arial" w:hAnsi="Arial"/>
                <w:sz w:val="16"/>
                <w:szCs w:val="16"/>
                <w:color w:val="auto"/>
              </w:rPr>
              <w:t>92.2%</w:t>
            </w:r>
          </w:p>
        </w:tc>
        <w:tc>
          <w:tcPr>
            <w:tcW w:w="1020" w:type="dxa"/>
            <w:vAlign w:val="bottom"/>
          </w:tcPr>
          <w:p>
            <w:pPr>
              <w:jc w:val="right"/>
              <w:spacing w:after="0" w:line="162" w:lineRule="exact"/>
              <w:rPr>
                <w:sz w:val="20"/>
                <w:szCs w:val="20"/>
                <w:color w:val="auto"/>
              </w:rPr>
            </w:pPr>
            <w:r>
              <w:rPr>
                <w:rFonts w:ascii="Arial" w:cs="Arial" w:eastAsia="Arial" w:hAnsi="Arial"/>
                <w:sz w:val="16"/>
                <w:szCs w:val="16"/>
                <w:color w:val="auto"/>
              </w:rPr>
              <w:t>457,312</w:t>
            </w:r>
          </w:p>
        </w:tc>
        <w:tc>
          <w:tcPr>
            <w:tcW w:w="1220" w:type="dxa"/>
            <w:vAlign w:val="bottom"/>
          </w:tcPr>
          <w:p>
            <w:pPr>
              <w:jc w:val="right"/>
              <w:ind w:right="40"/>
              <w:spacing w:after="0" w:line="162" w:lineRule="exact"/>
              <w:rPr>
                <w:sz w:val="20"/>
                <w:szCs w:val="20"/>
                <w:color w:val="auto"/>
              </w:rPr>
            </w:pPr>
            <w:r>
              <w:rPr>
                <w:rFonts w:ascii="Arial" w:cs="Arial" w:eastAsia="Arial" w:hAnsi="Arial"/>
                <w:sz w:val="16"/>
                <w:szCs w:val="16"/>
                <w:color w:val="auto"/>
              </w:rPr>
              <w:t>100.0%</w:t>
            </w:r>
          </w:p>
        </w:tc>
        <w:tc>
          <w:tcPr>
            <w:tcW w:w="520" w:type="dxa"/>
            <w:vAlign w:val="bottom"/>
          </w:tcPr>
          <w:p>
            <w:pPr>
              <w:jc w:val="right"/>
              <w:ind w:right="239"/>
              <w:spacing w:after="0" w:line="162" w:lineRule="exact"/>
              <w:rPr>
                <w:sz w:val="20"/>
                <w:szCs w:val="20"/>
                <w:color w:val="auto"/>
              </w:rPr>
            </w:pPr>
            <w:r>
              <w:rPr>
                <w:rFonts w:ascii="Arial" w:cs="Arial" w:eastAsia="Arial" w:hAnsi="Arial"/>
                <w:sz w:val="16"/>
                <w:szCs w:val="16"/>
                <w:color w:val="C8102E"/>
              </w:rPr>
              <w:t>=</w:t>
            </w:r>
          </w:p>
        </w:tc>
        <w:tc>
          <w:tcPr>
            <w:tcW w:w="1180" w:type="dxa"/>
            <w:vAlign w:val="bottom"/>
          </w:tcPr>
          <w:p>
            <w:pPr>
              <w:jc w:val="right"/>
              <w:ind w:right="39"/>
              <w:spacing w:after="0" w:line="162" w:lineRule="exact"/>
              <w:rPr>
                <w:sz w:val="20"/>
                <w:szCs w:val="20"/>
                <w:color w:val="auto"/>
              </w:rPr>
            </w:pPr>
            <w:r>
              <w:rPr>
                <w:rFonts w:ascii="Arial" w:cs="Arial" w:eastAsia="Arial" w:hAnsi="Arial"/>
                <w:sz w:val="16"/>
                <w:szCs w:val="16"/>
                <w:color w:val="auto"/>
              </w:rPr>
              <w:t>457,312</w:t>
            </w:r>
          </w:p>
        </w:tc>
        <w:tc>
          <w:tcPr>
            <w:tcW w:w="0" w:type="dxa"/>
            <w:vAlign w:val="bottom"/>
          </w:tcPr>
          <w:p>
            <w:pPr>
              <w:spacing w:after="0"/>
              <w:rPr>
                <w:sz w:val="1"/>
                <w:szCs w:val="1"/>
                <w:color w:val="auto"/>
              </w:rPr>
            </w:pPr>
          </w:p>
        </w:tc>
      </w:tr>
      <w:tr>
        <w:trPr>
          <w:trHeight w:val="162"/>
        </w:trPr>
        <w:tc>
          <w:tcPr>
            <w:tcW w:w="1660" w:type="dxa"/>
            <w:vAlign w:val="bottom"/>
            <w:shd w:val="clear" w:color="auto" w:fill="EDEDEE"/>
          </w:tcPr>
          <w:p>
            <w:pPr>
              <w:spacing w:after="0" w:line="162" w:lineRule="exact"/>
              <w:rPr>
                <w:sz w:val="20"/>
                <w:szCs w:val="20"/>
                <w:color w:val="auto"/>
              </w:rPr>
            </w:pPr>
            <w:r>
              <w:rPr>
                <w:rFonts w:ascii="Arial" w:cs="Arial" w:eastAsia="Arial" w:hAnsi="Arial"/>
                <w:sz w:val="16"/>
                <w:szCs w:val="16"/>
                <w:b w:val="1"/>
                <w:bCs w:val="1"/>
                <w:color w:val="auto"/>
              </w:rPr>
              <w:t>Mr. Ross</w:t>
            </w:r>
          </w:p>
        </w:tc>
        <w:tc>
          <w:tcPr>
            <w:tcW w:w="1140" w:type="dxa"/>
            <w:vAlign w:val="bottom"/>
            <w:shd w:val="clear" w:color="auto" w:fill="EDEDEE"/>
          </w:tcPr>
          <w:p>
            <w:pPr>
              <w:jc w:val="right"/>
              <w:ind w:right="19"/>
              <w:spacing w:after="0" w:line="162" w:lineRule="exact"/>
              <w:rPr>
                <w:sz w:val="20"/>
                <w:szCs w:val="20"/>
                <w:color w:val="auto"/>
              </w:rPr>
            </w:pPr>
            <w:r>
              <w:rPr>
                <w:rFonts w:ascii="Arial" w:cs="Arial" w:eastAsia="Arial" w:hAnsi="Arial"/>
                <w:sz w:val="16"/>
                <w:szCs w:val="16"/>
                <w:color w:val="auto"/>
              </w:rPr>
              <w:t>520,000</w:t>
            </w:r>
          </w:p>
        </w:tc>
        <w:tc>
          <w:tcPr>
            <w:tcW w:w="360" w:type="dxa"/>
            <w:vAlign w:val="bottom"/>
            <w:shd w:val="clear" w:color="auto" w:fill="EDEDEE"/>
          </w:tcPr>
          <w:p>
            <w:pPr>
              <w:ind w:left="100"/>
              <w:spacing w:after="0" w:line="162" w:lineRule="exact"/>
              <w:rPr>
                <w:sz w:val="20"/>
                <w:szCs w:val="20"/>
                <w:color w:val="auto"/>
              </w:rPr>
            </w:pPr>
            <w:r>
              <w:rPr>
                <w:rFonts w:ascii="Arial" w:cs="Arial" w:eastAsia="Arial" w:hAnsi="Arial"/>
                <w:sz w:val="16"/>
                <w:szCs w:val="16"/>
                <w:color w:val="C8102E"/>
              </w:rPr>
              <w:t>X</w:t>
            </w:r>
          </w:p>
        </w:tc>
        <w:tc>
          <w:tcPr>
            <w:tcW w:w="1140" w:type="dxa"/>
            <w:vAlign w:val="bottom"/>
            <w:shd w:val="clear" w:color="auto" w:fill="EDEDEE"/>
          </w:tcPr>
          <w:p>
            <w:pPr>
              <w:jc w:val="right"/>
              <w:ind w:right="39"/>
              <w:spacing w:after="0" w:line="162" w:lineRule="exact"/>
              <w:rPr>
                <w:sz w:val="20"/>
                <w:szCs w:val="20"/>
                <w:color w:val="auto"/>
              </w:rPr>
            </w:pPr>
            <w:r>
              <w:rPr>
                <w:rFonts w:ascii="Arial" w:cs="Arial" w:eastAsia="Arial" w:hAnsi="Arial"/>
                <w:sz w:val="16"/>
                <w:szCs w:val="16"/>
                <w:color w:val="auto"/>
              </w:rPr>
              <w:t>75%</w:t>
            </w:r>
          </w:p>
        </w:tc>
        <w:tc>
          <w:tcPr>
            <w:tcW w:w="380" w:type="dxa"/>
            <w:vAlign w:val="bottom"/>
            <w:shd w:val="clear" w:color="auto" w:fill="EDEDEE"/>
          </w:tcPr>
          <w:p>
            <w:pPr>
              <w:jc w:val="right"/>
              <w:ind w:right="99"/>
              <w:spacing w:after="0" w:line="162" w:lineRule="exact"/>
              <w:rPr>
                <w:sz w:val="20"/>
                <w:szCs w:val="20"/>
                <w:color w:val="auto"/>
              </w:rPr>
            </w:pPr>
            <w:r>
              <w:rPr>
                <w:rFonts w:ascii="Arial" w:cs="Arial" w:eastAsia="Arial" w:hAnsi="Arial"/>
                <w:sz w:val="16"/>
                <w:szCs w:val="16"/>
                <w:color w:val="C8102E"/>
              </w:rPr>
              <w:t>=</w:t>
            </w:r>
          </w:p>
        </w:tc>
        <w:tc>
          <w:tcPr>
            <w:tcW w:w="1000" w:type="dxa"/>
            <w:vAlign w:val="bottom"/>
            <w:shd w:val="clear" w:color="auto" w:fill="EDEDEE"/>
          </w:tcPr>
          <w:p>
            <w:pPr>
              <w:jc w:val="right"/>
              <w:ind w:right="19"/>
              <w:spacing w:after="0" w:line="162" w:lineRule="exact"/>
              <w:rPr>
                <w:sz w:val="20"/>
                <w:szCs w:val="20"/>
                <w:color w:val="auto"/>
              </w:rPr>
            </w:pPr>
            <w:r>
              <w:rPr>
                <w:rFonts w:ascii="Arial" w:cs="Arial" w:eastAsia="Arial" w:hAnsi="Arial"/>
                <w:sz w:val="16"/>
                <w:szCs w:val="16"/>
                <w:color w:val="auto"/>
              </w:rPr>
              <w:t>390,000</w:t>
            </w:r>
          </w:p>
        </w:tc>
        <w:tc>
          <w:tcPr>
            <w:tcW w:w="520" w:type="dxa"/>
            <w:vAlign w:val="bottom"/>
            <w:shd w:val="clear" w:color="auto" w:fill="EDEDEE"/>
          </w:tcPr>
          <w:p>
            <w:pPr>
              <w:ind w:left="120"/>
              <w:spacing w:after="0" w:line="162" w:lineRule="exact"/>
              <w:rPr>
                <w:sz w:val="20"/>
                <w:szCs w:val="20"/>
                <w:color w:val="auto"/>
              </w:rPr>
            </w:pPr>
            <w:r>
              <w:rPr>
                <w:rFonts w:ascii="Arial" w:cs="Arial" w:eastAsia="Arial" w:hAnsi="Arial"/>
                <w:sz w:val="16"/>
                <w:szCs w:val="16"/>
                <w:color w:val="C8102E"/>
              </w:rPr>
              <w:t>X</w:t>
            </w:r>
          </w:p>
        </w:tc>
        <w:tc>
          <w:tcPr>
            <w:tcW w:w="880" w:type="dxa"/>
            <w:vAlign w:val="bottom"/>
            <w:shd w:val="clear" w:color="auto" w:fill="EDEDEE"/>
          </w:tcPr>
          <w:p>
            <w:pPr>
              <w:jc w:val="right"/>
              <w:ind w:right="39"/>
              <w:spacing w:after="0" w:line="162" w:lineRule="exact"/>
              <w:rPr>
                <w:sz w:val="20"/>
                <w:szCs w:val="20"/>
                <w:color w:val="auto"/>
              </w:rPr>
            </w:pPr>
            <w:r>
              <w:rPr>
                <w:rFonts w:ascii="Arial" w:cs="Arial" w:eastAsia="Arial" w:hAnsi="Arial"/>
                <w:sz w:val="16"/>
                <w:szCs w:val="16"/>
                <w:color w:val="auto"/>
              </w:rPr>
              <w:t>94.9%</w:t>
            </w:r>
          </w:p>
        </w:tc>
        <w:tc>
          <w:tcPr>
            <w:tcW w:w="1020" w:type="dxa"/>
            <w:vAlign w:val="bottom"/>
            <w:shd w:val="clear" w:color="auto" w:fill="EDEDEE"/>
          </w:tcPr>
          <w:p>
            <w:pPr>
              <w:jc w:val="right"/>
              <w:spacing w:after="0" w:line="162" w:lineRule="exact"/>
              <w:rPr>
                <w:sz w:val="20"/>
                <w:szCs w:val="20"/>
                <w:color w:val="auto"/>
              </w:rPr>
            </w:pPr>
            <w:r>
              <w:rPr>
                <w:rFonts w:ascii="Arial" w:cs="Arial" w:eastAsia="Arial" w:hAnsi="Arial"/>
                <w:sz w:val="16"/>
                <w:szCs w:val="16"/>
                <w:color w:val="auto"/>
              </w:rPr>
              <w:t>370,110</w:t>
            </w:r>
          </w:p>
        </w:tc>
        <w:tc>
          <w:tcPr>
            <w:tcW w:w="1220" w:type="dxa"/>
            <w:vAlign w:val="bottom"/>
            <w:shd w:val="clear" w:color="auto" w:fill="EDEDEE"/>
          </w:tcPr>
          <w:p>
            <w:pPr>
              <w:jc w:val="right"/>
              <w:ind w:right="40"/>
              <w:spacing w:after="0" w:line="162" w:lineRule="exact"/>
              <w:rPr>
                <w:sz w:val="20"/>
                <w:szCs w:val="20"/>
                <w:color w:val="auto"/>
              </w:rPr>
            </w:pPr>
            <w:r>
              <w:rPr>
                <w:rFonts w:ascii="Arial" w:cs="Arial" w:eastAsia="Arial" w:hAnsi="Arial"/>
                <w:sz w:val="16"/>
                <w:szCs w:val="16"/>
                <w:color w:val="auto"/>
              </w:rPr>
              <w:t>105.0%</w:t>
            </w:r>
          </w:p>
        </w:tc>
        <w:tc>
          <w:tcPr>
            <w:tcW w:w="520" w:type="dxa"/>
            <w:vAlign w:val="bottom"/>
            <w:shd w:val="clear" w:color="auto" w:fill="EDEDEE"/>
          </w:tcPr>
          <w:p>
            <w:pPr>
              <w:jc w:val="right"/>
              <w:ind w:right="239"/>
              <w:spacing w:after="0" w:line="162" w:lineRule="exact"/>
              <w:rPr>
                <w:sz w:val="20"/>
                <w:szCs w:val="20"/>
                <w:color w:val="auto"/>
              </w:rPr>
            </w:pPr>
            <w:r>
              <w:rPr>
                <w:rFonts w:ascii="Arial" w:cs="Arial" w:eastAsia="Arial" w:hAnsi="Arial"/>
                <w:sz w:val="16"/>
                <w:szCs w:val="16"/>
                <w:color w:val="C8102E"/>
              </w:rPr>
              <w:t>=</w:t>
            </w:r>
          </w:p>
        </w:tc>
        <w:tc>
          <w:tcPr>
            <w:tcW w:w="1180" w:type="dxa"/>
            <w:vAlign w:val="bottom"/>
            <w:shd w:val="clear" w:color="auto" w:fill="EDEDEE"/>
          </w:tcPr>
          <w:p>
            <w:pPr>
              <w:jc w:val="right"/>
              <w:ind w:right="39"/>
              <w:spacing w:after="0" w:line="162" w:lineRule="exact"/>
              <w:rPr>
                <w:sz w:val="20"/>
                <w:szCs w:val="20"/>
                <w:color w:val="auto"/>
              </w:rPr>
            </w:pPr>
            <w:r>
              <w:rPr>
                <w:rFonts w:ascii="Arial" w:cs="Arial" w:eastAsia="Arial" w:hAnsi="Arial"/>
                <w:sz w:val="16"/>
                <w:szCs w:val="16"/>
                <w:color w:val="auto"/>
              </w:rPr>
              <w:t>388,616</w:t>
            </w:r>
          </w:p>
        </w:tc>
        <w:tc>
          <w:tcPr>
            <w:tcW w:w="0" w:type="dxa"/>
            <w:vAlign w:val="bottom"/>
          </w:tcPr>
          <w:p>
            <w:pPr>
              <w:spacing w:after="0"/>
              <w:rPr>
                <w:sz w:val="1"/>
                <w:szCs w:val="1"/>
                <w:color w:val="auto"/>
              </w:rPr>
            </w:pPr>
          </w:p>
        </w:tc>
      </w:tr>
      <w:tr>
        <w:trPr>
          <w:trHeight w:val="162"/>
        </w:trPr>
        <w:tc>
          <w:tcPr>
            <w:tcW w:w="1660" w:type="dxa"/>
            <w:vAlign w:val="bottom"/>
          </w:tcPr>
          <w:p>
            <w:pPr>
              <w:spacing w:after="0" w:line="162" w:lineRule="exact"/>
              <w:rPr>
                <w:sz w:val="20"/>
                <w:szCs w:val="20"/>
                <w:color w:val="auto"/>
              </w:rPr>
            </w:pPr>
            <w:r>
              <w:rPr>
                <w:rFonts w:ascii="Arial" w:cs="Arial" w:eastAsia="Arial" w:hAnsi="Arial"/>
                <w:sz w:val="16"/>
                <w:szCs w:val="16"/>
                <w:b w:val="1"/>
                <w:bCs w:val="1"/>
                <w:color w:val="auto"/>
              </w:rPr>
              <w:t>Ms. Lang</w:t>
            </w:r>
          </w:p>
        </w:tc>
        <w:tc>
          <w:tcPr>
            <w:tcW w:w="1140" w:type="dxa"/>
            <w:vAlign w:val="bottom"/>
          </w:tcPr>
          <w:p>
            <w:pPr>
              <w:jc w:val="right"/>
              <w:ind w:right="19"/>
              <w:spacing w:after="0" w:line="162" w:lineRule="exact"/>
              <w:rPr>
                <w:sz w:val="20"/>
                <w:szCs w:val="20"/>
                <w:color w:val="auto"/>
              </w:rPr>
            </w:pPr>
            <w:r>
              <w:rPr>
                <w:rFonts w:ascii="Arial" w:cs="Arial" w:eastAsia="Arial" w:hAnsi="Arial"/>
                <w:sz w:val="16"/>
                <w:szCs w:val="16"/>
                <w:color w:val="auto"/>
              </w:rPr>
              <w:t>505,000</w:t>
            </w:r>
          </w:p>
        </w:tc>
        <w:tc>
          <w:tcPr>
            <w:tcW w:w="360" w:type="dxa"/>
            <w:vAlign w:val="bottom"/>
          </w:tcPr>
          <w:p>
            <w:pPr>
              <w:ind w:left="100"/>
              <w:spacing w:after="0" w:line="162" w:lineRule="exact"/>
              <w:rPr>
                <w:sz w:val="20"/>
                <w:szCs w:val="20"/>
                <w:color w:val="auto"/>
              </w:rPr>
            </w:pPr>
            <w:r>
              <w:rPr>
                <w:rFonts w:ascii="Arial" w:cs="Arial" w:eastAsia="Arial" w:hAnsi="Arial"/>
                <w:sz w:val="16"/>
                <w:szCs w:val="16"/>
                <w:color w:val="C8102E"/>
              </w:rPr>
              <w:t>X</w:t>
            </w:r>
          </w:p>
        </w:tc>
        <w:tc>
          <w:tcPr>
            <w:tcW w:w="1140" w:type="dxa"/>
            <w:vAlign w:val="bottom"/>
          </w:tcPr>
          <w:p>
            <w:pPr>
              <w:jc w:val="right"/>
              <w:ind w:right="39"/>
              <w:spacing w:after="0" w:line="162" w:lineRule="exact"/>
              <w:rPr>
                <w:sz w:val="20"/>
                <w:szCs w:val="20"/>
                <w:color w:val="auto"/>
              </w:rPr>
            </w:pPr>
            <w:r>
              <w:rPr>
                <w:rFonts w:ascii="Arial" w:cs="Arial" w:eastAsia="Arial" w:hAnsi="Arial"/>
                <w:sz w:val="16"/>
                <w:szCs w:val="16"/>
                <w:color w:val="auto"/>
              </w:rPr>
              <w:t>70%</w:t>
            </w:r>
          </w:p>
        </w:tc>
        <w:tc>
          <w:tcPr>
            <w:tcW w:w="380" w:type="dxa"/>
            <w:vAlign w:val="bottom"/>
          </w:tcPr>
          <w:p>
            <w:pPr>
              <w:jc w:val="right"/>
              <w:ind w:right="99"/>
              <w:spacing w:after="0" w:line="162" w:lineRule="exact"/>
              <w:rPr>
                <w:sz w:val="20"/>
                <w:szCs w:val="20"/>
                <w:color w:val="auto"/>
              </w:rPr>
            </w:pPr>
            <w:r>
              <w:rPr>
                <w:rFonts w:ascii="Arial" w:cs="Arial" w:eastAsia="Arial" w:hAnsi="Arial"/>
                <w:sz w:val="16"/>
                <w:szCs w:val="16"/>
                <w:color w:val="C8102E"/>
              </w:rPr>
              <w:t>=</w:t>
            </w:r>
          </w:p>
        </w:tc>
        <w:tc>
          <w:tcPr>
            <w:tcW w:w="1000" w:type="dxa"/>
            <w:vAlign w:val="bottom"/>
          </w:tcPr>
          <w:p>
            <w:pPr>
              <w:jc w:val="right"/>
              <w:ind w:right="19"/>
              <w:spacing w:after="0" w:line="162" w:lineRule="exact"/>
              <w:rPr>
                <w:sz w:val="20"/>
                <w:szCs w:val="20"/>
                <w:color w:val="auto"/>
              </w:rPr>
            </w:pPr>
            <w:r>
              <w:rPr>
                <w:rFonts w:ascii="Arial" w:cs="Arial" w:eastAsia="Arial" w:hAnsi="Arial"/>
                <w:sz w:val="16"/>
                <w:szCs w:val="16"/>
                <w:color w:val="auto"/>
              </w:rPr>
              <w:t>353,500</w:t>
            </w:r>
          </w:p>
        </w:tc>
        <w:tc>
          <w:tcPr>
            <w:tcW w:w="520" w:type="dxa"/>
            <w:vAlign w:val="bottom"/>
          </w:tcPr>
          <w:p>
            <w:pPr>
              <w:ind w:left="120"/>
              <w:spacing w:after="0" w:line="162" w:lineRule="exact"/>
              <w:rPr>
                <w:sz w:val="20"/>
                <w:szCs w:val="20"/>
                <w:color w:val="auto"/>
              </w:rPr>
            </w:pPr>
            <w:r>
              <w:rPr>
                <w:rFonts w:ascii="Arial" w:cs="Arial" w:eastAsia="Arial" w:hAnsi="Arial"/>
                <w:sz w:val="16"/>
                <w:szCs w:val="16"/>
                <w:color w:val="C8102E"/>
              </w:rPr>
              <w:t>X</w:t>
            </w:r>
          </w:p>
        </w:tc>
        <w:tc>
          <w:tcPr>
            <w:tcW w:w="880" w:type="dxa"/>
            <w:vAlign w:val="bottom"/>
          </w:tcPr>
          <w:p>
            <w:pPr>
              <w:jc w:val="right"/>
              <w:ind w:right="39"/>
              <w:spacing w:after="0" w:line="162" w:lineRule="exact"/>
              <w:rPr>
                <w:sz w:val="20"/>
                <w:szCs w:val="20"/>
                <w:color w:val="auto"/>
              </w:rPr>
            </w:pPr>
            <w:r>
              <w:rPr>
                <w:rFonts w:ascii="Arial" w:cs="Arial" w:eastAsia="Arial" w:hAnsi="Arial"/>
                <w:sz w:val="16"/>
                <w:szCs w:val="16"/>
                <w:color w:val="auto"/>
              </w:rPr>
              <w:t>92.2%</w:t>
            </w:r>
          </w:p>
        </w:tc>
        <w:tc>
          <w:tcPr>
            <w:tcW w:w="1020" w:type="dxa"/>
            <w:vAlign w:val="bottom"/>
          </w:tcPr>
          <w:p>
            <w:pPr>
              <w:jc w:val="right"/>
              <w:spacing w:after="0" w:line="162" w:lineRule="exact"/>
              <w:rPr>
                <w:sz w:val="20"/>
                <w:szCs w:val="20"/>
                <w:color w:val="auto"/>
              </w:rPr>
            </w:pPr>
            <w:r>
              <w:rPr>
                <w:rFonts w:ascii="Arial" w:cs="Arial" w:eastAsia="Arial" w:hAnsi="Arial"/>
                <w:sz w:val="16"/>
                <w:szCs w:val="16"/>
                <w:color w:val="auto"/>
              </w:rPr>
              <w:t>325,927</w:t>
            </w:r>
          </w:p>
        </w:tc>
        <w:tc>
          <w:tcPr>
            <w:tcW w:w="1220" w:type="dxa"/>
            <w:vAlign w:val="bottom"/>
          </w:tcPr>
          <w:p>
            <w:pPr>
              <w:jc w:val="right"/>
              <w:ind w:right="40"/>
              <w:spacing w:after="0" w:line="162" w:lineRule="exact"/>
              <w:rPr>
                <w:sz w:val="20"/>
                <w:szCs w:val="20"/>
                <w:color w:val="auto"/>
              </w:rPr>
            </w:pPr>
            <w:r>
              <w:rPr>
                <w:rFonts w:ascii="Arial" w:cs="Arial" w:eastAsia="Arial" w:hAnsi="Arial"/>
                <w:sz w:val="16"/>
                <w:szCs w:val="16"/>
                <w:color w:val="auto"/>
              </w:rPr>
              <w:t>110.0%</w:t>
            </w:r>
          </w:p>
        </w:tc>
        <w:tc>
          <w:tcPr>
            <w:tcW w:w="520" w:type="dxa"/>
            <w:vAlign w:val="bottom"/>
          </w:tcPr>
          <w:p>
            <w:pPr>
              <w:jc w:val="right"/>
              <w:ind w:right="239"/>
              <w:spacing w:after="0" w:line="162" w:lineRule="exact"/>
              <w:rPr>
                <w:sz w:val="20"/>
                <w:szCs w:val="20"/>
                <w:color w:val="auto"/>
              </w:rPr>
            </w:pPr>
            <w:r>
              <w:rPr>
                <w:rFonts w:ascii="Arial" w:cs="Arial" w:eastAsia="Arial" w:hAnsi="Arial"/>
                <w:sz w:val="16"/>
                <w:szCs w:val="16"/>
                <w:color w:val="C8102E"/>
              </w:rPr>
              <w:t>=</w:t>
            </w:r>
          </w:p>
        </w:tc>
        <w:tc>
          <w:tcPr>
            <w:tcW w:w="1180" w:type="dxa"/>
            <w:vAlign w:val="bottom"/>
          </w:tcPr>
          <w:p>
            <w:pPr>
              <w:jc w:val="right"/>
              <w:ind w:right="39"/>
              <w:spacing w:after="0" w:line="162" w:lineRule="exact"/>
              <w:rPr>
                <w:sz w:val="20"/>
                <w:szCs w:val="20"/>
                <w:color w:val="auto"/>
              </w:rPr>
            </w:pPr>
            <w:r>
              <w:rPr>
                <w:rFonts w:ascii="Arial" w:cs="Arial" w:eastAsia="Arial" w:hAnsi="Arial"/>
                <w:sz w:val="16"/>
                <w:szCs w:val="16"/>
                <w:color w:val="auto"/>
              </w:rPr>
              <w:t>358,520</w:t>
            </w:r>
          </w:p>
        </w:tc>
        <w:tc>
          <w:tcPr>
            <w:tcW w:w="0" w:type="dxa"/>
            <w:vAlign w:val="bottom"/>
          </w:tcPr>
          <w:p>
            <w:pPr>
              <w:spacing w:after="0"/>
              <w:rPr>
                <w:sz w:val="1"/>
                <w:szCs w:val="1"/>
                <w:color w:val="auto"/>
              </w:rPr>
            </w:pPr>
          </w:p>
        </w:tc>
      </w:tr>
      <w:tr>
        <w:trPr>
          <w:trHeight w:val="162"/>
        </w:trPr>
        <w:tc>
          <w:tcPr>
            <w:tcW w:w="1660" w:type="dxa"/>
            <w:vAlign w:val="bottom"/>
            <w:shd w:val="clear" w:color="auto" w:fill="EDEDEE"/>
          </w:tcPr>
          <w:p>
            <w:pPr>
              <w:spacing w:after="0" w:line="162" w:lineRule="exact"/>
              <w:rPr>
                <w:sz w:val="20"/>
                <w:szCs w:val="20"/>
                <w:color w:val="auto"/>
              </w:rPr>
            </w:pPr>
            <w:r>
              <w:rPr>
                <w:rFonts w:ascii="Arial" w:cs="Arial" w:eastAsia="Arial" w:hAnsi="Arial"/>
                <w:sz w:val="16"/>
                <w:szCs w:val="16"/>
                <w:b w:val="1"/>
                <w:bCs w:val="1"/>
                <w:color w:val="auto"/>
              </w:rPr>
              <w:t>Mr. Vogt</w:t>
            </w:r>
          </w:p>
        </w:tc>
        <w:tc>
          <w:tcPr>
            <w:tcW w:w="1140" w:type="dxa"/>
            <w:vAlign w:val="bottom"/>
            <w:shd w:val="clear" w:color="auto" w:fill="EDEDEE"/>
          </w:tcPr>
          <w:p>
            <w:pPr>
              <w:jc w:val="right"/>
              <w:ind w:right="19"/>
              <w:spacing w:after="0" w:line="162" w:lineRule="exact"/>
              <w:rPr>
                <w:sz w:val="20"/>
                <w:szCs w:val="20"/>
                <w:color w:val="auto"/>
              </w:rPr>
            </w:pPr>
            <w:r>
              <w:rPr>
                <w:rFonts w:ascii="Arial" w:cs="Arial" w:eastAsia="Arial" w:hAnsi="Arial"/>
                <w:sz w:val="16"/>
                <w:szCs w:val="16"/>
                <w:color w:val="auto"/>
              </w:rPr>
              <w:t>500,000</w:t>
            </w:r>
          </w:p>
        </w:tc>
        <w:tc>
          <w:tcPr>
            <w:tcW w:w="360" w:type="dxa"/>
            <w:vAlign w:val="bottom"/>
            <w:shd w:val="clear" w:color="auto" w:fill="EDEDEE"/>
          </w:tcPr>
          <w:p>
            <w:pPr>
              <w:ind w:left="100"/>
              <w:spacing w:after="0" w:line="162" w:lineRule="exact"/>
              <w:rPr>
                <w:sz w:val="20"/>
                <w:szCs w:val="20"/>
                <w:color w:val="auto"/>
              </w:rPr>
            </w:pPr>
            <w:r>
              <w:rPr>
                <w:rFonts w:ascii="Arial" w:cs="Arial" w:eastAsia="Arial" w:hAnsi="Arial"/>
                <w:sz w:val="16"/>
                <w:szCs w:val="16"/>
                <w:color w:val="C8102E"/>
              </w:rPr>
              <w:t>X</w:t>
            </w:r>
          </w:p>
        </w:tc>
        <w:tc>
          <w:tcPr>
            <w:tcW w:w="1140" w:type="dxa"/>
            <w:vAlign w:val="bottom"/>
            <w:shd w:val="clear" w:color="auto" w:fill="EDEDEE"/>
          </w:tcPr>
          <w:p>
            <w:pPr>
              <w:jc w:val="right"/>
              <w:ind w:right="39"/>
              <w:spacing w:after="0" w:line="162" w:lineRule="exact"/>
              <w:rPr>
                <w:sz w:val="20"/>
                <w:szCs w:val="20"/>
                <w:color w:val="auto"/>
              </w:rPr>
            </w:pPr>
            <w:r>
              <w:rPr>
                <w:rFonts w:ascii="Arial" w:cs="Arial" w:eastAsia="Arial" w:hAnsi="Arial"/>
                <w:sz w:val="16"/>
                <w:szCs w:val="16"/>
                <w:color w:val="auto"/>
              </w:rPr>
              <w:t>75%</w:t>
            </w:r>
          </w:p>
        </w:tc>
        <w:tc>
          <w:tcPr>
            <w:tcW w:w="380" w:type="dxa"/>
            <w:vAlign w:val="bottom"/>
            <w:shd w:val="clear" w:color="auto" w:fill="EDEDEE"/>
          </w:tcPr>
          <w:p>
            <w:pPr>
              <w:jc w:val="right"/>
              <w:ind w:right="99"/>
              <w:spacing w:after="0" w:line="162" w:lineRule="exact"/>
              <w:rPr>
                <w:sz w:val="20"/>
                <w:szCs w:val="20"/>
                <w:color w:val="auto"/>
              </w:rPr>
            </w:pPr>
            <w:r>
              <w:rPr>
                <w:rFonts w:ascii="Arial" w:cs="Arial" w:eastAsia="Arial" w:hAnsi="Arial"/>
                <w:sz w:val="16"/>
                <w:szCs w:val="16"/>
                <w:color w:val="C8102E"/>
              </w:rPr>
              <w:t>=</w:t>
            </w:r>
          </w:p>
        </w:tc>
        <w:tc>
          <w:tcPr>
            <w:tcW w:w="1000" w:type="dxa"/>
            <w:vAlign w:val="bottom"/>
            <w:shd w:val="clear" w:color="auto" w:fill="EDEDEE"/>
          </w:tcPr>
          <w:p>
            <w:pPr>
              <w:jc w:val="right"/>
              <w:ind w:right="19"/>
              <w:spacing w:after="0" w:line="162" w:lineRule="exact"/>
              <w:rPr>
                <w:sz w:val="20"/>
                <w:szCs w:val="20"/>
                <w:color w:val="auto"/>
              </w:rPr>
            </w:pPr>
            <w:r>
              <w:rPr>
                <w:rFonts w:ascii="Arial" w:cs="Arial" w:eastAsia="Arial" w:hAnsi="Arial"/>
                <w:sz w:val="16"/>
                <w:szCs w:val="16"/>
                <w:color w:val="auto"/>
              </w:rPr>
              <w:t>375,000</w:t>
            </w:r>
          </w:p>
        </w:tc>
        <w:tc>
          <w:tcPr>
            <w:tcW w:w="520" w:type="dxa"/>
            <w:vAlign w:val="bottom"/>
            <w:shd w:val="clear" w:color="auto" w:fill="EDEDEE"/>
          </w:tcPr>
          <w:p>
            <w:pPr>
              <w:ind w:left="120"/>
              <w:spacing w:after="0" w:line="162" w:lineRule="exact"/>
              <w:rPr>
                <w:sz w:val="20"/>
                <w:szCs w:val="20"/>
                <w:color w:val="auto"/>
              </w:rPr>
            </w:pPr>
            <w:r>
              <w:rPr>
                <w:rFonts w:ascii="Arial" w:cs="Arial" w:eastAsia="Arial" w:hAnsi="Arial"/>
                <w:sz w:val="16"/>
                <w:szCs w:val="16"/>
                <w:color w:val="C8102E"/>
              </w:rPr>
              <w:t>X</w:t>
            </w:r>
          </w:p>
        </w:tc>
        <w:tc>
          <w:tcPr>
            <w:tcW w:w="880" w:type="dxa"/>
            <w:vAlign w:val="bottom"/>
            <w:shd w:val="clear" w:color="auto" w:fill="EDEDEE"/>
          </w:tcPr>
          <w:p>
            <w:pPr>
              <w:jc w:val="right"/>
              <w:ind w:right="39"/>
              <w:spacing w:after="0" w:line="162" w:lineRule="exact"/>
              <w:rPr>
                <w:sz w:val="20"/>
                <w:szCs w:val="20"/>
                <w:color w:val="auto"/>
              </w:rPr>
            </w:pPr>
            <w:r>
              <w:rPr>
                <w:rFonts w:ascii="Arial" w:cs="Arial" w:eastAsia="Arial" w:hAnsi="Arial"/>
                <w:sz w:val="16"/>
                <w:szCs w:val="16"/>
                <w:color w:val="auto"/>
              </w:rPr>
              <w:t>91.9%</w:t>
            </w:r>
          </w:p>
        </w:tc>
        <w:tc>
          <w:tcPr>
            <w:tcW w:w="1020" w:type="dxa"/>
            <w:vAlign w:val="bottom"/>
            <w:shd w:val="clear" w:color="auto" w:fill="EDEDEE"/>
          </w:tcPr>
          <w:p>
            <w:pPr>
              <w:jc w:val="right"/>
              <w:spacing w:after="0" w:line="162" w:lineRule="exact"/>
              <w:rPr>
                <w:sz w:val="20"/>
                <w:szCs w:val="20"/>
                <w:color w:val="auto"/>
              </w:rPr>
            </w:pPr>
            <w:r>
              <w:rPr>
                <w:rFonts w:ascii="Arial" w:cs="Arial" w:eastAsia="Arial" w:hAnsi="Arial"/>
                <w:sz w:val="16"/>
                <w:szCs w:val="16"/>
                <w:color w:val="auto"/>
              </w:rPr>
              <w:t>344,625</w:t>
            </w:r>
          </w:p>
        </w:tc>
        <w:tc>
          <w:tcPr>
            <w:tcW w:w="1220" w:type="dxa"/>
            <w:vAlign w:val="bottom"/>
            <w:shd w:val="clear" w:color="auto" w:fill="EDEDEE"/>
          </w:tcPr>
          <w:p>
            <w:pPr>
              <w:jc w:val="right"/>
              <w:ind w:right="40"/>
              <w:spacing w:after="0" w:line="162" w:lineRule="exact"/>
              <w:rPr>
                <w:sz w:val="20"/>
                <w:szCs w:val="20"/>
                <w:color w:val="auto"/>
              </w:rPr>
            </w:pPr>
            <w:r>
              <w:rPr>
                <w:rFonts w:ascii="Arial" w:cs="Arial" w:eastAsia="Arial" w:hAnsi="Arial"/>
                <w:sz w:val="16"/>
                <w:szCs w:val="16"/>
                <w:color w:val="auto"/>
              </w:rPr>
              <w:t>100.0%</w:t>
            </w:r>
          </w:p>
        </w:tc>
        <w:tc>
          <w:tcPr>
            <w:tcW w:w="520" w:type="dxa"/>
            <w:vAlign w:val="bottom"/>
            <w:shd w:val="clear" w:color="auto" w:fill="EDEDEE"/>
          </w:tcPr>
          <w:p>
            <w:pPr>
              <w:jc w:val="right"/>
              <w:ind w:right="239"/>
              <w:spacing w:after="0" w:line="162" w:lineRule="exact"/>
              <w:rPr>
                <w:sz w:val="20"/>
                <w:szCs w:val="20"/>
                <w:color w:val="auto"/>
              </w:rPr>
            </w:pPr>
            <w:r>
              <w:rPr>
                <w:rFonts w:ascii="Arial" w:cs="Arial" w:eastAsia="Arial" w:hAnsi="Arial"/>
                <w:sz w:val="16"/>
                <w:szCs w:val="16"/>
                <w:color w:val="C8102E"/>
              </w:rPr>
              <w:t>=</w:t>
            </w:r>
          </w:p>
        </w:tc>
        <w:tc>
          <w:tcPr>
            <w:tcW w:w="1180" w:type="dxa"/>
            <w:vAlign w:val="bottom"/>
            <w:shd w:val="clear" w:color="auto" w:fill="EDEDEE"/>
          </w:tcPr>
          <w:p>
            <w:pPr>
              <w:jc w:val="right"/>
              <w:ind w:right="39"/>
              <w:spacing w:after="0" w:line="162" w:lineRule="exact"/>
              <w:rPr>
                <w:sz w:val="20"/>
                <w:szCs w:val="20"/>
                <w:color w:val="auto"/>
              </w:rPr>
            </w:pPr>
            <w:r>
              <w:rPr>
                <w:rFonts w:ascii="Arial" w:cs="Arial" w:eastAsia="Arial" w:hAnsi="Arial"/>
                <w:sz w:val="16"/>
                <w:szCs w:val="16"/>
                <w:color w:val="auto"/>
              </w:rPr>
              <w:t>344,625</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324" w:hanging="324"/>
        <w:spacing w:after="0"/>
        <w:tabs>
          <w:tab w:leader="none" w:pos="324" w:val="left"/>
        </w:tabs>
        <w:numPr>
          <w:ilvl w:val="0"/>
          <w:numId w:val="74"/>
        </w:numPr>
        <w:rPr>
          <w:rFonts w:ascii="Arial" w:cs="Arial" w:eastAsia="Arial" w:hAnsi="Arial"/>
          <w:sz w:val="14"/>
          <w:szCs w:val="14"/>
          <w:i w:val="1"/>
          <w:iCs w:val="1"/>
          <w:color w:val="auto"/>
        </w:rPr>
      </w:pPr>
      <w:r>
        <w:rPr>
          <w:rFonts w:ascii="Arial" w:cs="Arial" w:eastAsia="Arial" w:hAnsi="Arial"/>
          <w:sz w:val="14"/>
          <w:szCs w:val="14"/>
          <w:i w:val="1"/>
          <w:iCs w:val="1"/>
          <w:color w:val="auto"/>
        </w:rPr>
        <w:t>Under the Annual Incentive Plan, the IPF can range from 0 – 150%.</w:t>
      </w:r>
    </w:p>
    <w:p>
      <w:pPr>
        <w:ind w:left="324" w:hanging="324"/>
        <w:spacing w:after="0" w:line="221" w:lineRule="auto"/>
        <w:tabs>
          <w:tab w:leader="none" w:pos="324" w:val="left"/>
        </w:tabs>
        <w:numPr>
          <w:ilvl w:val="0"/>
          <w:numId w:val="74"/>
        </w:numPr>
        <w:rPr>
          <w:rFonts w:ascii="Arial" w:cs="Arial" w:eastAsia="Arial" w:hAnsi="Arial"/>
          <w:sz w:val="14"/>
          <w:szCs w:val="14"/>
          <w:i w:val="1"/>
          <w:iCs w:val="1"/>
          <w:color w:val="auto"/>
        </w:rPr>
      </w:pPr>
      <w:r>
        <w:rPr>
          <w:rFonts w:ascii="Arial" w:cs="Arial" w:eastAsia="Arial" w:hAnsi="Arial"/>
          <w:sz w:val="14"/>
          <w:szCs w:val="14"/>
          <w:i w:val="1"/>
          <w:iCs w:val="1"/>
          <w:color w:val="auto"/>
        </w:rPr>
        <w:t>Mr. McDonald’s bonus was calculated on a pro-rated basis for his partial year of employment.</w:t>
      </w:r>
    </w:p>
    <w:p>
      <w:pPr>
        <w:ind w:left="324" w:right="20" w:hanging="324"/>
        <w:spacing w:after="0"/>
        <w:tabs>
          <w:tab w:leader="none" w:pos="324" w:val="left"/>
        </w:tabs>
        <w:numPr>
          <w:ilvl w:val="0"/>
          <w:numId w:val="74"/>
        </w:numPr>
        <w:rPr>
          <w:rFonts w:ascii="Arial" w:cs="Arial" w:eastAsia="Arial" w:hAnsi="Arial"/>
          <w:sz w:val="14"/>
          <w:szCs w:val="14"/>
          <w:i w:val="1"/>
          <w:iCs w:val="1"/>
          <w:color w:val="auto"/>
        </w:rPr>
      </w:pPr>
      <w:r>
        <w:rPr>
          <w:rFonts w:ascii="Arial" w:cs="Arial" w:eastAsia="Arial" w:hAnsi="Arial"/>
          <w:sz w:val="14"/>
          <w:szCs w:val="14"/>
          <w:i w:val="1"/>
          <w:iCs w:val="1"/>
          <w:color w:val="auto"/>
        </w:rPr>
        <w:t>Mr. Trerotola’s bonus was calculated based on salary actually paid during 2025, taking into account a reduction in salary when he transitioned to an Executive Advisor role.</w:t>
      </w:r>
    </w:p>
    <w:p>
      <w:pPr>
        <w:spacing w:after="0" w:line="200" w:lineRule="exact"/>
        <w:rPr>
          <w:sz w:val="20"/>
          <w:szCs w:val="20"/>
          <w:color w:val="auto"/>
        </w:rPr>
      </w:pPr>
    </w:p>
    <w:p>
      <w:pPr>
        <w:spacing w:after="0" w:line="201" w:lineRule="exact"/>
        <w:rPr>
          <w:sz w:val="20"/>
          <w:szCs w:val="20"/>
          <w:color w:val="auto"/>
        </w:rPr>
      </w:pPr>
    </w:p>
    <w:p>
      <w:pPr>
        <w:jc w:val="right"/>
        <w:spacing w:after="0"/>
        <w:tabs>
          <w:tab w:leader="none" w:pos="180" w:val="left"/>
        </w:tabs>
        <w:rPr>
          <w:sz w:val="20"/>
          <w:szCs w:val="20"/>
          <w:color w:val="auto"/>
        </w:rPr>
      </w:pPr>
      <w:r>
        <w:rPr>
          <w:sz w:val="1"/>
          <w:szCs w:val="1"/>
          <w:color w:val="auto"/>
        </w:rPr>
        <w:drawing>
          <wp:inline distT="0" distB="0" distL="0" distR="0">
            <wp:extent cx="685800" cy="16256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0" cy="162560"/>
                    </a:xfrm>
                    <a:prstGeom prst="rect">
                      <a:avLst/>
                    </a:prstGeom>
                    <a:noFill/>
                    <a:ln>
                      <a:noFill/>
                    </a:ln>
                  </pic:spPr>
                </pic:pic>
              </a:graphicData>
            </a:graphic>
          </wp:inline>
        </w:drawing>
      </w:r>
      <w:r>
        <w:rPr>
          <w:rFonts w:ascii="Arial" w:cs="Arial" w:eastAsia="Arial" w:hAnsi="Arial"/>
          <w:sz w:val="18"/>
          <w:szCs w:val="18"/>
          <w:color w:val="auto"/>
        </w:rPr>
        <w:t xml:space="preserve"> - 2026 Proxy Statement</w:t>
      </w:r>
      <w:r>
        <w:rPr>
          <w:sz w:val="20"/>
          <w:szCs w:val="20"/>
          <w:color w:val="auto"/>
        </w:rPr>
        <w:tab/>
      </w: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-186690</wp:posOffset>
            </wp:positionV>
            <wp:extent cx="6995160" cy="3257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325755"/>
                    </a:xfrm>
                    <a:prstGeom prst="rect">
                      <a:avLst/>
                    </a:prstGeom>
                    <a:noFill/>
                  </pic:spPr>
                </pic:pic>
              </a:graphicData>
            </a:graphic>
          </wp:anchor>
        </w:drawing>
      </w:r>
    </w:p>
    <w:p>
      <w:pPr>
        <w:sectPr>
          <w:pgSz w:w="11900" w:h="16838" w:orient="portrait"/>
          <w:cols w:equalWidth="0" w:num="1">
            <w:col w:w="11024"/>
          </w:cols>
          <w:pgMar w:left="436" w:top="669" w:right="439" w:bottom="1440" w:gutter="0" w:footer="0" w:header="0"/>
        </w:sectPr>
      </w:pPr>
    </w:p>
    <w:bookmarkStart w:id="39" w:name="page40"/>
    <w:bookmarkEnd w:id="39"/>
    <w:p>
      <w:pPr>
        <w:ind w:left="4"/>
        <w:spacing w:after="0"/>
        <w:rPr>
          <w:sz w:val="20"/>
          <w:szCs w:val="20"/>
          <w:color w:val="auto"/>
        </w:rPr>
      </w:pPr>
      <w:r>
        <w:rPr>
          <w:rFonts w:ascii="Arial" w:cs="Arial" w:eastAsia="Arial" w:hAnsi="Arial"/>
          <w:sz w:val="23"/>
          <w:szCs w:val="23"/>
          <w:color w:val="auto"/>
        </w:rPr>
        <w:drawing>
          <wp:anchor simplePos="0" relativeHeight="251657728" behindDoc="1" locked="0" layoutInCell="0" allowOverlap="1">
            <wp:simplePos x="0" y="0"/>
            <wp:positionH relativeFrom="page">
              <wp:posOffset>276860</wp:posOffset>
            </wp:positionH>
            <wp:positionV relativeFrom="page">
              <wp:posOffset>448945</wp:posOffset>
            </wp:positionV>
            <wp:extent cx="699516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5160" cy="8255"/>
                    </a:xfrm>
                    <a:prstGeom prst="rect">
                      <a:avLst/>
                    </a:prstGeom>
                    <a:noFill/>
                  </pic:spPr>
                </pic:pic>
              </a:graphicData>
            </a:graphic>
          </wp:anchor>
        </w:drawing>
        <w:t> Long-Term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99516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2" w:lineRule="exact"/>
        <w:rPr>
          <w:sz w:val="20"/>
          <w:szCs w:val="20"/>
          <w:color w:val="auto"/>
        </w:rPr>
      </w:pPr>
    </w:p>
    <w:p>
      <w:pPr>
        <w:jc w:val="both"/>
        <w:ind w:left="4" w:right="20"/>
        <w:spacing w:after="0" w:line="225" w:lineRule="auto"/>
        <w:rPr>
          <w:sz w:val="20"/>
          <w:szCs w:val="20"/>
          <w:color w:val="auto"/>
        </w:rPr>
      </w:pPr>
      <w:r>
        <w:rPr>
          <w:rFonts w:ascii="Arial" w:cs="Arial" w:eastAsia="Arial" w:hAnsi="Arial"/>
          <w:sz w:val="16"/>
          <w:szCs w:val="16"/>
          <w:color w:val="auto"/>
        </w:rPr>
        <w:t>The goal of our long-term incentive plan is to align the compensation of executives with the interests of stockholders by encouraging sustained long-term improvement in operational and financial performance and long-term increase in stockholder value. Long-term incentives also serve as retention instruments and provide equity-building opportunities for executives. In 2025, annual equity awards generally consisted of 50% PRSUs and 50% time-vesting RSUs. The CHCM Committee believes this further aligns the long-term interests of management and stockholders and promotes increased equity ownership among our executive officers.</w:t>
      </w:r>
    </w:p>
    <w:p>
      <w:pPr>
        <w:spacing w:after="0" w:line="114" w:lineRule="exact"/>
        <w:rPr>
          <w:sz w:val="20"/>
          <w:szCs w:val="20"/>
          <w:color w:val="auto"/>
        </w:rPr>
      </w:pPr>
    </w:p>
    <w:p>
      <w:pPr>
        <w:ind w:left="4"/>
        <w:spacing w:after="0"/>
        <w:rPr>
          <w:sz w:val="20"/>
          <w:szCs w:val="20"/>
          <w:color w:val="auto"/>
        </w:rPr>
      </w:pPr>
      <w:r>
        <w:rPr>
          <w:rFonts w:ascii="Arial" w:cs="Arial" w:eastAsia="Arial" w:hAnsi="Arial"/>
          <w:sz w:val="20"/>
          <w:szCs w:val="20"/>
          <w:b w:val="1"/>
          <w:bCs w:val="1"/>
          <w:color w:val="auto"/>
        </w:rPr>
        <w:t>Annual Grants under Omnibus Incentive Plan</w:t>
      </w:r>
    </w:p>
    <w:p>
      <w:pPr>
        <w:spacing w:after="0" w:line="144" w:lineRule="exact"/>
        <w:rPr>
          <w:sz w:val="20"/>
          <w:szCs w:val="20"/>
          <w:color w:val="auto"/>
        </w:rPr>
      </w:pPr>
    </w:p>
    <w:p>
      <w:pPr>
        <w:jc w:val="both"/>
        <w:ind w:left="4" w:right="20"/>
        <w:spacing w:after="0" w:line="228" w:lineRule="auto"/>
        <w:rPr>
          <w:sz w:val="20"/>
          <w:szCs w:val="20"/>
          <w:color w:val="auto"/>
        </w:rPr>
      </w:pPr>
      <w:r>
        <w:rPr>
          <w:rFonts w:ascii="Arial" w:cs="Arial" w:eastAsia="Arial" w:hAnsi="Arial"/>
          <w:sz w:val="16"/>
          <w:szCs w:val="16"/>
          <w:color w:val="auto"/>
        </w:rPr>
        <w:t>On March 7, 2025, the CHCM Committee granted annual awards under the 2020 Omnibus Incentive Plan with a target aggregate value as set forth in the table below. Each NEO received 50% of their annual grant in the form of PRSUs, and 50% in the form of RSUs, with exception of Ms. Lang who received 25% of her grant in the form of PRSUs and 75% in the form of RSUs. The CHCM Committee reviewed market data based on peer group benchmarking in order to determine a grant level that would be competitive with the market.</w:t>
      </w:r>
    </w:p>
    <w:p>
      <w:pPr>
        <w:spacing w:after="0" w:line="111" w:lineRule="exact"/>
        <w:rPr>
          <w:sz w:val="20"/>
          <w:szCs w:val="20"/>
          <w:color w:val="auto"/>
        </w:rPr>
      </w:pPr>
    </w:p>
    <w:p>
      <w:pPr>
        <w:jc w:val="both"/>
        <w:ind w:left="4" w:right="20"/>
        <w:spacing w:after="0" w:line="228" w:lineRule="auto"/>
        <w:rPr>
          <w:sz w:val="20"/>
          <w:szCs w:val="20"/>
          <w:color w:val="auto"/>
        </w:rPr>
      </w:pPr>
      <w:r>
        <w:rPr>
          <w:rFonts w:ascii="Arial" w:cs="Arial" w:eastAsia="Arial" w:hAnsi="Arial"/>
          <w:sz w:val="16"/>
          <w:szCs w:val="16"/>
          <w:color w:val="auto"/>
        </w:rPr>
        <w:t>In addition to his annual award with an aggregate value of $2,000,000, on May 12, 2025, Mr. Berry received a one-time retention RSU grant with a target value of $2,000,000 that vests ratably over three years from the date of grant, to ensure continuity and in recognition of his contributions to Mr. McDonald’s onboarding as CEO during a period of transition as well as the critical role that he plays in the Company’s strategic planning. If Mr. Berry’s service terminates without cause after the first anniversary of the award date, vesting will continue.</w:t>
      </w:r>
    </w:p>
    <w:p>
      <w:pPr>
        <w:spacing w:after="0" w:line="103" w:lineRule="exact"/>
        <w:rPr>
          <w:sz w:val="20"/>
          <w:szCs w:val="20"/>
          <w:color w:val="auto"/>
        </w:rPr>
      </w:pPr>
    </w:p>
    <w:tbl>
      <w:tblPr>
        <w:tblLayout w:type="fixed"/>
        <w:tblInd w:w="4" w:type="dxa"/>
        <w:tblCellMar>
          <w:top w:w="0" w:type="dxa"/>
          <w:left w:w="0" w:type="dxa"/>
          <w:bottom w:w="0" w:type="dxa"/>
          <w:right w:w="0" w:type="dxa"/>
        </w:tblCellMar>
      </w:tblPr>
      <w:tr>
        <w:trPr>
          <w:trHeight w:val="184"/>
        </w:trPr>
        <w:tc>
          <w:tcPr>
            <w:tcW w:w="5840" w:type="dxa"/>
            <w:vAlign w:val="bottom"/>
          </w:tcPr>
          <w:p>
            <w:pPr>
              <w:spacing w:after="0"/>
              <w:rPr>
                <w:sz w:val="16"/>
                <w:szCs w:val="16"/>
                <w:color w:val="auto"/>
              </w:rPr>
            </w:pPr>
          </w:p>
        </w:tc>
        <w:tc>
          <w:tcPr>
            <w:tcW w:w="5180" w:type="dxa"/>
            <w:vAlign w:val="bottom"/>
          </w:tcPr>
          <w:p>
            <w:pPr>
              <w:jc w:val="right"/>
              <w:spacing w:after="0"/>
              <w:rPr>
                <w:sz w:val="20"/>
                <w:szCs w:val="20"/>
                <w:color w:val="auto"/>
              </w:rPr>
            </w:pPr>
            <w:r>
              <w:rPr>
                <w:rFonts w:ascii="Arial" w:cs="Arial" w:eastAsia="Arial" w:hAnsi="Arial"/>
                <w:sz w:val="16"/>
                <w:szCs w:val="16"/>
                <w:b w:val="1"/>
                <w:bCs w:val="1"/>
                <w:color w:val="C8102E"/>
              </w:rPr>
              <w:t>Total Aggregate</w:t>
            </w:r>
          </w:p>
        </w:tc>
      </w:tr>
      <w:tr>
        <w:trPr>
          <w:trHeight w:val="174"/>
        </w:trPr>
        <w:tc>
          <w:tcPr>
            <w:tcW w:w="5840" w:type="dxa"/>
            <w:vAlign w:val="bottom"/>
          </w:tcPr>
          <w:p>
            <w:pPr>
              <w:spacing w:after="0"/>
              <w:rPr>
                <w:sz w:val="15"/>
                <w:szCs w:val="15"/>
                <w:color w:val="auto"/>
              </w:rPr>
            </w:pPr>
          </w:p>
        </w:tc>
        <w:tc>
          <w:tcPr>
            <w:tcW w:w="5180" w:type="dxa"/>
            <w:vAlign w:val="bottom"/>
          </w:tcPr>
          <w:p>
            <w:pPr>
              <w:jc w:val="right"/>
              <w:spacing w:after="0" w:line="175" w:lineRule="exact"/>
              <w:rPr>
                <w:sz w:val="20"/>
                <w:szCs w:val="20"/>
                <w:color w:val="auto"/>
              </w:rPr>
            </w:pPr>
            <w:r>
              <w:rPr>
                <w:rFonts w:ascii="Arial" w:cs="Arial" w:eastAsia="Arial" w:hAnsi="Arial"/>
                <w:sz w:val="16"/>
                <w:szCs w:val="16"/>
                <w:b w:val="1"/>
                <w:bCs w:val="1"/>
                <w:color w:val="C8102E"/>
              </w:rPr>
              <w:t>Value of Grant</w:t>
            </w:r>
          </w:p>
        </w:tc>
      </w:tr>
      <w:tr>
        <w:trPr>
          <w:trHeight w:val="231"/>
        </w:trPr>
        <w:tc>
          <w:tcPr>
            <w:tcW w:w="58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C8102E"/>
              </w:rPr>
              <w:t>  Annual Grant Recipient</w:t>
            </w:r>
          </w:p>
        </w:tc>
        <w:tc>
          <w:tcPr>
            <w:tcW w:w="5180" w:type="dxa"/>
            <w:vAlign w:val="bottom"/>
            <w:tcBorders>
              <w:bottom w:val="single" w:sz="8" w:color="auto"/>
            </w:tcBorders>
          </w:tcPr>
          <w:p>
            <w:pPr>
              <w:jc w:val="right"/>
              <w:spacing w:after="0" w:line="231" w:lineRule="exact"/>
              <w:rPr>
                <w:sz w:val="20"/>
                <w:szCs w:val="20"/>
                <w:color w:val="auto"/>
              </w:rPr>
            </w:pPr>
            <w:r>
              <w:rPr>
                <w:rFonts w:ascii="Arial" w:cs="Arial" w:eastAsia="Arial" w:hAnsi="Arial"/>
                <w:sz w:val="16"/>
                <w:szCs w:val="16"/>
                <w:b w:val="1"/>
                <w:bCs w:val="1"/>
                <w:color w:val="C8102E"/>
              </w:rPr>
              <w:t>($)</w:t>
            </w:r>
            <w:r>
              <w:rPr>
                <w:rFonts w:ascii="Arial" w:cs="Arial" w:eastAsia="Arial" w:hAnsi="Arial"/>
                <w:sz w:val="26"/>
                <w:szCs w:val="26"/>
                <w:b w:val="1"/>
                <w:bCs w:val="1"/>
                <w:color w:val="C8102E"/>
                <w:vertAlign w:val="superscript"/>
              </w:rPr>
              <w:t>(1)</w:t>
            </w:r>
          </w:p>
        </w:tc>
      </w:tr>
      <w:tr>
        <w:trPr>
          <w:trHeight w:val="209"/>
        </w:trPr>
        <w:tc>
          <w:tcPr>
            <w:tcW w:w="5840" w:type="dxa"/>
            <w:vAlign w:val="bottom"/>
            <w:shd w:val="clear" w:color="auto" w:fill="EDEDEE"/>
          </w:tcPr>
          <w:p>
            <w:pPr>
              <w:spacing w:after="0"/>
              <w:rPr>
                <w:sz w:val="20"/>
                <w:szCs w:val="20"/>
                <w:color w:val="auto"/>
              </w:rPr>
            </w:pPr>
            <w:r>
              <w:rPr>
                <w:rFonts w:ascii="Arial" w:cs="Arial" w:eastAsia="Arial" w:hAnsi="Arial"/>
                <w:sz w:val="16"/>
                <w:szCs w:val="16"/>
                <w:b w:val="1"/>
                <w:bCs w:val="1"/>
                <w:color w:val="auto"/>
              </w:rPr>
              <w:t>  Mr. McDonald</w:t>
            </w:r>
          </w:p>
        </w:tc>
        <w:tc>
          <w:tcPr>
            <w:tcW w:w="5180" w:type="dxa"/>
            <w:vAlign w:val="bottom"/>
            <w:shd w:val="clear" w:color="auto" w:fill="EDEDEE"/>
          </w:tcPr>
          <w:p>
            <w:pPr>
              <w:jc w:val="right"/>
              <w:spacing w:after="0" w:line="210" w:lineRule="exact"/>
              <w:rPr>
                <w:sz w:val="20"/>
                <w:szCs w:val="20"/>
                <w:color w:val="auto"/>
              </w:rPr>
            </w:pPr>
            <w:r>
              <w:rPr>
                <w:rFonts w:ascii="Arial" w:cs="Arial" w:eastAsia="Arial" w:hAnsi="Arial"/>
                <w:sz w:val="15"/>
                <w:szCs w:val="15"/>
                <w:color w:val="auto"/>
              </w:rPr>
              <w:t>6,500,000</w:t>
            </w:r>
            <w:r>
              <w:rPr>
                <w:rFonts w:ascii="Arial" w:cs="Arial" w:eastAsia="Arial" w:hAnsi="Arial"/>
                <w:sz w:val="24"/>
                <w:szCs w:val="24"/>
                <w:color w:val="auto"/>
                <w:vertAlign w:val="superscript"/>
              </w:rPr>
              <w:t>(2)</w:t>
            </w:r>
          </w:p>
        </w:tc>
      </w:tr>
      <w:tr>
        <w:trPr>
          <w:trHeight w:val="162"/>
        </w:trPr>
        <w:tc>
          <w:tcPr>
            <w:tcW w:w="5840" w:type="dxa"/>
            <w:vAlign w:val="bottom"/>
          </w:tcPr>
          <w:p>
            <w:pPr>
              <w:spacing w:after="0" w:line="162" w:lineRule="exact"/>
              <w:rPr>
                <w:sz w:val="20"/>
                <w:szCs w:val="20"/>
                <w:color w:val="auto"/>
              </w:rPr>
            </w:pPr>
            <w:r>
              <w:rPr>
                <w:rFonts w:ascii="Arial" w:cs="Arial" w:eastAsia="Arial" w:hAnsi="Arial"/>
                <w:sz w:val="16"/>
                <w:szCs w:val="16"/>
                <w:b w:val="1"/>
                <w:bCs w:val="1"/>
                <w:color w:val="auto"/>
              </w:rPr>
              <w:t>  Mr. Trerotola</w:t>
            </w:r>
          </w:p>
        </w:tc>
        <w:tc>
          <w:tcPr>
            <w:tcW w:w="5180" w:type="dxa"/>
            <w:vAlign w:val="bottom"/>
          </w:tcPr>
          <w:p>
            <w:pPr>
              <w:jc w:val="right"/>
              <w:spacing w:after="0" w:line="162" w:lineRule="exact"/>
              <w:rPr>
                <w:sz w:val="20"/>
                <w:szCs w:val="20"/>
                <w:color w:val="auto"/>
              </w:rPr>
            </w:pPr>
            <w:r>
              <w:rPr>
                <w:rFonts w:ascii="Arial" w:cs="Arial" w:eastAsia="Arial" w:hAnsi="Arial"/>
                <w:sz w:val="16"/>
                <w:szCs w:val="16"/>
                <w:color w:val="auto"/>
              </w:rPr>
              <w:t>7,800,000</w:t>
            </w:r>
          </w:p>
        </w:tc>
      </w:tr>
      <w:tr>
        <w:trPr>
          <w:trHeight w:val="162"/>
        </w:trPr>
        <w:tc>
          <w:tcPr>
            <w:tcW w:w="5840" w:type="dxa"/>
            <w:vAlign w:val="bottom"/>
            <w:shd w:val="clear" w:color="auto" w:fill="EDEDEE"/>
          </w:tcPr>
          <w:p>
            <w:pPr>
              <w:spacing w:after="0" w:line="162" w:lineRule="exact"/>
              <w:rPr>
                <w:sz w:val="20"/>
                <w:szCs w:val="20"/>
                <w:color w:val="auto"/>
              </w:rPr>
            </w:pPr>
            <w:r>
              <w:rPr>
                <w:rFonts w:ascii="Arial" w:cs="Arial" w:eastAsia="Arial" w:hAnsi="Arial"/>
                <w:sz w:val="16"/>
                <w:szCs w:val="16"/>
                <w:b w:val="1"/>
                <w:bCs w:val="1"/>
                <w:color w:val="auto"/>
              </w:rPr>
              <w:t>  Mr. Berry</w:t>
            </w:r>
          </w:p>
        </w:tc>
        <w:tc>
          <w:tcPr>
            <w:tcW w:w="5180" w:type="dxa"/>
            <w:vAlign w:val="bottom"/>
            <w:shd w:val="clear" w:color="auto" w:fill="EDEDEE"/>
          </w:tcPr>
          <w:p>
            <w:pPr>
              <w:jc w:val="right"/>
              <w:spacing w:after="0" w:line="162" w:lineRule="exact"/>
              <w:rPr>
                <w:sz w:val="20"/>
                <w:szCs w:val="20"/>
                <w:color w:val="auto"/>
              </w:rPr>
            </w:pPr>
            <w:r>
              <w:rPr>
                <w:rFonts w:ascii="Arial" w:cs="Arial" w:eastAsia="Arial" w:hAnsi="Arial"/>
                <w:sz w:val="16"/>
                <w:szCs w:val="16"/>
                <w:color w:val="auto"/>
              </w:rPr>
              <w:t>4,000,000</w:t>
            </w:r>
          </w:p>
        </w:tc>
      </w:tr>
      <w:tr>
        <w:trPr>
          <w:trHeight w:val="162"/>
        </w:trPr>
        <w:tc>
          <w:tcPr>
            <w:tcW w:w="5840" w:type="dxa"/>
            <w:vAlign w:val="bottom"/>
          </w:tcPr>
          <w:p>
            <w:pPr>
              <w:spacing w:after="0" w:line="162" w:lineRule="exact"/>
              <w:rPr>
                <w:sz w:val="20"/>
                <w:szCs w:val="20"/>
                <w:color w:val="auto"/>
              </w:rPr>
            </w:pPr>
            <w:r>
              <w:rPr>
                <w:rFonts w:ascii="Arial" w:cs="Arial" w:eastAsia="Arial" w:hAnsi="Arial"/>
                <w:sz w:val="16"/>
                <w:szCs w:val="16"/>
                <w:b w:val="1"/>
                <w:bCs w:val="1"/>
                <w:color w:val="auto"/>
              </w:rPr>
              <w:t>  Mr. Pryor</w:t>
            </w:r>
          </w:p>
        </w:tc>
        <w:tc>
          <w:tcPr>
            <w:tcW w:w="5180" w:type="dxa"/>
            <w:vAlign w:val="bottom"/>
          </w:tcPr>
          <w:p>
            <w:pPr>
              <w:jc w:val="right"/>
              <w:spacing w:after="0" w:line="162" w:lineRule="exact"/>
              <w:rPr>
                <w:sz w:val="20"/>
                <w:szCs w:val="20"/>
                <w:color w:val="auto"/>
              </w:rPr>
            </w:pPr>
            <w:r>
              <w:rPr>
                <w:rFonts w:ascii="Arial" w:cs="Arial" w:eastAsia="Arial" w:hAnsi="Arial"/>
                <w:sz w:val="16"/>
                <w:szCs w:val="16"/>
                <w:color w:val="auto"/>
              </w:rPr>
              <w:t>2,000,000</w:t>
            </w:r>
          </w:p>
        </w:tc>
      </w:tr>
      <w:tr>
        <w:trPr>
          <w:trHeight w:val="162"/>
        </w:trPr>
        <w:tc>
          <w:tcPr>
            <w:tcW w:w="5840" w:type="dxa"/>
            <w:vAlign w:val="bottom"/>
            <w:shd w:val="clear" w:color="auto" w:fill="EDEDEE"/>
          </w:tcPr>
          <w:p>
            <w:pPr>
              <w:spacing w:after="0" w:line="162" w:lineRule="exact"/>
              <w:rPr>
                <w:sz w:val="20"/>
                <w:szCs w:val="20"/>
                <w:color w:val="auto"/>
              </w:rPr>
            </w:pPr>
            <w:r>
              <w:rPr>
                <w:rFonts w:ascii="Arial" w:cs="Arial" w:eastAsia="Arial" w:hAnsi="Arial"/>
                <w:sz w:val="16"/>
                <w:szCs w:val="16"/>
                <w:b w:val="1"/>
                <w:bCs w:val="1"/>
                <w:color w:val="auto"/>
              </w:rPr>
              <w:t>  Mr Ross</w:t>
            </w:r>
          </w:p>
        </w:tc>
        <w:tc>
          <w:tcPr>
            <w:tcW w:w="5180" w:type="dxa"/>
            <w:vAlign w:val="bottom"/>
            <w:shd w:val="clear" w:color="auto" w:fill="EDEDEE"/>
          </w:tcPr>
          <w:p>
            <w:pPr>
              <w:jc w:val="right"/>
              <w:spacing w:after="0" w:line="162" w:lineRule="exact"/>
              <w:rPr>
                <w:sz w:val="20"/>
                <w:szCs w:val="20"/>
                <w:color w:val="auto"/>
              </w:rPr>
            </w:pPr>
            <w:r>
              <w:rPr>
                <w:rFonts w:ascii="Arial" w:cs="Arial" w:eastAsia="Arial" w:hAnsi="Arial"/>
                <w:sz w:val="16"/>
                <w:szCs w:val="16"/>
                <w:color w:val="auto"/>
              </w:rPr>
              <w:t>1,500,000</w:t>
            </w:r>
          </w:p>
        </w:tc>
      </w:tr>
      <w:tr>
        <w:trPr>
          <w:trHeight w:val="162"/>
        </w:trPr>
        <w:tc>
          <w:tcPr>
            <w:tcW w:w="5840" w:type="dxa"/>
            <w:vAlign w:val="bottom"/>
          </w:tcPr>
          <w:p>
            <w:pPr>
              <w:spacing w:after="0" w:line="162" w:lineRule="exact"/>
              <w:rPr>
                <w:sz w:val="20"/>
                <w:szCs w:val="20"/>
                <w:color w:val="auto"/>
              </w:rPr>
            </w:pPr>
            <w:r>
              <w:rPr>
                <w:rFonts w:ascii="Arial" w:cs="Arial" w:eastAsia="Arial" w:hAnsi="Arial"/>
                <w:sz w:val="16"/>
                <w:szCs w:val="16"/>
                <w:b w:val="1"/>
                <w:bCs w:val="1"/>
                <w:color w:val="auto"/>
              </w:rPr>
              <w:t>  Ms. Lang</w:t>
            </w:r>
          </w:p>
        </w:tc>
        <w:tc>
          <w:tcPr>
            <w:tcW w:w="5180" w:type="dxa"/>
            <w:vAlign w:val="bottom"/>
          </w:tcPr>
          <w:p>
            <w:pPr>
              <w:jc w:val="right"/>
              <w:spacing w:after="0" w:line="162" w:lineRule="exact"/>
              <w:rPr>
                <w:sz w:val="20"/>
                <w:szCs w:val="20"/>
                <w:color w:val="auto"/>
              </w:rPr>
            </w:pPr>
            <w:r>
              <w:rPr>
                <w:rFonts w:ascii="Arial" w:cs="Arial" w:eastAsia="Arial" w:hAnsi="Arial"/>
                <w:sz w:val="16"/>
                <w:szCs w:val="16"/>
                <w:color w:val="auto"/>
              </w:rPr>
              <w:t>1,250,000</w:t>
            </w:r>
          </w:p>
        </w:tc>
      </w:tr>
      <w:tr>
        <w:trPr>
          <w:trHeight w:val="162"/>
        </w:trPr>
        <w:tc>
          <w:tcPr>
            <w:tcW w:w="5840" w:type="dxa"/>
            <w:vAlign w:val="bottom"/>
            <w:shd w:val="clear" w:color="auto" w:fill="EDEDEE"/>
          </w:tcPr>
          <w:p>
            <w:pPr>
              <w:spacing w:after="0" w:line="162" w:lineRule="exact"/>
              <w:rPr>
                <w:sz w:val="20"/>
                <w:szCs w:val="20"/>
                <w:color w:val="auto"/>
              </w:rPr>
            </w:pPr>
            <w:r>
              <w:rPr>
                <w:rFonts w:ascii="Arial" w:cs="Arial" w:eastAsia="Arial" w:hAnsi="Arial"/>
                <w:sz w:val="16"/>
                <w:szCs w:val="16"/>
                <w:b w:val="1"/>
                <w:bCs w:val="1"/>
                <w:color w:val="auto"/>
              </w:rPr>
              <w:t>  Mr. Vogt</w:t>
            </w:r>
          </w:p>
        </w:tc>
        <w:tc>
          <w:tcPr>
            <w:tcW w:w="5180" w:type="dxa"/>
            <w:vAlign w:val="bottom"/>
            <w:shd w:val="clear" w:color="auto" w:fill="EDEDEE"/>
          </w:tcPr>
          <w:p>
            <w:pPr>
              <w:jc w:val="right"/>
              <w:spacing w:after="0" w:line="162" w:lineRule="exact"/>
              <w:rPr>
                <w:sz w:val="20"/>
                <w:szCs w:val="20"/>
                <w:color w:val="auto"/>
              </w:rPr>
            </w:pPr>
            <w:r>
              <w:rPr>
                <w:rFonts w:ascii="Arial" w:cs="Arial" w:eastAsia="Arial" w:hAnsi="Arial"/>
                <w:sz w:val="16"/>
                <w:szCs w:val="16"/>
                <w:color w:val="auto"/>
              </w:rPr>
              <w:t>1,250,000</w:t>
            </w:r>
          </w:p>
        </w:tc>
      </w:tr>
    </w:tbl>
    <w:p>
      <w:pPr>
        <w:spacing w:after="0" w:line="193" w:lineRule="exact"/>
        <w:rPr>
          <w:sz w:val="20"/>
          <w:szCs w:val="20"/>
          <w:color w:val="auto"/>
        </w:rPr>
      </w:pPr>
    </w:p>
    <w:p>
      <w:pPr>
        <w:jc w:val="both"/>
        <w:ind w:left="324" w:right="20" w:hanging="324"/>
        <w:spacing w:after="0" w:line="217" w:lineRule="auto"/>
        <w:tabs>
          <w:tab w:leader="none" w:pos="324"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target dollar values of the equity grants noted above do not reflect the valuations computed in accordance with the Financial Accounting Standards Board Accounting Standards Codification Topic 718 (“FASB ASC Topic 718”). Instead, based on the target dollar value of equity awards and the allocation of the form of equity awards noted above, the actual number of RSUs and the target number of PRSUs granted was determined by dividing the corresponding allocation of the dollar value by the 20-day average of the closing price of our common stock as of the grant date. Additional details on amounts of the 2025 annual equity grants to our NEOs are shown under Grants of Plan-Based Awards for 2025 on page 43.</w:t>
      </w:r>
    </w:p>
    <w:p>
      <w:pPr>
        <w:spacing w:after="0" w:line="1" w:lineRule="exact"/>
        <w:rPr>
          <w:rFonts w:ascii="Arial" w:cs="Arial" w:eastAsia="Arial" w:hAnsi="Arial"/>
          <w:sz w:val="14"/>
          <w:szCs w:val="14"/>
          <w:color w:val="auto"/>
        </w:rPr>
      </w:pPr>
    </w:p>
    <w:p>
      <w:pPr>
        <w:jc w:val="both"/>
        <w:ind w:left="324" w:right="20" w:hanging="324"/>
        <w:spacing w:after="0" w:line="228" w:lineRule="auto"/>
        <w:tabs>
          <w:tab w:leader="none" w:pos="324" w:val="left"/>
        </w:tabs>
        <w:numPr>
          <w:ilvl w:val="0"/>
          <w:numId w:val="75"/>
        </w:numPr>
        <w:rPr>
          <w:rFonts w:ascii="Arial" w:cs="Arial" w:eastAsia="Arial" w:hAnsi="Arial"/>
          <w:sz w:val="14"/>
          <w:szCs w:val="14"/>
          <w:color w:val="auto"/>
        </w:rPr>
      </w:pPr>
      <w:r>
        <w:rPr>
          <w:rFonts w:ascii="Arial" w:cs="Arial" w:eastAsia="Arial" w:hAnsi="Arial"/>
          <w:sz w:val="14"/>
          <w:szCs w:val="14"/>
          <w:color w:val="auto"/>
        </w:rPr>
        <w:t>Mr. McDonald’s annual awards were granted on his date of hire of May 12, 2025, upon the approval of the Board of Directors, which annual awards are representative of the awards that Mr. McDonald would have received, had he been an employee of the Company as of the March 7, 2025 grant date for all other annual awards under the 2020 Omnibus Plan.</w:t>
      </w:r>
    </w:p>
    <w:p>
      <w:pPr>
        <w:spacing w:after="0" w:line="265" w:lineRule="exact"/>
        <w:rPr>
          <w:sz w:val="20"/>
          <w:szCs w:val="20"/>
          <w:color w:val="auto"/>
        </w:rPr>
      </w:pPr>
    </w:p>
    <w:p>
      <w:pPr>
        <w:jc w:val="both"/>
        <w:ind w:left="4" w:right="20"/>
        <w:spacing w:after="0" w:line="234" w:lineRule="auto"/>
        <w:rPr>
          <w:sz w:val="20"/>
          <w:szCs w:val="20"/>
          <w:color w:val="auto"/>
        </w:rPr>
      </w:pPr>
      <w:r>
        <w:rPr>
          <w:rFonts w:ascii="Arial" w:cs="Arial" w:eastAsia="Arial" w:hAnsi="Arial"/>
          <w:sz w:val="16"/>
          <w:szCs w:val="16"/>
          <w:color w:val="auto"/>
        </w:rPr>
        <w:t>RSUs vest in three equal annual installments beginning on the first anniversary of the grant date and PRSUs cliff vest at the end of the three-year measurement period to the extent of achievement of the relative TSR performance metric (vs. the S&amp;P 500 Health Care Equipment Select Industry Index) based on the following payout scale:</w:t>
      </w:r>
    </w:p>
    <w:p>
      <w:pPr>
        <w:spacing w:after="0" w:line="102" w:lineRule="exact"/>
        <w:rPr>
          <w:sz w:val="20"/>
          <w:szCs w:val="20"/>
          <w:color w:val="auto"/>
        </w:rPr>
      </w:pPr>
    </w:p>
    <w:tbl>
      <w:tblPr>
        <w:tblLayout w:type="fixed"/>
        <w:tblInd w:w="4" w:type="dxa"/>
        <w:tblCellMar>
          <w:top w:w="0" w:type="dxa"/>
          <w:left w:w="0" w:type="dxa"/>
          <w:bottom w:w="0" w:type="dxa"/>
          <w:right w:w="0" w:type="dxa"/>
        </w:tblCellMar>
      </w:tblPr>
      <w:tr>
        <w:trPr>
          <w:trHeight w:val="184"/>
        </w:trPr>
        <w:tc>
          <w:tcPr>
            <w:tcW w:w="6380" w:type="dxa"/>
            <w:vAlign w:val="bottom"/>
          </w:tcPr>
          <w:p>
            <w:pPr>
              <w:spacing w:after="0"/>
              <w:rPr>
                <w:sz w:val="16"/>
                <w:szCs w:val="16"/>
                <w:color w:val="auto"/>
              </w:rPr>
            </w:pPr>
          </w:p>
        </w:tc>
        <w:tc>
          <w:tcPr>
            <w:tcW w:w="3180" w:type="dxa"/>
            <w:vAlign w:val="bottom"/>
            <w:vMerge w:val="restart"/>
          </w:tcPr>
          <w:p>
            <w:pPr>
              <w:jc w:val="right"/>
              <w:ind w:right="221"/>
              <w:spacing w:after="0"/>
              <w:rPr>
                <w:sz w:val="20"/>
                <w:szCs w:val="20"/>
                <w:color w:val="auto"/>
              </w:rPr>
            </w:pPr>
            <w:r>
              <w:rPr>
                <w:rFonts w:ascii="Arial" w:cs="Arial" w:eastAsia="Arial" w:hAnsi="Arial"/>
                <w:sz w:val="16"/>
                <w:szCs w:val="16"/>
                <w:b w:val="1"/>
                <w:bCs w:val="1"/>
                <w:color w:val="C8102E"/>
              </w:rPr>
              <w:t>3-Year TSR</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C8102E"/>
              </w:rPr>
              <w:t>Resulting</w:t>
            </w:r>
          </w:p>
        </w:tc>
        <w:tc>
          <w:tcPr>
            <w:tcW w:w="0" w:type="dxa"/>
            <w:vAlign w:val="bottom"/>
          </w:tcPr>
          <w:p>
            <w:pPr>
              <w:spacing w:after="0"/>
              <w:rPr>
                <w:sz w:val="1"/>
                <w:szCs w:val="1"/>
                <w:color w:val="auto"/>
              </w:rPr>
            </w:pPr>
          </w:p>
        </w:tc>
      </w:tr>
      <w:tr>
        <w:trPr>
          <w:trHeight w:val="162"/>
        </w:trPr>
        <w:tc>
          <w:tcPr>
            <w:tcW w:w="6380" w:type="dxa"/>
            <w:vAlign w:val="bottom"/>
          </w:tcPr>
          <w:p>
            <w:pPr>
              <w:spacing w:after="0"/>
              <w:rPr>
                <w:sz w:val="14"/>
                <w:szCs w:val="14"/>
                <w:color w:val="auto"/>
              </w:rPr>
            </w:pPr>
          </w:p>
        </w:tc>
        <w:tc>
          <w:tcPr>
            <w:tcW w:w="3180" w:type="dxa"/>
            <w:vAlign w:val="bottom"/>
            <w:vMerge w:val="continue"/>
          </w:tcPr>
          <w:p>
            <w:pPr>
              <w:spacing w:after="0"/>
              <w:rPr>
                <w:sz w:val="14"/>
                <w:szCs w:val="14"/>
                <w:color w:val="auto"/>
              </w:rPr>
            </w:pPr>
          </w:p>
        </w:tc>
        <w:tc>
          <w:tcPr>
            <w:tcW w:w="1460" w:type="dxa"/>
            <w:vAlign w:val="bottom"/>
          </w:tcPr>
          <w:p>
            <w:pPr>
              <w:jc w:val="right"/>
              <w:spacing w:after="0" w:line="162" w:lineRule="exact"/>
              <w:rPr>
                <w:sz w:val="20"/>
                <w:szCs w:val="20"/>
                <w:color w:val="auto"/>
              </w:rPr>
            </w:pPr>
            <w:r>
              <w:rPr>
                <w:rFonts w:ascii="Arial" w:cs="Arial" w:eastAsia="Arial" w:hAnsi="Arial"/>
                <w:sz w:val="16"/>
                <w:szCs w:val="16"/>
                <w:b w:val="1"/>
                <w:bCs w:val="1"/>
                <w:color w:val="C8102E"/>
              </w:rPr>
              <w:t>Shares Earned</w:t>
            </w:r>
          </w:p>
        </w:tc>
        <w:tc>
          <w:tcPr>
            <w:tcW w:w="0" w:type="dxa"/>
            <w:vAlign w:val="bottom"/>
          </w:tcPr>
          <w:p>
            <w:pPr>
              <w:spacing w:after="0"/>
              <w:rPr>
                <w:sz w:val="1"/>
                <w:szCs w:val="1"/>
                <w:color w:val="auto"/>
              </w:rPr>
            </w:pPr>
          </w:p>
        </w:tc>
      </w:tr>
      <w:tr>
        <w:trPr>
          <w:trHeight w:val="189"/>
        </w:trPr>
        <w:tc>
          <w:tcPr>
            <w:tcW w:w="638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b w:val="1"/>
                <w:bCs w:val="1"/>
                <w:color w:val="C8102E"/>
              </w:rPr>
              <w:t>Percentile Rank*</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C8102E"/>
              </w:rPr>
              <w:t>(% of target)</w:t>
            </w:r>
          </w:p>
        </w:tc>
        <w:tc>
          <w:tcPr>
            <w:tcW w:w="0" w:type="dxa"/>
            <w:vAlign w:val="bottom"/>
          </w:tcPr>
          <w:p>
            <w:pPr>
              <w:spacing w:after="0"/>
              <w:rPr>
                <w:sz w:val="1"/>
                <w:szCs w:val="1"/>
                <w:color w:val="auto"/>
              </w:rPr>
            </w:pPr>
          </w:p>
        </w:tc>
      </w:tr>
      <w:tr>
        <w:trPr>
          <w:trHeight w:val="209"/>
        </w:trPr>
        <w:tc>
          <w:tcPr>
            <w:tcW w:w="6380" w:type="dxa"/>
            <w:vAlign w:val="bottom"/>
            <w:shd w:val="clear" w:color="auto" w:fill="EDEDEE"/>
          </w:tcPr>
          <w:p>
            <w:pPr>
              <w:spacing w:after="0"/>
              <w:rPr>
                <w:sz w:val="20"/>
                <w:szCs w:val="20"/>
                <w:color w:val="auto"/>
              </w:rPr>
            </w:pPr>
            <w:r>
              <w:rPr>
                <w:rFonts w:ascii="Arial" w:cs="Arial" w:eastAsia="Arial" w:hAnsi="Arial"/>
                <w:sz w:val="16"/>
                <w:szCs w:val="16"/>
                <w:b w:val="1"/>
                <w:bCs w:val="1"/>
                <w:color w:val="auto"/>
              </w:rPr>
              <w:t>  Below Threshold</w:t>
            </w:r>
          </w:p>
        </w:tc>
        <w:tc>
          <w:tcPr>
            <w:tcW w:w="3180" w:type="dxa"/>
            <w:vAlign w:val="bottom"/>
            <w:shd w:val="clear" w:color="auto" w:fill="EDEDEE"/>
          </w:tcPr>
          <w:p>
            <w:pPr>
              <w:jc w:val="right"/>
              <w:ind w:right="221"/>
              <w:spacing w:after="0" w:line="210" w:lineRule="exact"/>
              <w:rPr>
                <w:sz w:val="20"/>
                <w:szCs w:val="20"/>
                <w:color w:val="auto"/>
              </w:rPr>
            </w:pPr>
            <w:r>
              <w:rPr>
                <w:rFonts w:ascii="Arial" w:cs="Arial" w:eastAsia="Arial" w:hAnsi="Arial"/>
                <w:sz w:val="15"/>
                <w:szCs w:val="15"/>
                <w:color w:val="auto"/>
              </w:rPr>
              <w:t>&lt;30</w:t>
            </w:r>
            <w:r>
              <w:rPr>
                <w:rFonts w:ascii="Arial" w:cs="Arial" w:eastAsia="Arial" w:hAnsi="Arial"/>
                <w:sz w:val="24"/>
                <w:szCs w:val="24"/>
                <w:color w:val="auto"/>
                <w:vertAlign w:val="superscript"/>
              </w:rPr>
              <w:t>th</w:t>
            </w:r>
          </w:p>
        </w:tc>
        <w:tc>
          <w:tcPr>
            <w:tcW w:w="1460" w:type="dxa"/>
            <w:vAlign w:val="bottom"/>
            <w:shd w:val="clear" w:color="auto" w:fill="EDEDEE"/>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6"/>
                <w:szCs w:val="16"/>
                <w:b w:val="1"/>
                <w:bCs w:val="1"/>
                <w:color w:val="auto"/>
              </w:rPr>
              <w:t>  Threshold</w:t>
            </w:r>
          </w:p>
        </w:tc>
        <w:tc>
          <w:tcPr>
            <w:tcW w:w="3180" w:type="dxa"/>
            <w:vAlign w:val="bottom"/>
          </w:tcPr>
          <w:p>
            <w:pPr>
              <w:jc w:val="right"/>
              <w:ind w:right="221"/>
              <w:spacing w:after="0" w:line="216" w:lineRule="exact"/>
              <w:rPr>
                <w:sz w:val="20"/>
                <w:szCs w:val="20"/>
                <w:color w:val="auto"/>
              </w:rPr>
            </w:pPr>
            <w:r>
              <w:rPr>
                <w:rFonts w:ascii="Arial" w:cs="Arial" w:eastAsia="Arial" w:hAnsi="Arial"/>
                <w:sz w:val="16"/>
                <w:szCs w:val="16"/>
                <w:color w:val="auto"/>
              </w:rPr>
              <w:t>30</w:t>
            </w:r>
            <w:r>
              <w:rPr>
                <w:rFonts w:ascii="Arial" w:cs="Arial" w:eastAsia="Arial" w:hAnsi="Arial"/>
                <w:sz w:val="25"/>
                <w:szCs w:val="25"/>
                <w:color w:val="auto"/>
                <w:vertAlign w:val="superscript"/>
              </w:rPr>
              <w:t>th</w:t>
            </w:r>
          </w:p>
        </w:tc>
        <w:tc>
          <w:tcPr>
            <w:tcW w:w="146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6"/>
        </w:trPr>
        <w:tc>
          <w:tcPr>
            <w:tcW w:w="6380" w:type="dxa"/>
            <w:vAlign w:val="bottom"/>
            <w:shd w:val="clear" w:color="auto" w:fill="EDEDEE"/>
          </w:tcPr>
          <w:p>
            <w:pPr>
              <w:spacing w:after="0"/>
              <w:rPr>
                <w:sz w:val="20"/>
                <w:szCs w:val="20"/>
                <w:color w:val="auto"/>
              </w:rPr>
            </w:pPr>
            <w:r>
              <w:rPr>
                <w:rFonts w:ascii="Arial" w:cs="Arial" w:eastAsia="Arial" w:hAnsi="Arial"/>
                <w:sz w:val="16"/>
                <w:szCs w:val="16"/>
                <w:b w:val="1"/>
                <w:bCs w:val="1"/>
                <w:color w:val="auto"/>
              </w:rPr>
              <w:t>  Target</w:t>
            </w:r>
          </w:p>
        </w:tc>
        <w:tc>
          <w:tcPr>
            <w:tcW w:w="3180" w:type="dxa"/>
            <w:vAlign w:val="bottom"/>
            <w:shd w:val="clear" w:color="auto" w:fill="EDEDEE"/>
          </w:tcPr>
          <w:p>
            <w:pPr>
              <w:jc w:val="right"/>
              <w:ind w:right="221"/>
              <w:spacing w:after="0" w:line="216" w:lineRule="exact"/>
              <w:rPr>
                <w:sz w:val="20"/>
                <w:szCs w:val="20"/>
                <w:color w:val="auto"/>
              </w:rPr>
            </w:pPr>
            <w:r>
              <w:rPr>
                <w:rFonts w:ascii="Arial" w:cs="Arial" w:eastAsia="Arial" w:hAnsi="Arial"/>
                <w:sz w:val="16"/>
                <w:szCs w:val="16"/>
                <w:color w:val="auto"/>
              </w:rPr>
              <w:t>55</w:t>
            </w:r>
            <w:r>
              <w:rPr>
                <w:rFonts w:ascii="Arial" w:cs="Arial" w:eastAsia="Arial" w:hAnsi="Arial"/>
                <w:sz w:val="25"/>
                <w:szCs w:val="25"/>
                <w:color w:val="auto"/>
                <w:vertAlign w:val="superscript"/>
              </w:rPr>
              <w:t>th</w:t>
            </w:r>
          </w:p>
        </w:tc>
        <w:tc>
          <w:tcPr>
            <w:tcW w:w="1460" w:type="dxa"/>
            <w:vAlign w:val="bottom"/>
            <w:shd w:val="clear" w:color="auto" w:fill="EDEDEE"/>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6"/>
                <w:szCs w:val="16"/>
                <w:b w:val="1"/>
                <w:bCs w:val="1"/>
                <w:color w:val="auto"/>
              </w:rPr>
              <w:t>  Maximum</w:t>
            </w:r>
          </w:p>
        </w:tc>
        <w:tc>
          <w:tcPr>
            <w:tcW w:w="3180" w:type="dxa"/>
            <w:vAlign w:val="bottom"/>
          </w:tcPr>
          <w:p>
            <w:pPr>
              <w:jc w:val="right"/>
              <w:ind w:right="221"/>
              <w:spacing w:after="0" w:line="216" w:lineRule="exact"/>
              <w:rPr>
                <w:sz w:val="20"/>
                <w:szCs w:val="20"/>
                <w:color w:val="auto"/>
              </w:rPr>
            </w:pPr>
            <w:r>
              <w:rPr>
                <w:rFonts w:ascii="Arial" w:cs="Arial" w:eastAsia="Arial" w:hAnsi="Arial"/>
                <w:sz w:val="16"/>
                <w:szCs w:val="16"/>
                <w:color w:val="auto"/>
              </w:rPr>
              <w:t>&gt;80</w:t>
            </w:r>
            <w:r>
              <w:rPr>
                <w:rFonts w:ascii="Arial" w:cs="Arial" w:eastAsia="Arial" w:hAnsi="Arial"/>
                <w:sz w:val="25"/>
                <w:szCs w:val="25"/>
                <w:color w:val="auto"/>
                <w:vertAlign w:val="superscript"/>
              </w:rPr>
              <w:t>th</w:t>
            </w:r>
          </w:p>
        </w:tc>
        <w:tc>
          <w:tcPr>
            <w:tcW w:w="1460" w:type="dxa"/>
            <w:vAlign w:val="bottom"/>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162"/>
        </w:trPr>
        <w:tc>
          <w:tcPr>
            <w:tcW w:w="6380" w:type="dxa"/>
            <w:vAlign w:val="bottom"/>
            <w:tcBorders>
              <w:bottom w:val="single" w:sz="8" w:color="auto"/>
            </w:tcBorders>
            <w:shd w:val="clear" w:color="auto" w:fill="EDEDEE"/>
          </w:tcPr>
          <w:p>
            <w:pPr>
              <w:spacing w:after="0" w:line="162" w:lineRule="exact"/>
              <w:rPr>
                <w:sz w:val="20"/>
                <w:szCs w:val="20"/>
                <w:color w:val="auto"/>
              </w:rPr>
            </w:pPr>
            <w:r>
              <w:rPr>
                <w:rFonts w:ascii="Arial" w:cs="Arial" w:eastAsia="Arial" w:hAnsi="Arial"/>
                <w:sz w:val="16"/>
                <w:szCs w:val="16"/>
                <w:b w:val="1"/>
                <w:bCs w:val="1"/>
                <w:color w:val="auto"/>
              </w:rPr>
              <w:t>  Enovis negative absolute TSR results in max payout at target</w:t>
            </w:r>
          </w:p>
        </w:tc>
        <w:tc>
          <w:tcPr>
            <w:tcW w:w="3180" w:type="dxa"/>
            <w:vAlign w:val="bottom"/>
            <w:tcBorders>
              <w:bottom w:val="single" w:sz="8" w:color="auto"/>
            </w:tcBorders>
            <w:shd w:val="clear" w:color="auto" w:fill="EDEDEE"/>
          </w:tcPr>
          <w:p>
            <w:pPr>
              <w:jc w:val="right"/>
              <w:ind w:right="221"/>
              <w:spacing w:after="0" w:line="162" w:lineRule="exact"/>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EDEDEE"/>
          </w:tcPr>
          <w:p>
            <w:pPr>
              <w:jc w:val="right"/>
              <w:spacing w:after="0" w:line="162"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324" w:hanging="324"/>
        <w:spacing w:after="0"/>
        <w:tabs>
          <w:tab w:leader="none" w:pos="324" w:val="left"/>
        </w:tabs>
        <w:numPr>
          <w:ilvl w:val="0"/>
          <w:numId w:val="76"/>
        </w:numPr>
        <w:rPr>
          <w:rFonts w:ascii="Arial" w:cs="Arial" w:eastAsia="Arial" w:hAnsi="Arial"/>
          <w:sz w:val="14"/>
          <w:szCs w:val="14"/>
          <w:i w:val="1"/>
          <w:iCs w:val="1"/>
          <w:color w:val="auto"/>
        </w:rPr>
      </w:pPr>
      <w:r>
        <w:rPr>
          <w:rFonts w:ascii="Arial" w:cs="Arial" w:eastAsia="Arial" w:hAnsi="Arial"/>
          <w:sz w:val="14"/>
          <w:szCs w:val="14"/>
          <w:i w:val="1"/>
          <w:iCs w:val="1"/>
          <w:color w:val="auto"/>
        </w:rPr>
        <w:t>Linear interpolation between threshold and target and target and maximum.</w:t>
      </w:r>
    </w:p>
    <w:p>
      <w:pPr>
        <w:spacing w:after="0" w:line="232" w:lineRule="exact"/>
        <w:rPr>
          <w:sz w:val="20"/>
          <w:szCs w:val="20"/>
          <w:color w:val="auto"/>
        </w:rPr>
      </w:pPr>
    </w:p>
    <w:p>
      <w:pPr>
        <w:ind w:left="4"/>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-118745</wp:posOffset>
            </wp:positionV>
            <wp:extent cx="762635" cy="3854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2635" cy="385445"/>
                    </a:xfrm>
                    <a:prstGeom prst="rect">
                      <a:avLst/>
                    </a:prstGeom>
                    <a:noFill/>
                  </pic:spPr>
                </pic:pic>
              </a:graphicData>
            </a:graphic>
          </wp:anchor>
        </w:drawing>
      </w:r>
    </w:p>
    <w:p>
      <w:pPr>
        <w:ind w:left="1584"/>
        <w:spacing w:after="0"/>
        <w:rPr>
          <w:sz w:val="20"/>
          <w:szCs w:val="20"/>
          <w:color w:val="auto"/>
        </w:rPr>
      </w:pPr>
      <w:r>
        <w:rPr>
          <w:rFonts w:ascii="Arial" w:cs="Arial" w:eastAsia="Arial" w:hAnsi="Arial"/>
          <w:sz w:val="18"/>
          <w:szCs w:val="18"/>
          <w:color w:val="auto"/>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69951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716" w:right="439" w:bottom="1440" w:gutter="0" w:footer="0" w:header="0"/>
        </w:sectPr>
      </w:pPr>
    </w:p>
    <w:bookmarkStart w:id="40" w:name="page41"/>
    <w:bookmarkEnd w:id="40"/>
    <w:p>
      <w:pPr>
        <w:jc w:val="both"/>
        <w:ind w:left="4" w:right="20"/>
        <w:spacing w:after="0" w:line="216" w:lineRule="auto"/>
        <w:rPr>
          <w:sz w:val="20"/>
          <w:szCs w:val="20"/>
          <w:color w:val="auto"/>
        </w:rPr>
      </w:pPr>
      <w:r>
        <w:rPr>
          <w:rFonts w:ascii="Arial" w:cs="Arial" w:eastAsia="Arial" w:hAnsi="Arial"/>
          <w:sz w:val="16"/>
          <w:szCs w:val="16"/>
          <w:color w:val="auto"/>
        </w:rPr>
        <w:t>As shown in the table above, the target payout is subject to achieving the relative TSR performance metric at the 55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percentile, which underscores the Company’s commitment to delivering and incentivizing above-median performance and returns to stockholders. In the event that the Company’s absolute TSR for the performance period is negative, the maximum payout is capped at target (commonly known as a “negative” TSR cap).</w:t>
      </w:r>
    </w:p>
    <w:p>
      <w:pPr>
        <w:spacing w:after="0" w:line="154" w:lineRule="exact"/>
        <w:rPr>
          <w:sz w:val="20"/>
          <w:szCs w:val="20"/>
          <w:color w:val="auto"/>
        </w:rPr>
      </w:pPr>
    </w:p>
    <w:p>
      <w:pPr>
        <w:ind w:left="4"/>
        <w:spacing w:after="0"/>
        <w:rPr>
          <w:sz w:val="20"/>
          <w:szCs w:val="20"/>
          <w:color w:val="auto"/>
        </w:rPr>
      </w:pPr>
      <w:r>
        <w:rPr>
          <w:rFonts w:ascii="Arial" w:cs="Arial" w:eastAsia="Arial" w:hAnsi="Arial"/>
          <w:sz w:val="20"/>
          <w:szCs w:val="20"/>
          <w:b w:val="1"/>
          <w:bCs w:val="1"/>
          <w:color w:val="auto"/>
        </w:rPr>
        <w:t>2023 PRSU Performance Payout</w:t>
      </w:r>
    </w:p>
    <w:p>
      <w:pPr>
        <w:spacing w:after="0" w:line="198" w:lineRule="exact"/>
        <w:rPr>
          <w:sz w:val="20"/>
          <w:szCs w:val="20"/>
          <w:color w:val="auto"/>
        </w:rPr>
      </w:pPr>
    </w:p>
    <w:p>
      <w:pPr>
        <w:jc w:val="both"/>
        <w:ind w:left="4" w:right="20"/>
        <w:spacing w:after="0" w:line="221" w:lineRule="auto"/>
        <w:rPr>
          <w:sz w:val="20"/>
          <w:szCs w:val="20"/>
          <w:color w:val="auto"/>
        </w:rPr>
      </w:pPr>
      <w:r>
        <w:rPr>
          <w:rFonts w:ascii="Arial" w:cs="Arial" w:eastAsia="Arial" w:hAnsi="Arial"/>
          <w:sz w:val="16"/>
          <w:szCs w:val="16"/>
          <w:color w:val="auto"/>
        </w:rPr>
        <w:t>In February 2026, the CHCM Committee certified the performance results of certain PRSUs granted to Messrs. Trerotola, Berry, Pryor and Shirley, and Ms. Lang in 2023. The 2023 PRSUs were subject to the Company achieving investor return performance relative to the S&amp;P 500 Health Care Equipment</w:t>
      </w:r>
    </w:p>
    <w:p>
      <w:pPr>
        <w:spacing w:after="0" w:line="1" w:lineRule="exact"/>
        <w:rPr>
          <w:sz w:val="20"/>
          <w:szCs w:val="20"/>
          <w:color w:val="auto"/>
        </w:rPr>
      </w:pPr>
    </w:p>
    <w:p>
      <w:pPr>
        <w:ind w:left="4" w:right="20" w:hanging="4"/>
        <w:spacing w:after="0" w:line="235" w:lineRule="auto"/>
        <w:tabs>
          <w:tab w:leader="none" w:pos="161" w:val="left"/>
        </w:tabs>
        <w:numPr>
          <w:ilvl w:val="0"/>
          <w:numId w:val="77"/>
        </w:numPr>
        <w:rPr>
          <w:rFonts w:ascii="Arial" w:cs="Arial" w:eastAsia="Arial" w:hAnsi="Arial"/>
          <w:sz w:val="16"/>
          <w:szCs w:val="16"/>
          <w:color w:val="auto"/>
        </w:rPr>
      </w:pPr>
      <w:r>
        <w:rPr>
          <w:rFonts w:ascii="Arial" w:cs="Arial" w:eastAsia="Arial" w:hAnsi="Arial"/>
          <w:sz w:val="16"/>
          <w:szCs w:val="16"/>
          <w:color w:val="auto"/>
        </w:rPr>
        <w:t>Supplies Industry Index. At the end of the three-year performance period, the Company performance, which reflected a relative TSR ranking in the 27h percentile of the Index, resulted in a payout of 0% of target.</w:t>
      </w:r>
    </w:p>
    <w:p>
      <w:pPr>
        <w:spacing w:after="0" w:line="201" w:lineRule="exact"/>
        <w:rPr>
          <w:sz w:val="20"/>
          <w:szCs w:val="20"/>
          <w:color w:val="auto"/>
        </w:rPr>
      </w:pPr>
    </w:p>
    <w:p>
      <w:pPr>
        <w:ind w:left="4"/>
        <w:spacing w:after="0"/>
        <w:rPr>
          <w:sz w:val="20"/>
          <w:szCs w:val="20"/>
          <w:color w:val="auto"/>
        </w:rPr>
      </w:pPr>
      <w:r>
        <w:rPr>
          <w:rFonts w:ascii="Arial" w:cs="Arial" w:eastAsia="Arial" w:hAnsi="Arial"/>
          <w:sz w:val="23"/>
          <w:szCs w:val="23"/>
          <w:color w:val="auto"/>
        </w:rPr>
        <w:t> Additional Compensation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-164465</wp:posOffset>
            </wp:positionV>
            <wp:extent cx="69951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23495</wp:posOffset>
            </wp:positionV>
            <wp:extent cx="69951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2" w:lineRule="exact"/>
        <w:rPr>
          <w:sz w:val="20"/>
          <w:szCs w:val="20"/>
          <w:color w:val="auto"/>
        </w:rPr>
      </w:pPr>
    </w:p>
    <w:p>
      <w:pPr>
        <w:ind w:left="4"/>
        <w:spacing w:after="0"/>
        <w:rPr>
          <w:sz w:val="20"/>
          <w:szCs w:val="20"/>
          <w:color w:val="auto"/>
        </w:rPr>
      </w:pPr>
      <w:r>
        <w:rPr>
          <w:rFonts w:ascii="Arial" w:cs="Arial" w:eastAsia="Arial" w:hAnsi="Arial"/>
          <w:sz w:val="20"/>
          <w:szCs w:val="20"/>
          <w:b w:val="1"/>
          <w:bCs w:val="1"/>
          <w:color w:val="auto"/>
        </w:rPr>
        <w:t>Other Elements of Compensation—Non-Qualified Deferred Compensation and Perquisites</w:t>
      </w:r>
    </w:p>
    <w:p>
      <w:pPr>
        <w:spacing w:after="0" w:line="144" w:lineRule="exact"/>
        <w:rPr>
          <w:sz w:val="20"/>
          <w:szCs w:val="20"/>
          <w:color w:val="auto"/>
        </w:rPr>
      </w:pPr>
    </w:p>
    <w:p>
      <w:pPr>
        <w:jc w:val="both"/>
        <w:ind w:left="4"/>
        <w:spacing w:after="0" w:line="218" w:lineRule="auto"/>
        <w:rPr>
          <w:sz w:val="20"/>
          <w:szCs w:val="20"/>
          <w:color w:val="auto"/>
        </w:rPr>
      </w:pPr>
      <w:r>
        <w:rPr>
          <w:rFonts w:ascii="Arial" w:cs="Arial" w:eastAsia="Arial" w:hAnsi="Arial"/>
          <w:sz w:val="16"/>
          <w:szCs w:val="16"/>
          <w:color w:val="auto"/>
        </w:rPr>
        <w:t>The Company does not maintain an active pension plan and instead makes matching contributions to a tax-qualified 401(k) plan and Non-Qualified Deferred Compensation Plan. We established the Non-Qualified Deferred Compensation Plan, which provides participants the opportunity to defer a percentage of their compensation without regard to the compensation limits imposed by the Internal Revenue Code under our 401(k) plan, to allow our senior-level executives to contribute toward retirement on a tax-effective basis in a manner that is consistent with other Enovis employees who are not limited by the Internal Revenue Code limits. For additional details concerning the Non-Qualified Deferred Compensation Plan, please see the Non-Qualified Deferred Compensation Table and the accompanying narrative disclosure. The Company also maintains two closed plans: (i) the Enovis Excess Benefit Plan, which was frozen as of December 31, 2015, and (ii) the DJO Global Executive Deferred Compensation Plan (the “DJO Nonqualified Plan”), which was acquired in connection with the acquisition of DJO and was frozen to new participants and future deferrals on December 31, 2019. Mr. Pryor holds an account balance in the Enovis Excess Benefit Plan.</w:t>
      </w:r>
    </w:p>
    <w:p>
      <w:pPr>
        <w:spacing w:after="0" w:line="116" w:lineRule="exact"/>
        <w:rPr>
          <w:sz w:val="20"/>
          <w:szCs w:val="20"/>
          <w:color w:val="auto"/>
        </w:rPr>
      </w:pPr>
    </w:p>
    <w:p>
      <w:pPr>
        <w:jc w:val="both"/>
        <w:ind w:left="4" w:right="20"/>
        <w:spacing w:after="0" w:line="215" w:lineRule="auto"/>
        <w:rPr>
          <w:sz w:val="20"/>
          <w:szCs w:val="20"/>
          <w:color w:val="auto"/>
        </w:rPr>
      </w:pPr>
      <w:r>
        <w:rPr>
          <w:rFonts w:ascii="Arial" w:cs="Arial" w:eastAsia="Arial" w:hAnsi="Arial"/>
          <w:sz w:val="16"/>
          <w:szCs w:val="16"/>
          <w:color w:val="auto"/>
        </w:rPr>
        <w:t>Aside from the benefits provided to Mr. McDonald at the time of his hire (detailed below), we provide minimal perquisites to our executives. Such perquisites include (i) up to $10,000 in financial and tax planning services for senior executives, (ii) executive long-term disability coverage which decreases the gap between our standard long-term disability plan and the executives monthly pay, (iii) executive physical, and (iv) business-related items such as relocation assistance, which may be grossed up consistent with competitive market recruitment practices. In addition, as CEO, Mr. McDonald is provided with (i) personal use of a private aircraft chartered by the Company not to exceed $250,000 annually in actual cost (as further described below),</w:t>
      </w:r>
    </w:p>
    <w:p>
      <w:pPr>
        <w:spacing w:after="0" w:line="2" w:lineRule="exact"/>
        <w:rPr>
          <w:sz w:val="20"/>
          <w:szCs w:val="20"/>
          <w:color w:val="auto"/>
        </w:rPr>
      </w:pPr>
    </w:p>
    <w:p>
      <w:pPr>
        <w:ind w:left="4" w:right="20" w:hanging="4"/>
        <w:spacing w:after="0" w:line="235" w:lineRule="auto"/>
        <w:tabs>
          <w:tab w:leader="none" w:pos="242" w:val="left"/>
        </w:tabs>
        <w:numPr>
          <w:ilvl w:val="0"/>
          <w:numId w:val="78"/>
        </w:numPr>
        <w:rPr>
          <w:rFonts w:ascii="Arial" w:cs="Arial" w:eastAsia="Arial" w:hAnsi="Arial"/>
          <w:sz w:val="16"/>
          <w:szCs w:val="16"/>
          <w:color w:val="auto"/>
        </w:rPr>
      </w:pPr>
      <w:r>
        <w:rPr>
          <w:rFonts w:ascii="Arial" w:cs="Arial" w:eastAsia="Arial" w:hAnsi="Arial"/>
          <w:sz w:val="16"/>
          <w:szCs w:val="16"/>
          <w:color w:val="auto"/>
        </w:rPr>
        <w:t>personal financial planning services of $20,000 annually, (iii) relocation benefits in accordance with our global relocation policy, and (iv) $20,000 for reimbursement of legal fees associated with a review of documents related to his offer of employment</w:t>
      </w:r>
    </w:p>
    <w:p>
      <w:pPr>
        <w:spacing w:after="0" w:line="110" w:lineRule="exact"/>
        <w:rPr>
          <w:sz w:val="20"/>
          <w:szCs w:val="20"/>
          <w:color w:val="auto"/>
        </w:rPr>
      </w:pPr>
    </w:p>
    <w:p>
      <w:pPr>
        <w:jc w:val="both"/>
        <w:ind w:left="4" w:right="20"/>
        <w:spacing w:after="0" w:line="225" w:lineRule="auto"/>
        <w:rPr>
          <w:sz w:val="20"/>
          <w:szCs w:val="20"/>
          <w:color w:val="auto"/>
        </w:rPr>
      </w:pPr>
      <w:r>
        <w:rPr>
          <w:rFonts w:ascii="Arial" w:cs="Arial" w:eastAsia="Arial" w:hAnsi="Arial"/>
          <w:sz w:val="16"/>
          <w:szCs w:val="16"/>
          <w:color w:val="auto"/>
        </w:rPr>
        <w:t>The Board encourages the CEO to use the private aircraft chartered by the Company whenever reasonable for both business and personal travel. This benefit increases the level of safety and security for Mr. McDonald and his family. Making the aircraft available to Mr. McDonald also allows him to efficiently and securely conduct business during both business and personal flights and eliminates the inefficiencies of commercial travel. The Board believes that the value of making the aircraft available to Mr. McDonald and his family, in terms of convenience, security and saving time, results in an efficient form of compensation for Mr. McDonald.</w:t>
      </w:r>
    </w:p>
    <w:p>
      <w:pPr>
        <w:spacing w:after="0" w:line="151" w:lineRule="exact"/>
        <w:rPr>
          <w:sz w:val="20"/>
          <w:szCs w:val="20"/>
          <w:color w:val="auto"/>
        </w:rPr>
      </w:pPr>
    </w:p>
    <w:p>
      <w:pPr>
        <w:jc w:val="right"/>
        <w:spacing w:after="0"/>
        <w:tabs>
          <w:tab w:leader="none" w:pos="180" w:val="left"/>
        </w:tabs>
        <w:rPr>
          <w:sz w:val="20"/>
          <w:szCs w:val="20"/>
          <w:color w:val="auto"/>
        </w:rPr>
      </w:pPr>
      <w:r>
        <w:rPr>
          <w:sz w:val="1"/>
          <w:szCs w:val="1"/>
          <w:color w:val="auto"/>
        </w:rPr>
        <w:drawing>
          <wp:inline distT="0" distB="0" distL="0" distR="0">
            <wp:extent cx="685800" cy="16256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0" cy="162560"/>
                    </a:xfrm>
                    <a:prstGeom prst="rect">
                      <a:avLst/>
                    </a:prstGeom>
                    <a:noFill/>
                    <a:ln>
                      <a:noFill/>
                    </a:ln>
                  </pic:spPr>
                </pic:pic>
              </a:graphicData>
            </a:graphic>
          </wp:inline>
        </w:drawing>
      </w:r>
      <w:r>
        <w:rPr>
          <w:rFonts w:ascii="Arial" w:cs="Arial" w:eastAsia="Arial" w:hAnsi="Arial"/>
          <w:sz w:val="18"/>
          <w:szCs w:val="18"/>
          <w:color w:val="auto"/>
        </w:rPr>
        <w:t xml:space="preserve"> - 2026 Proxy Statement</w:t>
      </w:r>
      <w:r>
        <w:rPr>
          <w:sz w:val="20"/>
          <w:szCs w:val="20"/>
          <w:color w:val="auto"/>
        </w:rPr>
        <w:tab/>
      </w: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-186690</wp:posOffset>
            </wp:positionV>
            <wp:extent cx="6995160" cy="3346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5160" cy="334645"/>
                    </a:xfrm>
                    <a:prstGeom prst="rect">
                      <a:avLst/>
                    </a:prstGeom>
                    <a:noFill/>
                  </pic:spPr>
                </pic:pic>
              </a:graphicData>
            </a:graphic>
          </wp:anchor>
        </w:drawing>
      </w:r>
    </w:p>
    <w:p>
      <w:pPr>
        <w:sectPr>
          <w:pgSz w:w="11900" w:h="16838" w:orient="portrait"/>
          <w:cols w:equalWidth="0" w:num="1">
            <w:col w:w="11024"/>
          </w:cols>
          <w:pgMar w:left="436" w:top="638" w:right="439" w:bottom="1440" w:gutter="0" w:footer="0" w:header="0"/>
        </w:sectPr>
      </w:pPr>
    </w:p>
    <w:bookmarkStart w:id="41" w:name="page42"/>
    <w:bookmarkEnd w:id="41"/>
    <w:p>
      <w:pPr>
        <w:jc w:val="both"/>
        <w:ind w:right="20"/>
        <w:spacing w:after="0" w:line="228" w:lineRule="auto"/>
        <w:rPr>
          <w:sz w:val="20"/>
          <w:szCs w:val="20"/>
          <w:color w:val="auto"/>
        </w:rPr>
      </w:pPr>
      <w:r>
        <w:rPr>
          <w:rFonts w:ascii="Arial" w:cs="Arial" w:eastAsia="Arial" w:hAnsi="Arial"/>
          <w:sz w:val="16"/>
          <w:szCs w:val="16"/>
          <w:color w:val="auto"/>
        </w:rPr>
        <w:t>Additional details regarding the material terms of the employment agreements of our NEOs are summarized under “Employment Agreements, Change in Control Agreements, Retention Agreements and Executive Officer Severance Plan” on page 46 and “Potential Payments Upon Termination or Change in Control” on page 52 and a summary of the material terms and eligibility requirements for the Executive Officer Severance Plan is provided under “Potential Payments Upon Termination or Change in Control.”</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Stock Ownership Policy and Stock Holding Requirements</w:t>
      </w:r>
    </w:p>
    <w:p>
      <w:pPr>
        <w:spacing w:after="0" w:line="144"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Our stock ownership policy further aligns the long-term financial interests of Company executives with those of our stockholders while also serving as an effective risk mitigation tool. Each executive at a Vice President level or higher must retain at least one-half of vested equity awards, less shares withheld or sold for tax withholding obligations, until the executive has accumulated shares of our common stock or other qualifying forms of equity having the value described below. The ownership value thresholds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C8102E"/>
              </w:rPr>
              <w:t> Leadership Position</w:t>
            </w:r>
          </w:p>
        </w:tc>
        <w:tc>
          <w:tcPr>
            <w:tcW w:w="5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C8102E"/>
              </w:rPr>
              <w:t>Value of Shares</w:t>
            </w:r>
          </w:p>
        </w:tc>
      </w:tr>
      <w:tr>
        <w:trPr>
          <w:trHeight w:val="155"/>
        </w:trPr>
        <w:tc>
          <w:tcPr>
            <w:tcW w:w="5680" w:type="dxa"/>
            <w:vAlign w:val="bottom"/>
            <w:shd w:val="clear" w:color="auto" w:fill="EDEDEE"/>
          </w:tcPr>
          <w:p>
            <w:pPr>
              <w:spacing w:after="0" w:line="155" w:lineRule="exact"/>
              <w:rPr>
                <w:sz w:val="20"/>
                <w:szCs w:val="20"/>
                <w:color w:val="auto"/>
              </w:rPr>
            </w:pPr>
            <w:r>
              <w:rPr>
                <w:rFonts w:ascii="Arial" w:cs="Arial" w:eastAsia="Arial" w:hAnsi="Arial"/>
                <w:sz w:val="16"/>
                <w:szCs w:val="16"/>
                <w:color w:val="auto"/>
              </w:rPr>
              <w:t> CEO</w:t>
            </w:r>
          </w:p>
        </w:tc>
        <w:tc>
          <w:tcPr>
            <w:tcW w:w="5340" w:type="dxa"/>
            <w:vAlign w:val="bottom"/>
            <w:shd w:val="clear" w:color="auto" w:fill="EDEDEE"/>
          </w:tcPr>
          <w:p>
            <w:pPr>
              <w:jc w:val="right"/>
              <w:spacing w:after="0" w:line="155" w:lineRule="exact"/>
              <w:rPr>
                <w:sz w:val="20"/>
                <w:szCs w:val="20"/>
                <w:color w:val="auto"/>
              </w:rPr>
            </w:pPr>
            <w:r>
              <w:rPr>
                <w:rFonts w:ascii="Arial" w:cs="Arial" w:eastAsia="Arial" w:hAnsi="Arial"/>
                <w:sz w:val="16"/>
                <w:szCs w:val="16"/>
                <w:color w:val="auto"/>
              </w:rPr>
              <w:t>6x base salary</w:t>
            </w:r>
          </w:p>
        </w:tc>
      </w:tr>
      <w:tr>
        <w:trPr>
          <w:trHeight w:val="162"/>
        </w:trPr>
        <w:tc>
          <w:tcPr>
            <w:tcW w:w="5680" w:type="dxa"/>
            <w:vAlign w:val="bottom"/>
          </w:tcPr>
          <w:p>
            <w:pPr>
              <w:spacing w:after="0" w:line="162" w:lineRule="exact"/>
              <w:rPr>
                <w:sz w:val="20"/>
                <w:szCs w:val="20"/>
                <w:color w:val="auto"/>
              </w:rPr>
            </w:pPr>
            <w:r>
              <w:rPr>
                <w:rFonts w:ascii="Arial" w:cs="Arial" w:eastAsia="Arial" w:hAnsi="Arial"/>
                <w:sz w:val="16"/>
                <w:szCs w:val="16"/>
                <w:color w:val="auto"/>
              </w:rPr>
              <w:t> COO/EVP/SVP</w:t>
            </w:r>
          </w:p>
        </w:tc>
        <w:tc>
          <w:tcPr>
            <w:tcW w:w="5340" w:type="dxa"/>
            <w:vAlign w:val="bottom"/>
          </w:tcPr>
          <w:p>
            <w:pPr>
              <w:jc w:val="right"/>
              <w:spacing w:after="0" w:line="162" w:lineRule="exact"/>
              <w:rPr>
                <w:sz w:val="20"/>
                <w:szCs w:val="20"/>
                <w:color w:val="auto"/>
              </w:rPr>
            </w:pPr>
            <w:r>
              <w:rPr>
                <w:rFonts w:ascii="Arial" w:cs="Arial" w:eastAsia="Arial" w:hAnsi="Arial"/>
                <w:sz w:val="16"/>
                <w:szCs w:val="16"/>
                <w:color w:val="auto"/>
              </w:rPr>
              <w:t>3x base salary</w:t>
            </w:r>
          </w:p>
        </w:tc>
      </w:tr>
      <w:tr>
        <w:trPr>
          <w:trHeight w:val="162"/>
        </w:trPr>
        <w:tc>
          <w:tcPr>
            <w:tcW w:w="5680" w:type="dxa"/>
            <w:vAlign w:val="bottom"/>
            <w:tcBorders>
              <w:bottom w:val="single" w:sz="8" w:color="auto"/>
            </w:tcBorders>
            <w:shd w:val="clear" w:color="auto" w:fill="EDEDEE"/>
          </w:tcPr>
          <w:p>
            <w:pPr>
              <w:spacing w:after="0" w:line="162" w:lineRule="exact"/>
              <w:rPr>
                <w:sz w:val="20"/>
                <w:szCs w:val="20"/>
                <w:color w:val="auto"/>
              </w:rPr>
            </w:pPr>
            <w:r>
              <w:rPr>
                <w:rFonts w:ascii="Arial" w:cs="Arial" w:eastAsia="Arial" w:hAnsi="Arial"/>
                <w:sz w:val="16"/>
                <w:szCs w:val="16"/>
                <w:color w:val="auto"/>
              </w:rPr>
              <w:t> VP</w:t>
            </w:r>
          </w:p>
        </w:tc>
        <w:tc>
          <w:tcPr>
            <w:tcW w:w="5340" w:type="dxa"/>
            <w:vAlign w:val="bottom"/>
            <w:tcBorders>
              <w:bottom w:val="single" w:sz="8" w:color="auto"/>
            </w:tcBorders>
            <w:shd w:val="clear" w:color="auto" w:fill="EDEDEE"/>
          </w:tcPr>
          <w:p>
            <w:pPr>
              <w:jc w:val="right"/>
              <w:spacing w:after="0" w:line="162" w:lineRule="exact"/>
              <w:rPr>
                <w:sz w:val="20"/>
                <w:szCs w:val="20"/>
                <w:color w:val="auto"/>
              </w:rPr>
            </w:pPr>
            <w:r>
              <w:rPr>
                <w:rFonts w:ascii="Arial" w:cs="Arial" w:eastAsia="Arial" w:hAnsi="Arial"/>
                <w:sz w:val="16"/>
                <w:szCs w:val="16"/>
                <w:color w:val="auto"/>
              </w:rPr>
              <w:t>1x base salary</w:t>
            </w:r>
          </w:p>
        </w:tc>
      </w:tr>
    </w:tbl>
    <w:p>
      <w:pPr>
        <w:spacing w:after="0" w:line="134"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All of the Company’s NEOs have achieved these ownership targets as of the date of this Proxy Statement with the exception of Mr. McDonald. Until the applicable minimum ownership requirements are met, he will be required to retain at least 50% of the shares acquired as a result of the vesting of equity grants.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CEO Recommendations</w:t>
      </w:r>
    </w:p>
    <w:p>
      <w:pPr>
        <w:spacing w:after="0" w:line="131" w:lineRule="exact"/>
        <w:rPr>
          <w:sz w:val="20"/>
          <w:szCs w:val="20"/>
          <w:color w:val="auto"/>
        </w:rPr>
      </w:pPr>
    </w:p>
    <w:p>
      <w:pPr>
        <w:jc w:val="both"/>
        <w:ind w:right="20"/>
        <w:spacing w:after="0" w:line="222" w:lineRule="auto"/>
        <w:rPr>
          <w:sz w:val="20"/>
          <w:szCs w:val="20"/>
          <w:color w:val="auto"/>
        </w:rPr>
      </w:pPr>
      <w:r>
        <w:rPr>
          <w:rFonts w:ascii="Arial" w:cs="Arial" w:eastAsia="Arial" w:hAnsi="Arial"/>
          <w:sz w:val="16"/>
          <w:szCs w:val="16"/>
          <w:color w:val="auto"/>
        </w:rPr>
        <w:t>During 2025, prior to his retirement, Mr. Trerotola provided recommendations to the CHCM Committee with respect to the compensation levels for our executive officers, other than for himself. These recommendations were based on his assessment of the executive officer’s relative experience, overall performance, and impact on the achievement of our financial and operational goals and strategic objectives, combined with perspective from the competitive review data. While the CHCM Committee took these recommendations under advisement, it independently evaluated the pay recommendations for each executive officer and made all final compensation decisions in accordance with its responsibilities as set forth in the CHCM Committee Charter.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-118745</wp:posOffset>
            </wp:positionV>
            <wp:extent cx="762635" cy="3860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2635" cy="38608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134620</wp:posOffset>
            </wp:positionV>
            <wp:extent cx="69951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679" w:right="439" w:bottom="1440" w:gutter="0" w:footer="0" w:header="0"/>
        </w:sectPr>
      </w:pPr>
    </w:p>
    <w:bookmarkStart w:id="42" w:name="page43"/>
    <w:bookmarkEnd w:id="42"/>
    <w:p>
      <w:pPr>
        <w:spacing w:after="0"/>
        <w:rPr>
          <w:sz w:val="20"/>
          <w:szCs w:val="20"/>
          <w:color w:val="auto"/>
        </w:rPr>
      </w:pPr>
      <w:r>
        <w:rPr>
          <w:rFonts w:ascii="Arial" w:cs="Arial" w:eastAsia="Arial" w:hAnsi="Arial"/>
          <w:sz w:val="20"/>
          <w:szCs w:val="20"/>
          <w:b w:val="1"/>
          <w:bCs w:val="1"/>
          <w:color w:val="auto"/>
        </w:rPr>
        <w:t>Role of Compensation Consultants and Peer Data Review</w:t>
      </w:r>
    </w:p>
    <w:p>
      <w:pPr>
        <w:spacing w:after="0" w:line="144"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Our CHCM Committee also obtains perspective from competitive data reviewed by FW Cook, the independent advisor to the CHCM Committee on matters of executive compensation. The CHCM Committee annually reviews the list of peer companies previously recommended by FW Cook to confirm that such peer group represent competitors for talent and business, our growth trajectory, revenue, market capitalization and overall scope and nature of operations. The Company’s peer group for 2025 (which remains unchanged from 2024) was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C8102E"/>
              </w:rPr>
              <w:t> 2025 Peer Group</w:t>
            </w:r>
          </w:p>
        </w:tc>
        <w:tc>
          <w:tcPr>
            <w:tcW w:w="382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tcPr>
          <w:p>
            <w:pPr>
              <w:spacing w:after="0"/>
              <w:rPr>
                <w:sz w:val="16"/>
                <w:szCs w:val="16"/>
                <w:color w:val="auto"/>
              </w:rPr>
            </w:pPr>
          </w:p>
        </w:tc>
      </w:tr>
      <w:tr>
        <w:trPr>
          <w:trHeight w:val="155"/>
        </w:trPr>
        <w:tc>
          <w:tcPr>
            <w:tcW w:w="3360" w:type="dxa"/>
            <w:vAlign w:val="bottom"/>
            <w:shd w:val="clear" w:color="auto" w:fill="EDEDEE"/>
          </w:tcPr>
          <w:p>
            <w:pPr>
              <w:spacing w:after="0" w:line="155" w:lineRule="exact"/>
              <w:rPr>
                <w:sz w:val="20"/>
                <w:szCs w:val="20"/>
                <w:color w:val="auto"/>
              </w:rPr>
            </w:pPr>
            <w:r>
              <w:rPr>
                <w:rFonts w:ascii="Arial" w:cs="Arial" w:eastAsia="Arial" w:hAnsi="Arial"/>
                <w:sz w:val="16"/>
                <w:szCs w:val="16"/>
                <w:color w:val="auto"/>
              </w:rPr>
              <w:t> Bio-Rad Laboratories (BIO)</w:t>
            </w:r>
          </w:p>
        </w:tc>
        <w:tc>
          <w:tcPr>
            <w:tcW w:w="3820" w:type="dxa"/>
            <w:vAlign w:val="bottom"/>
            <w:shd w:val="clear" w:color="auto" w:fill="EDEDEE"/>
          </w:tcPr>
          <w:p>
            <w:pPr>
              <w:ind w:left="720"/>
              <w:spacing w:after="0" w:line="155" w:lineRule="exact"/>
              <w:rPr>
                <w:sz w:val="20"/>
                <w:szCs w:val="20"/>
                <w:color w:val="auto"/>
              </w:rPr>
            </w:pPr>
            <w:r>
              <w:rPr>
                <w:rFonts w:ascii="Arial" w:cs="Arial" w:eastAsia="Arial" w:hAnsi="Arial"/>
                <w:sz w:val="16"/>
                <w:szCs w:val="16"/>
                <w:color w:val="auto"/>
              </w:rPr>
              <w:t>Globus Medical (GMED)</w:t>
            </w:r>
          </w:p>
        </w:tc>
        <w:tc>
          <w:tcPr>
            <w:tcW w:w="3840" w:type="dxa"/>
            <w:vAlign w:val="bottom"/>
            <w:shd w:val="clear" w:color="auto" w:fill="EDEDEE"/>
          </w:tcPr>
          <w:p>
            <w:pPr>
              <w:ind w:left="440"/>
              <w:spacing w:after="0" w:line="155" w:lineRule="exact"/>
              <w:rPr>
                <w:sz w:val="20"/>
                <w:szCs w:val="20"/>
                <w:color w:val="auto"/>
              </w:rPr>
            </w:pPr>
            <w:r>
              <w:rPr>
                <w:rFonts w:ascii="Arial" w:cs="Arial" w:eastAsia="Arial" w:hAnsi="Arial"/>
                <w:sz w:val="16"/>
                <w:szCs w:val="16"/>
                <w:color w:val="auto"/>
              </w:rPr>
              <w:t>ResMed (RMD)</w:t>
            </w:r>
          </w:p>
        </w:tc>
      </w:tr>
      <w:tr>
        <w:trPr>
          <w:trHeight w:val="162"/>
        </w:trPr>
        <w:tc>
          <w:tcPr>
            <w:tcW w:w="3360" w:type="dxa"/>
            <w:vAlign w:val="bottom"/>
          </w:tcPr>
          <w:p>
            <w:pPr>
              <w:spacing w:after="0" w:line="162" w:lineRule="exact"/>
              <w:rPr>
                <w:sz w:val="20"/>
                <w:szCs w:val="20"/>
                <w:color w:val="auto"/>
              </w:rPr>
            </w:pPr>
            <w:r>
              <w:rPr>
                <w:rFonts w:ascii="Arial" w:cs="Arial" w:eastAsia="Arial" w:hAnsi="Arial"/>
                <w:sz w:val="16"/>
                <w:szCs w:val="16"/>
                <w:color w:val="auto"/>
              </w:rPr>
              <w:t> Bruker (BRKR)</w:t>
            </w:r>
          </w:p>
        </w:tc>
        <w:tc>
          <w:tcPr>
            <w:tcW w:w="3820" w:type="dxa"/>
            <w:vAlign w:val="bottom"/>
          </w:tcPr>
          <w:p>
            <w:pPr>
              <w:ind w:left="720"/>
              <w:spacing w:after="0" w:line="162" w:lineRule="exact"/>
              <w:rPr>
                <w:sz w:val="20"/>
                <w:szCs w:val="20"/>
                <w:color w:val="auto"/>
              </w:rPr>
            </w:pPr>
            <w:r>
              <w:rPr>
                <w:rFonts w:ascii="Arial" w:cs="Arial" w:eastAsia="Arial" w:hAnsi="Arial"/>
                <w:sz w:val="16"/>
                <w:szCs w:val="16"/>
                <w:color w:val="auto"/>
              </w:rPr>
              <w:t>Haemonetics (HAE)</w:t>
            </w:r>
          </w:p>
        </w:tc>
        <w:tc>
          <w:tcPr>
            <w:tcW w:w="3840" w:type="dxa"/>
            <w:vAlign w:val="bottom"/>
          </w:tcPr>
          <w:p>
            <w:pPr>
              <w:ind w:left="440"/>
              <w:spacing w:after="0" w:line="162" w:lineRule="exact"/>
              <w:rPr>
                <w:sz w:val="20"/>
                <w:szCs w:val="20"/>
                <w:color w:val="auto"/>
              </w:rPr>
            </w:pPr>
            <w:r>
              <w:rPr>
                <w:rFonts w:ascii="Arial" w:cs="Arial" w:eastAsia="Arial" w:hAnsi="Arial"/>
                <w:sz w:val="16"/>
                <w:szCs w:val="16"/>
                <w:color w:val="auto"/>
              </w:rPr>
              <w:t>STERIS plc (STE)</w:t>
            </w:r>
          </w:p>
        </w:tc>
      </w:tr>
      <w:tr>
        <w:trPr>
          <w:trHeight w:val="162"/>
        </w:trPr>
        <w:tc>
          <w:tcPr>
            <w:tcW w:w="3360" w:type="dxa"/>
            <w:vAlign w:val="bottom"/>
            <w:shd w:val="clear" w:color="auto" w:fill="EDEDEE"/>
          </w:tcPr>
          <w:p>
            <w:pPr>
              <w:spacing w:after="0" w:line="162" w:lineRule="exact"/>
              <w:rPr>
                <w:sz w:val="20"/>
                <w:szCs w:val="20"/>
                <w:color w:val="auto"/>
              </w:rPr>
            </w:pPr>
            <w:r>
              <w:rPr>
                <w:rFonts w:ascii="Arial" w:cs="Arial" w:eastAsia="Arial" w:hAnsi="Arial"/>
                <w:sz w:val="16"/>
                <w:szCs w:val="16"/>
                <w:color w:val="auto"/>
              </w:rPr>
              <w:t> CONMED (CNMD)</w:t>
            </w:r>
          </w:p>
        </w:tc>
        <w:tc>
          <w:tcPr>
            <w:tcW w:w="3820" w:type="dxa"/>
            <w:vAlign w:val="bottom"/>
            <w:shd w:val="clear" w:color="auto" w:fill="EDEDEE"/>
          </w:tcPr>
          <w:p>
            <w:pPr>
              <w:ind w:left="720"/>
              <w:spacing w:after="0" w:line="162" w:lineRule="exact"/>
              <w:rPr>
                <w:sz w:val="20"/>
                <w:szCs w:val="20"/>
                <w:color w:val="auto"/>
              </w:rPr>
            </w:pPr>
            <w:r>
              <w:rPr>
                <w:rFonts w:ascii="Arial" w:cs="Arial" w:eastAsia="Arial" w:hAnsi="Arial"/>
                <w:sz w:val="16"/>
                <w:szCs w:val="16"/>
                <w:color w:val="auto"/>
              </w:rPr>
              <w:t>Hologic (HOLX)</w:t>
            </w:r>
          </w:p>
        </w:tc>
        <w:tc>
          <w:tcPr>
            <w:tcW w:w="3840" w:type="dxa"/>
            <w:vAlign w:val="bottom"/>
            <w:shd w:val="clear" w:color="auto" w:fill="EDEDEE"/>
          </w:tcPr>
          <w:p>
            <w:pPr>
              <w:ind w:left="440"/>
              <w:spacing w:after="0" w:line="162" w:lineRule="exact"/>
              <w:rPr>
                <w:sz w:val="20"/>
                <w:szCs w:val="20"/>
                <w:color w:val="auto"/>
              </w:rPr>
            </w:pPr>
            <w:r>
              <w:rPr>
                <w:rFonts w:ascii="Arial" w:cs="Arial" w:eastAsia="Arial" w:hAnsi="Arial"/>
                <w:sz w:val="16"/>
                <w:szCs w:val="16"/>
                <w:color w:val="auto"/>
              </w:rPr>
              <w:t>Teleflex (TFX)</w:t>
            </w:r>
          </w:p>
        </w:tc>
      </w:tr>
      <w:tr>
        <w:trPr>
          <w:trHeight w:val="162"/>
        </w:trPr>
        <w:tc>
          <w:tcPr>
            <w:tcW w:w="3360" w:type="dxa"/>
            <w:vAlign w:val="bottom"/>
          </w:tcPr>
          <w:p>
            <w:pPr>
              <w:spacing w:after="0" w:line="162" w:lineRule="exact"/>
              <w:rPr>
                <w:sz w:val="20"/>
                <w:szCs w:val="20"/>
                <w:color w:val="auto"/>
              </w:rPr>
            </w:pPr>
            <w:r>
              <w:rPr>
                <w:rFonts w:ascii="Arial" w:cs="Arial" w:eastAsia="Arial" w:hAnsi="Arial"/>
                <w:sz w:val="16"/>
                <w:szCs w:val="16"/>
                <w:color w:val="auto"/>
              </w:rPr>
              <w:t> The Cooper Companies, Inc. (COO)</w:t>
            </w:r>
          </w:p>
        </w:tc>
        <w:tc>
          <w:tcPr>
            <w:tcW w:w="3820" w:type="dxa"/>
            <w:vAlign w:val="bottom"/>
          </w:tcPr>
          <w:p>
            <w:pPr>
              <w:ind w:left="720"/>
              <w:spacing w:after="0" w:line="162" w:lineRule="exact"/>
              <w:rPr>
                <w:sz w:val="20"/>
                <w:szCs w:val="20"/>
                <w:color w:val="auto"/>
              </w:rPr>
            </w:pPr>
            <w:r>
              <w:rPr>
                <w:rFonts w:ascii="Arial" w:cs="Arial" w:eastAsia="Arial" w:hAnsi="Arial"/>
                <w:sz w:val="16"/>
                <w:szCs w:val="16"/>
                <w:color w:val="auto"/>
              </w:rPr>
              <w:t>ICU Medical (ICUI)</w:t>
            </w:r>
          </w:p>
        </w:tc>
        <w:tc>
          <w:tcPr>
            <w:tcW w:w="3840" w:type="dxa"/>
            <w:vAlign w:val="bottom"/>
          </w:tcPr>
          <w:p>
            <w:pPr>
              <w:ind w:left="440"/>
              <w:spacing w:after="0" w:line="162" w:lineRule="exact"/>
              <w:rPr>
                <w:sz w:val="20"/>
                <w:szCs w:val="20"/>
                <w:color w:val="auto"/>
              </w:rPr>
            </w:pPr>
            <w:r>
              <w:rPr>
                <w:rFonts w:ascii="Arial" w:cs="Arial" w:eastAsia="Arial" w:hAnsi="Arial"/>
                <w:sz w:val="16"/>
                <w:szCs w:val="16"/>
                <w:color w:val="auto"/>
              </w:rPr>
              <w:t>Zimmer Biomet Holdings, Inc. (ZBH)</w:t>
            </w:r>
          </w:p>
        </w:tc>
      </w:tr>
      <w:tr>
        <w:trPr>
          <w:trHeight w:val="203"/>
        </w:trPr>
        <w:tc>
          <w:tcPr>
            <w:tcW w:w="3360" w:type="dxa"/>
            <w:vAlign w:val="bottom"/>
            <w:shd w:val="clear" w:color="auto" w:fill="EDEDEE"/>
          </w:tcPr>
          <w:p>
            <w:pPr>
              <w:spacing w:after="0"/>
              <w:rPr>
                <w:sz w:val="20"/>
                <w:szCs w:val="20"/>
                <w:color w:val="auto"/>
              </w:rPr>
            </w:pPr>
            <w:r>
              <w:rPr>
                <w:rFonts w:ascii="Arial" w:cs="Arial" w:eastAsia="Arial" w:hAnsi="Arial"/>
                <w:sz w:val="16"/>
                <w:szCs w:val="16"/>
                <w:color w:val="auto"/>
              </w:rPr>
              <w:t> DENTSPLY SIRONA (XRAY)</w:t>
            </w:r>
          </w:p>
        </w:tc>
        <w:tc>
          <w:tcPr>
            <w:tcW w:w="3820" w:type="dxa"/>
            <w:vAlign w:val="bottom"/>
            <w:shd w:val="clear" w:color="auto" w:fill="EDEDEE"/>
          </w:tcPr>
          <w:p>
            <w:pPr>
              <w:ind w:left="720"/>
              <w:spacing w:after="0"/>
              <w:rPr>
                <w:sz w:val="20"/>
                <w:szCs w:val="20"/>
                <w:color w:val="auto"/>
              </w:rPr>
            </w:pPr>
            <w:r>
              <w:rPr>
                <w:rFonts w:ascii="Arial" w:cs="Arial" w:eastAsia="Arial" w:hAnsi="Arial"/>
                <w:sz w:val="16"/>
                <w:szCs w:val="16"/>
                <w:color w:val="auto"/>
              </w:rPr>
              <w:t>Integra LifeSciences Holdings (IART)</w:t>
            </w:r>
          </w:p>
        </w:tc>
        <w:tc>
          <w:tcPr>
            <w:tcW w:w="3840" w:type="dxa"/>
            <w:vAlign w:val="bottom"/>
            <w:shd w:val="clear" w:color="auto" w:fill="EDEDEE"/>
          </w:tcPr>
          <w:p>
            <w:pPr>
              <w:spacing w:after="0"/>
              <w:rPr>
                <w:sz w:val="17"/>
                <w:szCs w:val="17"/>
                <w:color w:val="auto"/>
              </w:rPr>
            </w:pPr>
          </w:p>
        </w:tc>
      </w:tr>
      <w:tr>
        <w:trPr>
          <w:trHeight w:val="162"/>
        </w:trPr>
        <w:tc>
          <w:tcPr>
            <w:tcW w:w="3360" w:type="dxa"/>
            <w:vAlign w:val="bottom"/>
            <w:tcBorders>
              <w:bottom w:val="single" w:sz="8" w:color="auto"/>
            </w:tcBorders>
          </w:tcPr>
          <w:p>
            <w:pPr>
              <w:spacing w:after="0" w:line="162" w:lineRule="exact"/>
              <w:rPr>
                <w:sz w:val="20"/>
                <w:szCs w:val="20"/>
                <w:color w:val="auto"/>
              </w:rPr>
            </w:pPr>
            <w:r>
              <w:rPr>
                <w:rFonts w:ascii="Arial" w:cs="Arial" w:eastAsia="Arial" w:hAnsi="Arial"/>
                <w:sz w:val="16"/>
                <w:szCs w:val="16"/>
                <w:color w:val="auto"/>
              </w:rPr>
              <w:t> Envista Holdings (NVST)</w:t>
            </w:r>
          </w:p>
        </w:tc>
        <w:tc>
          <w:tcPr>
            <w:tcW w:w="3820" w:type="dxa"/>
            <w:vAlign w:val="bottom"/>
            <w:tcBorders>
              <w:bottom w:val="single" w:sz="8" w:color="auto"/>
            </w:tcBorders>
          </w:tcPr>
          <w:p>
            <w:pPr>
              <w:ind w:left="720"/>
              <w:spacing w:after="0" w:line="162" w:lineRule="exact"/>
              <w:rPr>
                <w:sz w:val="20"/>
                <w:szCs w:val="20"/>
                <w:color w:val="auto"/>
              </w:rPr>
            </w:pPr>
            <w:r>
              <w:rPr>
                <w:rFonts w:ascii="Arial" w:cs="Arial" w:eastAsia="Arial" w:hAnsi="Arial"/>
                <w:sz w:val="16"/>
                <w:szCs w:val="16"/>
                <w:color w:val="auto"/>
              </w:rPr>
              <w:t>Masimo (MASI)</w:t>
            </w:r>
          </w:p>
        </w:tc>
        <w:tc>
          <w:tcPr>
            <w:tcW w:w="3840" w:type="dxa"/>
            <w:vAlign w:val="bottom"/>
            <w:tcBorders>
              <w:bottom w:val="single" w:sz="8" w:color="auto"/>
            </w:tcBorders>
          </w:tcPr>
          <w:p>
            <w:pPr>
              <w:spacing w:after="0"/>
              <w:rPr>
                <w:sz w:val="14"/>
                <w:szCs w:val="14"/>
                <w:color w:val="auto"/>
              </w:rPr>
            </w:pPr>
          </w:p>
        </w:tc>
      </w:tr>
    </w:tbl>
    <w:p>
      <w:pPr>
        <w:spacing w:after="0" w:line="134"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In the fall of 2025, the CHCM Committee, in consultation with FW Cook, reviewed the Company’s peer group and made the following updates that will be effective for 2026, removing The Cooper Companies, Inc., ResMed, and STERIS plc, and adding Glaukos Corporation, Integer Holdings Corporation, Merit Medical Systems, Inc., and Orthofix Medical Inc. These modifications were made to ensure that the peer group continues to reflect companies of similar scale, including revenue and market capitalization, to Enovis.</w:t>
      </w:r>
    </w:p>
    <w:p>
      <w:pPr>
        <w:spacing w:after="0" w:line="111" w:lineRule="exact"/>
        <w:rPr>
          <w:sz w:val="20"/>
          <w:szCs w:val="20"/>
          <w:color w:val="auto"/>
        </w:rPr>
      </w:pPr>
    </w:p>
    <w:p>
      <w:pPr>
        <w:jc w:val="both"/>
        <w:ind w:right="20"/>
        <w:spacing w:after="0"/>
        <w:rPr>
          <w:sz w:val="20"/>
          <w:szCs w:val="20"/>
          <w:color w:val="auto"/>
        </w:rPr>
      </w:pPr>
      <w:r>
        <w:rPr>
          <w:rFonts w:ascii="Arial" w:cs="Arial" w:eastAsia="Arial" w:hAnsi="Arial"/>
          <w:sz w:val="16"/>
          <w:szCs w:val="16"/>
          <w:color w:val="auto"/>
        </w:rPr>
        <w:t>Competitive review data drawn from this group was utilized by the CHCM Committee as one of many reference points to assist in its compensation decisions, and for certain NEOs, competitive review data drawn from this group was used to “benchmark” the amount of compensation paid to such NEOs.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Compensation Consultant</w:t>
      </w:r>
    </w:p>
    <w:p>
      <w:pPr>
        <w:spacing w:after="0" w:line="135" w:lineRule="exact"/>
        <w:rPr>
          <w:sz w:val="20"/>
          <w:szCs w:val="20"/>
          <w:color w:val="auto"/>
        </w:rPr>
      </w:pPr>
    </w:p>
    <w:p>
      <w:pPr>
        <w:jc w:val="both"/>
        <w:ind w:right="20"/>
        <w:spacing w:after="0" w:line="225" w:lineRule="auto"/>
        <w:rPr>
          <w:sz w:val="20"/>
          <w:szCs w:val="20"/>
          <w:color w:val="auto"/>
        </w:rPr>
      </w:pPr>
      <w:r>
        <w:rPr>
          <w:rFonts w:ascii="Arial" w:cs="Arial" w:eastAsia="Arial" w:hAnsi="Arial"/>
          <w:sz w:val="16"/>
          <w:szCs w:val="16"/>
          <w:color w:val="auto"/>
        </w:rPr>
        <w:t>The CHCM Committee annually considers the independence of FW Cook in light of the SEC rules regarding conflicts of interest involving compensation consultants and NYSE listing standards regarding compensation consultant independence. The CHCM Committee requested and received a letter from FW Cook addressing conflicts of interest and independence, including specific factors enumerated in both relevant SEC rules and NYSE listing standards. The CHCM Committee discussed and considered these factors, and other factors it deemed relevant, and concluded that FW Cook is independent and that its work during 2025 did not raise any conflict of interest.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Program and Risk</w:t>
      </w:r>
    </w:p>
    <w:p>
      <w:pPr>
        <w:spacing w:after="0" w:line="135"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As part of our continued appraisal of our compensation program, management, with oversight from the CHCM Committee, annually reviews our compensation policies and practices and the design of our overall compensation program in relation to our risk management practices and any potential risk-taking incentives. This assessment includes a review of the primary elements of our compensation program in light of potential risks:</w:t>
      </w:r>
    </w:p>
    <w:p>
      <w:pPr>
        <w:spacing w:after="0" w:line="11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C8102E"/>
        </w:rPr>
        <w:t>Compensation Program Risk Considerations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700" w:type="dxa"/>
            <w:vAlign w:val="bottom"/>
            <w:tcBorders>
              <w:top w:val="single" w:sz="8" w:color="auto"/>
            </w:tcBorders>
            <w:shd w:val="clear" w:color="auto" w:fill="EDEDEE"/>
          </w:tcPr>
          <w:p>
            <w:pPr>
              <w:ind w:left="80"/>
              <w:spacing w:after="0" w:line="153" w:lineRule="exact"/>
              <w:rPr>
                <w:sz w:val="20"/>
                <w:szCs w:val="20"/>
                <w:color w:val="auto"/>
              </w:rPr>
            </w:pPr>
            <w:r>
              <w:rPr>
                <w:rFonts w:ascii="Arial" w:cs="Arial" w:eastAsia="Arial" w:hAnsi="Arial"/>
                <w:sz w:val="14"/>
                <w:szCs w:val="14"/>
                <w:b w:val="1"/>
                <w:bCs w:val="1"/>
                <w:color w:val="auto"/>
              </w:rPr>
              <w:t>Pay Mix</w:t>
            </w:r>
          </w:p>
        </w:tc>
        <w:tc>
          <w:tcPr>
            <w:tcW w:w="8320" w:type="dxa"/>
            <w:vAlign w:val="bottom"/>
            <w:tcBorders>
              <w:top w:val="single" w:sz="8" w:color="auto"/>
            </w:tcBorders>
            <w:gridSpan w:val="2"/>
            <w:shd w:val="clear" w:color="auto" w:fill="EDEDEE"/>
          </w:tcPr>
          <w:p>
            <w:pPr>
              <w:ind w:left="460"/>
              <w:spacing w:after="0" w:line="153" w:lineRule="exact"/>
              <w:rPr>
                <w:sz w:val="20"/>
                <w:szCs w:val="20"/>
                <w:color w:val="auto"/>
              </w:rPr>
            </w:pPr>
            <w:r>
              <w:rPr>
                <w:rFonts w:ascii="MS PGothic" w:cs="MS PGothic" w:eastAsia="MS PGothic" w:hAnsi="MS PGothic"/>
                <w:sz w:val="14"/>
                <w:szCs w:val="14"/>
                <w:color w:val="C8102E"/>
              </w:rPr>
              <w:t>∎</w:t>
            </w:r>
            <w:r>
              <w:rPr>
                <w:rFonts w:ascii="Arial" w:cs="Arial" w:eastAsia="Arial" w:hAnsi="Arial"/>
                <w:sz w:val="14"/>
                <w:szCs w:val="14"/>
                <w:color w:val="auto"/>
              </w:rPr>
              <w:t>  Compensation program reflects an appropriate mix of short- and long-term incentives, which mitigate the risk of undue</w:t>
            </w:r>
          </w:p>
        </w:tc>
        <w:tc>
          <w:tcPr>
            <w:tcW w:w="0" w:type="dxa"/>
            <w:vAlign w:val="bottom"/>
          </w:tcPr>
          <w:p>
            <w:pPr>
              <w:spacing w:after="0"/>
              <w:rPr>
                <w:sz w:val="1"/>
                <w:szCs w:val="1"/>
                <w:color w:val="auto"/>
              </w:rPr>
            </w:pPr>
          </w:p>
        </w:tc>
      </w:tr>
      <w:tr>
        <w:trPr>
          <w:trHeight w:val="144"/>
        </w:trPr>
        <w:tc>
          <w:tcPr>
            <w:tcW w:w="2700" w:type="dxa"/>
            <w:vAlign w:val="bottom"/>
            <w:shd w:val="clear" w:color="auto" w:fill="EDEDEE"/>
          </w:tcPr>
          <w:p>
            <w:pPr>
              <w:spacing w:after="0"/>
              <w:rPr>
                <w:sz w:val="12"/>
                <w:szCs w:val="12"/>
                <w:color w:val="auto"/>
              </w:rPr>
            </w:pPr>
          </w:p>
        </w:tc>
        <w:tc>
          <w:tcPr>
            <w:tcW w:w="7940" w:type="dxa"/>
            <w:vAlign w:val="bottom"/>
            <w:shd w:val="clear" w:color="auto" w:fill="EDEDEE"/>
          </w:tcPr>
          <w:p>
            <w:pPr>
              <w:ind w:left="680"/>
              <w:spacing w:after="0" w:line="145" w:lineRule="exact"/>
              <w:rPr>
                <w:sz w:val="20"/>
                <w:szCs w:val="20"/>
                <w:color w:val="auto"/>
              </w:rPr>
            </w:pPr>
            <w:r>
              <w:rPr>
                <w:rFonts w:ascii="Arial" w:cs="Arial" w:eastAsia="Arial" w:hAnsi="Arial"/>
                <w:sz w:val="14"/>
                <w:szCs w:val="14"/>
                <w:color w:val="auto"/>
              </w:rPr>
              <w:t>focus on short-term targets while rewarding performance in areas that are key to our long-term success.</w:t>
            </w:r>
          </w:p>
        </w:tc>
        <w:tc>
          <w:tcPr>
            <w:tcW w:w="380" w:type="dxa"/>
            <w:vAlign w:val="bottom"/>
            <w:tcBorders>
              <w:left w:val="single" w:sz="8" w:color="EDEDEE"/>
            </w:tcBorders>
            <w:shd w:val="clear" w:color="auto" w:fill="EDEDE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700" w:type="dxa"/>
            <w:vAlign w:val="bottom"/>
            <w:shd w:val="clear" w:color="auto" w:fill="EDEDEE"/>
          </w:tcPr>
          <w:p>
            <w:pPr>
              <w:spacing w:after="0"/>
              <w:rPr>
                <w:sz w:val="13"/>
                <w:szCs w:val="13"/>
                <w:color w:val="auto"/>
              </w:rPr>
            </w:pPr>
          </w:p>
        </w:tc>
        <w:tc>
          <w:tcPr>
            <w:tcW w:w="8320" w:type="dxa"/>
            <w:vAlign w:val="bottom"/>
            <w:gridSpan w:val="2"/>
            <w:shd w:val="clear" w:color="auto" w:fill="EDEDEE"/>
          </w:tcPr>
          <w:p>
            <w:pPr>
              <w:ind w:left="460"/>
              <w:spacing w:after="0" w:line="153" w:lineRule="exact"/>
              <w:rPr>
                <w:sz w:val="20"/>
                <w:szCs w:val="20"/>
                <w:color w:val="auto"/>
              </w:rPr>
            </w:pPr>
            <w:r>
              <w:rPr>
                <w:rFonts w:ascii="MS PGothic" w:cs="MS PGothic" w:eastAsia="MS PGothic" w:hAnsi="MS PGothic"/>
                <w:sz w:val="14"/>
                <w:szCs w:val="14"/>
                <w:color w:val="C8102E"/>
              </w:rPr>
              <w:t>∎</w:t>
            </w:r>
            <w:r>
              <w:rPr>
                <w:rFonts w:ascii="Arial" w:cs="Arial" w:eastAsia="Arial" w:hAnsi="Arial"/>
                <w:sz w:val="14"/>
                <w:szCs w:val="14"/>
                <w:color w:val="auto"/>
              </w:rPr>
              <w:t>  Base salaries are set at competitive levels to promote stability and provide a component of compensation that is not at</w:t>
            </w:r>
          </w:p>
        </w:tc>
        <w:tc>
          <w:tcPr>
            <w:tcW w:w="0" w:type="dxa"/>
            <w:vAlign w:val="bottom"/>
          </w:tcPr>
          <w:p>
            <w:pPr>
              <w:spacing w:after="0"/>
              <w:rPr>
                <w:sz w:val="1"/>
                <w:szCs w:val="1"/>
                <w:color w:val="auto"/>
              </w:rPr>
            </w:pPr>
          </w:p>
        </w:tc>
      </w:tr>
      <w:tr>
        <w:trPr>
          <w:trHeight w:val="219"/>
        </w:trPr>
        <w:tc>
          <w:tcPr>
            <w:tcW w:w="2700" w:type="dxa"/>
            <w:vAlign w:val="bottom"/>
            <w:tcBorders>
              <w:bottom w:val="single" w:sz="8" w:color="EDEDEE"/>
            </w:tcBorders>
            <w:shd w:val="clear" w:color="auto" w:fill="EDEDEE"/>
          </w:tcPr>
          <w:p>
            <w:pPr>
              <w:spacing w:after="0"/>
              <w:rPr>
                <w:sz w:val="19"/>
                <w:szCs w:val="19"/>
                <w:color w:val="auto"/>
              </w:rPr>
            </w:pPr>
          </w:p>
        </w:tc>
        <w:tc>
          <w:tcPr>
            <w:tcW w:w="7940" w:type="dxa"/>
            <w:vAlign w:val="bottom"/>
            <w:tcBorders>
              <w:bottom w:val="single" w:sz="8" w:color="EDEDEE"/>
            </w:tcBorders>
            <w:shd w:val="clear" w:color="auto" w:fill="EDEDEE"/>
          </w:tcPr>
          <w:p>
            <w:pPr>
              <w:ind w:left="680"/>
              <w:spacing w:after="0"/>
              <w:rPr>
                <w:sz w:val="20"/>
                <w:szCs w:val="20"/>
                <w:color w:val="auto"/>
              </w:rPr>
            </w:pPr>
            <w:r>
              <w:rPr>
                <w:rFonts w:ascii="Arial" w:cs="Arial" w:eastAsia="Arial" w:hAnsi="Arial"/>
                <w:sz w:val="14"/>
                <w:szCs w:val="14"/>
                <w:color w:val="auto"/>
              </w:rPr>
              <w:t>risk.</w:t>
            </w:r>
          </w:p>
        </w:tc>
        <w:tc>
          <w:tcPr>
            <w:tcW w:w="380" w:type="dxa"/>
            <w:vAlign w:val="bottom"/>
            <w:tcBorders>
              <w:left w:val="single" w:sz="8" w:color="EDEDEE"/>
              <w:bottom w:val="single" w:sz="8" w:color="EDEDEE"/>
            </w:tcBorders>
            <w:shd w:val="clear" w:color="auto" w:fill="EDEDEE"/>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2700" w:type="dxa"/>
            <w:vAlign w:val="bottom"/>
          </w:tcPr>
          <w:p>
            <w:pPr>
              <w:ind w:left="80"/>
              <w:spacing w:after="0" w:line="122" w:lineRule="exact"/>
              <w:rPr>
                <w:sz w:val="20"/>
                <w:szCs w:val="20"/>
                <w:color w:val="auto"/>
              </w:rPr>
            </w:pPr>
            <w:r>
              <w:rPr>
                <w:rFonts w:ascii="Arial" w:cs="Arial" w:eastAsia="Arial" w:hAnsi="Arial"/>
                <w:sz w:val="14"/>
                <w:szCs w:val="14"/>
                <w:b w:val="1"/>
                <w:bCs w:val="1"/>
                <w:color w:val="auto"/>
              </w:rPr>
              <w:t>Performance Metrics and Goals</w:t>
            </w:r>
          </w:p>
        </w:tc>
        <w:tc>
          <w:tcPr>
            <w:tcW w:w="7940" w:type="dxa"/>
            <w:vAlign w:val="bottom"/>
          </w:tcPr>
          <w:p>
            <w:pPr>
              <w:ind w:left="460"/>
              <w:spacing w:after="0" w:line="122" w:lineRule="exact"/>
              <w:rPr>
                <w:sz w:val="20"/>
                <w:szCs w:val="20"/>
                <w:color w:val="auto"/>
              </w:rPr>
            </w:pPr>
            <w:r>
              <w:rPr>
                <w:rFonts w:ascii="MS PGothic" w:cs="MS PGothic" w:eastAsia="MS PGothic" w:hAnsi="MS PGothic"/>
                <w:sz w:val="14"/>
                <w:szCs w:val="14"/>
                <w:color w:val="C8102E"/>
              </w:rPr>
              <w:t>∎</w:t>
            </w:r>
            <w:r>
              <w:rPr>
                <w:rFonts w:ascii="Arial" w:cs="Arial" w:eastAsia="Arial" w:hAnsi="Arial"/>
                <w:sz w:val="14"/>
                <w:szCs w:val="14"/>
                <w:color w:val="auto"/>
              </w:rPr>
              <w:t>  Distinct performance metrics are used in both our short-term (AIP) and long-term incentive plans.</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700" w:type="dxa"/>
            <w:vAlign w:val="bottom"/>
          </w:tcPr>
          <w:p>
            <w:pPr>
              <w:spacing w:after="0"/>
              <w:rPr>
                <w:sz w:val="15"/>
                <w:szCs w:val="15"/>
                <w:color w:val="auto"/>
              </w:rPr>
            </w:pPr>
          </w:p>
        </w:tc>
        <w:tc>
          <w:tcPr>
            <w:tcW w:w="8320" w:type="dxa"/>
            <w:vAlign w:val="bottom"/>
            <w:gridSpan w:val="2"/>
          </w:tcPr>
          <w:p>
            <w:pPr>
              <w:ind w:left="460"/>
              <w:spacing w:after="0" w:line="161" w:lineRule="exact"/>
              <w:rPr>
                <w:sz w:val="20"/>
                <w:szCs w:val="20"/>
                <w:color w:val="auto"/>
              </w:rPr>
            </w:pPr>
            <w:r>
              <w:rPr>
                <w:rFonts w:ascii="MS PGothic" w:cs="MS PGothic" w:eastAsia="MS PGothic" w:hAnsi="MS PGothic"/>
                <w:sz w:val="14"/>
                <w:szCs w:val="14"/>
                <w:color w:val="C8102E"/>
              </w:rPr>
              <w:t>∎</w:t>
            </w:r>
            <w:r>
              <w:rPr>
                <w:rFonts w:ascii="Arial" w:cs="Arial" w:eastAsia="Arial" w:hAnsi="Arial"/>
                <w:sz w:val="14"/>
                <w:szCs w:val="14"/>
                <w:color w:val="auto"/>
              </w:rPr>
              <w:t>  Our Annual Incentive Plan is designed with a payout scale (including a maximum cap) that supports our pay-for-</w:t>
            </w:r>
          </w:p>
        </w:tc>
        <w:tc>
          <w:tcPr>
            <w:tcW w:w="0" w:type="dxa"/>
            <w:vAlign w:val="bottom"/>
          </w:tcPr>
          <w:p>
            <w:pPr>
              <w:spacing w:after="0"/>
              <w:rPr>
                <w:sz w:val="1"/>
                <w:szCs w:val="1"/>
                <w:color w:val="auto"/>
              </w:rPr>
            </w:pPr>
          </w:p>
        </w:tc>
      </w:tr>
      <w:tr>
        <w:trPr>
          <w:trHeight w:val="190"/>
        </w:trPr>
        <w:tc>
          <w:tcPr>
            <w:tcW w:w="2700" w:type="dxa"/>
            <w:vAlign w:val="bottom"/>
          </w:tcPr>
          <w:p>
            <w:pPr>
              <w:spacing w:after="0"/>
              <w:rPr>
                <w:sz w:val="16"/>
                <w:szCs w:val="16"/>
                <w:color w:val="auto"/>
              </w:rPr>
            </w:pPr>
          </w:p>
        </w:tc>
        <w:tc>
          <w:tcPr>
            <w:tcW w:w="7940" w:type="dxa"/>
            <w:vAlign w:val="bottom"/>
          </w:tcPr>
          <w:p>
            <w:pPr>
              <w:ind w:left="680"/>
              <w:spacing w:after="0"/>
              <w:rPr>
                <w:sz w:val="20"/>
                <w:szCs w:val="20"/>
                <w:color w:val="auto"/>
              </w:rPr>
            </w:pPr>
            <w:r>
              <w:rPr>
                <w:rFonts w:ascii="Arial" w:cs="Arial" w:eastAsia="Arial" w:hAnsi="Arial"/>
                <w:sz w:val="14"/>
                <w:szCs w:val="14"/>
                <w:color w:val="auto"/>
              </w:rPr>
              <w:t>performance philosophy, as set forth on page 32.</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700" w:type="dxa"/>
            <w:vAlign w:val="bottom"/>
          </w:tcPr>
          <w:p>
            <w:pPr>
              <w:spacing w:after="0"/>
              <w:rPr>
                <w:sz w:val="3"/>
                <w:szCs w:val="3"/>
                <w:color w:val="auto"/>
              </w:rPr>
            </w:pPr>
          </w:p>
        </w:tc>
        <w:tc>
          <w:tcPr>
            <w:tcW w:w="7940" w:type="dxa"/>
            <w:vAlign w:val="bottom"/>
          </w:tcPr>
          <w:p>
            <w:pPr>
              <w:spacing w:after="0"/>
              <w:rPr>
                <w:sz w:val="3"/>
                <w:szCs w:val="3"/>
                <w:color w:val="auto"/>
              </w:rPr>
            </w:pPr>
          </w:p>
        </w:tc>
        <w:tc>
          <w:tcPr>
            <w:tcW w:w="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9"/>
        </w:trPr>
        <w:tc>
          <w:tcPr>
            <w:tcW w:w="2700" w:type="dxa"/>
            <w:vAlign w:val="bottom"/>
            <w:shd w:val="clear" w:color="auto" w:fill="EDEDEE"/>
          </w:tcPr>
          <w:p>
            <w:pPr>
              <w:ind w:left="80"/>
              <w:spacing w:after="0" w:line="139" w:lineRule="exact"/>
              <w:rPr>
                <w:sz w:val="20"/>
                <w:szCs w:val="20"/>
                <w:color w:val="auto"/>
              </w:rPr>
            </w:pPr>
            <w:r>
              <w:rPr>
                <w:rFonts w:ascii="Arial" w:cs="Arial" w:eastAsia="Arial" w:hAnsi="Arial"/>
                <w:sz w:val="14"/>
                <w:szCs w:val="14"/>
                <w:b w:val="1"/>
                <w:bCs w:val="1"/>
                <w:color w:val="auto"/>
              </w:rPr>
              <w:t>Long-Term Incentives</w:t>
            </w:r>
          </w:p>
        </w:tc>
        <w:tc>
          <w:tcPr>
            <w:tcW w:w="8320" w:type="dxa"/>
            <w:vAlign w:val="bottom"/>
            <w:gridSpan w:val="2"/>
            <w:shd w:val="clear" w:color="auto" w:fill="EDEDEE"/>
          </w:tcPr>
          <w:p>
            <w:pPr>
              <w:ind w:left="460"/>
              <w:spacing w:after="0" w:line="139" w:lineRule="exact"/>
              <w:rPr>
                <w:sz w:val="20"/>
                <w:szCs w:val="20"/>
                <w:color w:val="auto"/>
              </w:rPr>
            </w:pPr>
            <w:r>
              <w:rPr>
                <w:rFonts w:ascii="MS PGothic" w:cs="MS PGothic" w:eastAsia="MS PGothic" w:hAnsi="MS PGothic"/>
                <w:sz w:val="14"/>
                <w:szCs w:val="14"/>
                <w:color w:val="C8102E"/>
              </w:rPr>
              <w:t>∎</w:t>
            </w:r>
            <w:r>
              <w:rPr>
                <w:rFonts w:ascii="Arial" w:cs="Arial" w:eastAsia="Arial" w:hAnsi="Arial"/>
                <w:sz w:val="14"/>
                <w:szCs w:val="14"/>
                <w:color w:val="auto"/>
              </w:rPr>
              <w:t>  The equity grant portion of our compensation program, combined with our stock ownership guidelines and stock</w:t>
            </w:r>
          </w:p>
        </w:tc>
        <w:tc>
          <w:tcPr>
            <w:tcW w:w="0" w:type="dxa"/>
            <w:vAlign w:val="bottom"/>
          </w:tcPr>
          <w:p>
            <w:pPr>
              <w:spacing w:after="0"/>
              <w:rPr>
                <w:sz w:val="1"/>
                <w:szCs w:val="1"/>
                <w:color w:val="auto"/>
              </w:rPr>
            </w:pPr>
          </w:p>
        </w:tc>
      </w:tr>
      <w:tr>
        <w:trPr>
          <w:trHeight w:val="158"/>
        </w:trPr>
        <w:tc>
          <w:tcPr>
            <w:tcW w:w="2700" w:type="dxa"/>
            <w:vAlign w:val="bottom"/>
            <w:tcBorders>
              <w:bottom w:val="single" w:sz="8" w:color="auto"/>
            </w:tcBorders>
            <w:shd w:val="clear" w:color="auto" w:fill="EDEDEE"/>
          </w:tcPr>
          <w:p>
            <w:pPr>
              <w:spacing w:after="0"/>
              <w:rPr>
                <w:sz w:val="13"/>
                <w:szCs w:val="13"/>
                <w:color w:val="auto"/>
              </w:rPr>
            </w:pPr>
          </w:p>
        </w:tc>
        <w:tc>
          <w:tcPr>
            <w:tcW w:w="7940" w:type="dxa"/>
            <w:vAlign w:val="bottom"/>
            <w:tcBorders>
              <w:bottom w:val="single" w:sz="8" w:color="auto"/>
            </w:tcBorders>
            <w:shd w:val="clear" w:color="auto" w:fill="EDEDEE"/>
          </w:tcPr>
          <w:p>
            <w:pPr>
              <w:ind w:left="680"/>
              <w:spacing w:after="0" w:line="158" w:lineRule="exact"/>
              <w:rPr>
                <w:sz w:val="20"/>
                <w:szCs w:val="20"/>
                <w:color w:val="auto"/>
              </w:rPr>
            </w:pPr>
            <w:r>
              <w:rPr>
                <w:rFonts w:ascii="Arial" w:cs="Arial" w:eastAsia="Arial" w:hAnsi="Arial"/>
                <w:sz w:val="14"/>
                <w:szCs w:val="14"/>
                <w:color w:val="auto"/>
              </w:rPr>
              <w:t>holding requirements, is designed to align the long-term interests of our executives with those of our stockholders.</w:t>
            </w:r>
          </w:p>
        </w:tc>
        <w:tc>
          <w:tcPr>
            <w:tcW w:w="380" w:type="dxa"/>
            <w:vAlign w:val="bottom"/>
            <w:tcBorders>
              <w:left w:val="single" w:sz="8" w:color="EDEDEE"/>
              <w:bottom w:val="single" w:sz="8" w:color="auto"/>
            </w:tcBorders>
            <w:shd w:val="clear" w:color="auto" w:fill="EDEDE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700" w:type="dxa"/>
            <w:vAlign w:val="bottom"/>
          </w:tcPr>
          <w:p>
            <w:pPr>
              <w:spacing w:after="0"/>
              <w:rPr>
                <w:sz w:val="15"/>
                <w:szCs w:val="15"/>
                <w:color w:val="auto"/>
              </w:rPr>
            </w:pPr>
          </w:p>
        </w:tc>
        <w:tc>
          <w:tcPr>
            <w:tcW w:w="7940" w:type="dxa"/>
            <w:vAlign w:val="bottom"/>
            <w:vMerge w:val="restart"/>
          </w:tcPr>
          <w:p>
            <w:pPr>
              <w:ind w:left="5940"/>
              <w:spacing w:after="0"/>
              <w:rPr>
                <w:sz w:val="20"/>
                <w:szCs w:val="20"/>
                <w:color w:val="auto"/>
              </w:rPr>
            </w:pPr>
            <w:r>
              <w:rPr>
                <w:rFonts w:ascii="Arial" w:cs="Arial" w:eastAsia="Arial" w:hAnsi="Arial"/>
                <w:sz w:val="18"/>
                <w:szCs w:val="18"/>
                <w:color w:val="auto"/>
              </w:rPr>
              <w:t>- 2026 Proxy Statement</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5"/>
        </w:trPr>
        <w:tc>
          <w:tcPr>
            <w:tcW w:w="2700" w:type="dxa"/>
            <w:vAlign w:val="bottom"/>
          </w:tcPr>
          <w:p>
            <w:pPr>
              <w:spacing w:after="0"/>
              <w:rPr>
                <w:sz w:val="24"/>
                <w:szCs w:val="24"/>
                <w:color w:val="auto"/>
              </w:rPr>
            </w:pPr>
          </w:p>
        </w:tc>
        <w:tc>
          <w:tcPr>
            <w:tcW w:w="7940" w:type="dxa"/>
            <w:vAlign w:val="bottom"/>
            <w:vMerge w:val="continue"/>
          </w:tcPr>
          <w:p>
            <w:pPr>
              <w:spacing w:after="0"/>
              <w:rPr>
                <w:sz w:val="24"/>
                <w:szCs w:val="24"/>
                <w:color w:val="auto"/>
              </w:rPr>
            </w:pPr>
          </w:p>
        </w:tc>
        <w:tc>
          <w:tcPr>
            <w:tcW w:w="380" w:type="dxa"/>
            <w:vAlign w:val="bottom"/>
            <w:tcBorders>
              <w:left w:val="single" w:sz="8" w:color="FF0000"/>
            </w:tcBorders>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85"/>
        </w:trPr>
        <w:tc>
          <w:tcPr>
            <w:tcW w:w="2700" w:type="dxa"/>
            <w:vAlign w:val="bottom"/>
            <w:tcBorders>
              <w:bottom w:val="single" w:sz="8" w:color="auto"/>
            </w:tcBorders>
          </w:tcPr>
          <w:p>
            <w:pPr>
              <w:spacing w:after="0"/>
              <w:rPr>
                <w:sz w:val="16"/>
                <w:szCs w:val="16"/>
                <w:color w:val="auto"/>
              </w:rPr>
            </w:pPr>
          </w:p>
        </w:tc>
        <w:tc>
          <w:tcPr>
            <w:tcW w:w="7940" w:type="dxa"/>
            <w:vAlign w:val="bottom"/>
            <w:tcBorders>
              <w:bottom w:val="single" w:sz="8" w:color="auto"/>
            </w:tcBorders>
          </w:tcPr>
          <w:p>
            <w:pPr>
              <w:spacing w:after="0"/>
              <w:rPr>
                <w:sz w:val="16"/>
                <w:szCs w:val="16"/>
                <w:color w:val="auto"/>
              </w:rPr>
            </w:pPr>
          </w:p>
        </w:tc>
        <w:tc>
          <w:tcPr>
            <w:tcW w:w="380" w:type="dxa"/>
            <w:vAlign w:val="bottom"/>
            <w:tcBorders>
              <w:left w:val="single" w:sz="8" w:color="FF0000"/>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4772025</wp:posOffset>
            </wp:positionH>
            <wp:positionV relativeFrom="paragraph">
              <wp:posOffset>-325120</wp:posOffset>
            </wp:positionV>
            <wp:extent cx="685800" cy="1625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0" cy="162560"/>
                    </a:xfrm>
                    <a:prstGeom prst="rect">
                      <a:avLst/>
                    </a:prstGeom>
                    <a:noFill/>
                  </pic:spPr>
                </pic:pic>
              </a:graphicData>
            </a:graphic>
          </wp:anchor>
        </w:drawing>
      </w:r>
    </w:p>
    <w:p>
      <w:pPr>
        <w:sectPr>
          <w:pgSz w:w="11900" w:h="16838" w:orient="portrait"/>
          <w:cols w:equalWidth="0" w:num="1">
            <w:col w:w="11020"/>
          </w:cols>
          <w:pgMar w:left="440" w:top="615" w:right="439" w:bottom="1440" w:gutter="0" w:footer="0" w:header="0"/>
        </w:sectPr>
      </w:pPr>
    </w:p>
    <w:bookmarkStart w:id="43" w:name="page44"/>
    <w:bookmarkEnd w:id="43"/>
    <w:p>
      <w:pPr>
        <w:ind w:right="20"/>
        <w:spacing w:after="0" w:line="251" w:lineRule="auto"/>
        <w:rPr>
          <w:sz w:val="20"/>
          <w:szCs w:val="20"/>
          <w:color w:val="auto"/>
        </w:rPr>
      </w:pPr>
      <w:r>
        <w:rPr>
          <w:rFonts w:ascii="Arial" w:cs="Arial" w:eastAsia="Arial" w:hAnsi="Arial"/>
          <w:sz w:val="16"/>
          <w:szCs w:val="16"/>
          <w:color w:val="auto"/>
        </w:rPr>
        <w:t>We have controls and other policies in place that serve to limit excessive risk-taking behavior within our compensation program, including, but not limited to, the following:</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C8102E"/>
        </w:rPr>
        <w:t>Compensation Risk Mitigation Components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420" w:type="dxa"/>
            <w:vAlign w:val="bottom"/>
            <w:tcBorders>
              <w:top w:val="single" w:sz="8" w:color="auto"/>
            </w:tcBorders>
            <w:shd w:val="clear" w:color="auto" w:fill="EDEDEE"/>
          </w:tcPr>
          <w:p>
            <w:pPr>
              <w:spacing w:after="0" w:line="153" w:lineRule="exact"/>
              <w:rPr>
                <w:sz w:val="20"/>
                <w:szCs w:val="20"/>
                <w:color w:val="auto"/>
              </w:rPr>
            </w:pPr>
            <w:r>
              <w:rPr>
                <w:rFonts w:ascii="Arial" w:cs="Arial" w:eastAsia="Arial" w:hAnsi="Arial"/>
                <w:sz w:val="14"/>
                <w:szCs w:val="14"/>
                <w:b w:val="1"/>
                <w:bCs w:val="1"/>
                <w:color w:val="auto"/>
              </w:rPr>
              <w:t>Compliance Risk Mitigation</w:t>
            </w:r>
          </w:p>
        </w:tc>
        <w:tc>
          <w:tcPr>
            <w:tcW w:w="8600" w:type="dxa"/>
            <w:vAlign w:val="bottom"/>
            <w:tcBorders>
              <w:top w:val="single" w:sz="8" w:color="auto"/>
            </w:tcBorders>
            <w:shd w:val="clear" w:color="auto" w:fill="EDEDEE"/>
          </w:tcPr>
          <w:p>
            <w:pPr>
              <w:ind w:left="540"/>
              <w:spacing w:after="0" w:line="153" w:lineRule="exact"/>
              <w:rPr>
                <w:sz w:val="20"/>
                <w:szCs w:val="20"/>
                <w:color w:val="auto"/>
              </w:rPr>
            </w:pPr>
            <w:r>
              <w:rPr>
                <w:rFonts w:ascii="MS PGothic" w:cs="MS PGothic" w:eastAsia="MS PGothic" w:hAnsi="MS PGothic"/>
                <w:sz w:val="14"/>
                <w:szCs w:val="14"/>
                <w:color w:val="C8102E"/>
              </w:rPr>
              <w:t>∎</w:t>
            </w:r>
            <w:r>
              <w:rPr>
                <w:rFonts w:ascii="Arial" w:cs="Arial" w:eastAsia="Arial" w:hAnsi="Arial"/>
                <w:sz w:val="14"/>
                <w:szCs w:val="14"/>
                <w:color w:val="auto"/>
              </w:rPr>
              <w:t xml:space="preserve"> Oversight of our compensation process and procedures by the CHCM Committee, each member</w:t>
            </w:r>
          </w:p>
        </w:tc>
      </w:tr>
      <w:tr>
        <w:trPr>
          <w:trHeight w:val="148"/>
        </w:trPr>
        <w:tc>
          <w:tcPr>
            <w:tcW w:w="2420" w:type="dxa"/>
            <w:vAlign w:val="bottom"/>
            <w:shd w:val="clear" w:color="auto" w:fill="EDEDEE"/>
          </w:tcPr>
          <w:p>
            <w:pPr>
              <w:spacing w:after="0"/>
              <w:rPr>
                <w:sz w:val="12"/>
                <w:szCs w:val="12"/>
                <w:color w:val="auto"/>
              </w:rPr>
            </w:pPr>
          </w:p>
        </w:tc>
        <w:tc>
          <w:tcPr>
            <w:tcW w:w="8600" w:type="dxa"/>
            <w:vAlign w:val="bottom"/>
            <w:shd w:val="clear" w:color="auto" w:fill="EDEDEE"/>
          </w:tcPr>
          <w:p>
            <w:pPr>
              <w:ind w:left="540"/>
              <w:spacing w:after="0" w:line="149" w:lineRule="exact"/>
              <w:rPr>
                <w:sz w:val="20"/>
                <w:szCs w:val="20"/>
                <w:color w:val="auto"/>
              </w:rPr>
            </w:pPr>
            <w:r>
              <w:rPr>
                <w:rFonts w:ascii="Arial" w:cs="Arial" w:eastAsia="Arial" w:hAnsi="Arial"/>
                <w:sz w:val="14"/>
                <w:szCs w:val="14"/>
                <w:color w:val="auto"/>
              </w:rPr>
              <w:t>of which has been determined by the Board to be independent under applicable SEC rules and</w:t>
            </w:r>
          </w:p>
        </w:tc>
      </w:tr>
      <w:tr>
        <w:trPr>
          <w:trHeight w:val="144"/>
        </w:trPr>
        <w:tc>
          <w:tcPr>
            <w:tcW w:w="2420" w:type="dxa"/>
            <w:vAlign w:val="bottom"/>
            <w:shd w:val="clear" w:color="auto" w:fill="EDEDEE"/>
          </w:tcPr>
          <w:p>
            <w:pPr>
              <w:spacing w:after="0"/>
              <w:rPr>
                <w:sz w:val="12"/>
                <w:szCs w:val="12"/>
                <w:color w:val="auto"/>
              </w:rPr>
            </w:pPr>
          </w:p>
        </w:tc>
        <w:tc>
          <w:tcPr>
            <w:tcW w:w="8600" w:type="dxa"/>
            <w:vAlign w:val="bottom"/>
            <w:shd w:val="clear" w:color="auto" w:fill="EDEDEE"/>
          </w:tcPr>
          <w:p>
            <w:pPr>
              <w:ind w:left="540"/>
              <w:spacing w:after="0" w:line="145" w:lineRule="exact"/>
              <w:rPr>
                <w:sz w:val="20"/>
                <w:szCs w:val="20"/>
                <w:color w:val="auto"/>
              </w:rPr>
            </w:pPr>
            <w:r>
              <w:rPr>
                <w:rFonts w:ascii="Arial" w:cs="Arial" w:eastAsia="Arial" w:hAnsi="Arial"/>
                <w:sz w:val="14"/>
                <w:szCs w:val="14"/>
                <w:color w:val="auto"/>
              </w:rPr>
              <w:t>NYSE listing standards;</w:t>
            </w:r>
          </w:p>
        </w:tc>
      </w:tr>
      <w:tr>
        <w:trPr>
          <w:trHeight w:val="153"/>
        </w:trPr>
        <w:tc>
          <w:tcPr>
            <w:tcW w:w="2420" w:type="dxa"/>
            <w:vAlign w:val="bottom"/>
            <w:shd w:val="clear" w:color="auto" w:fill="EDEDEE"/>
          </w:tcPr>
          <w:p>
            <w:pPr>
              <w:spacing w:after="0"/>
              <w:rPr>
                <w:sz w:val="13"/>
                <w:szCs w:val="13"/>
                <w:color w:val="auto"/>
              </w:rPr>
            </w:pPr>
          </w:p>
        </w:tc>
        <w:tc>
          <w:tcPr>
            <w:tcW w:w="8600" w:type="dxa"/>
            <w:vAlign w:val="bottom"/>
            <w:shd w:val="clear" w:color="auto" w:fill="EDEDEE"/>
          </w:tcPr>
          <w:p>
            <w:pPr>
              <w:ind w:left="540"/>
              <w:spacing w:after="0" w:line="153" w:lineRule="exact"/>
              <w:rPr>
                <w:sz w:val="20"/>
                <w:szCs w:val="20"/>
                <w:color w:val="auto"/>
              </w:rPr>
            </w:pPr>
            <w:r>
              <w:rPr>
                <w:rFonts w:ascii="MS PGothic" w:cs="MS PGothic" w:eastAsia="MS PGothic" w:hAnsi="MS PGothic"/>
                <w:sz w:val="14"/>
                <w:szCs w:val="14"/>
                <w:color w:val="C8102E"/>
              </w:rPr>
              <w:t>∎</w:t>
            </w:r>
            <w:r>
              <w:rPr>
                <w:rFonts w:ascii="Arial" w:cs="Arial" w:eastAsia="Arial" w:hAnsi="Arial"/>
                <w:sz w:val="14"/>
                <w:szCs w:val="14"/>
                <w:color w:val="auto"/>
              </w:rPr>
              <w:t>Internal controls over our financial reporting, which are maintained by management and reviewed</w:t>
            </w:r>
          </w:p>
        </w:tc>
      </w:tr>
      <w:tr>
        <w:trPr>
          <w:trHeight w:val="149"/>
        </w:trPr>
        <w:tc>
          <w:tcPr>
            <w:tcW w:w="2420" w:type="dxa"/>
            <w:vAlign w:val="bottom"/>
            <w:shd w:val="clear" w:color="auto" w:fill="EDEDEE"/>
          </w:tcPr>
          <w:p>
            <w:pPr>
              <w:spacing w:after="0"/>
              <w:rPr>
                <w:sz w:val="12"/>
                <w:szCs w:val="12"/>
                <w:color w:val="auto"/>
              </w:rPr>
            </w:pPr>
          </w:p>
        </w:tc>
        <w:tc>
          <w:tcPr>
            <w:tcW w:w="8600" w:type="dxa"/>
            <w:vAlign w:val="bottom"/>
            <w:shd w:val="clear" w:color="auto" w:fill="EDEDEE"/>
          </w:tcPr>
          <w:p>
            <w:pPr>
              <w:ind w:left="540"/>
              <w:spacing w:after="0" w:line="149" w:lineRule="exact"/>
              <w:rPr>
                <w:sz w:val="20"/>
                <w:szCs w:val="20"/>
                <w:color w:val="auto"/>
              </w:rPr>
            </w:pPr>
            <w:r>
              <w:rPr>
                <w:rFonts w:ascii="Arial" w:cs="Arial" w:eastAsia="Arial" w:hAnsi="Arial"/>
                <w:sz w:val="14"/>
                <w:szCs w:val="14"/>
                <w:color w:val="auto"/>
              </w:rPr>
              <w:t>as a part of our internal audit process and further reviewed and tested by our external auditors, as</w:t>
            </w:r>
          </w:p>
        </w:tc>
      </w:tr>
      <w:tr>
        <w:trPr>
          <w:trHeight w:val="144"/>
        </w:trPr>
        <w:tc>
          <w:tcPr>
            <w:tcW w:w="2420" w:type="dxa"/>
            <w:vAlign w:val="bottom"/>
            <w:shd w:val="clear" w:color="auto" w:fill="EDEDEE"/>
          </w:tcPr>
          <w:p>
            <w:pPr>
              <w:spacing w:after="0"/>
              <w:rPr>
                <w:sz w:val="12"/>
                <w:szCs w:val="12"/>
                <w:color w:val="auto"/>
              </w:rPr>
            </w:pPr>
          </w:p>
        </w:tc>
        <w:tc>
          <w:tcPr>
            <w:tcW w:w="8600" w:type="dxa"/>
            <w:vAlign w:val="bottom"/>
            <w:shd w:val="clear" w:color="auto" w:fill="EDEDEE"/>
          </w:tcPr>
          <w:p>
            <w:pPr>
              <w:ind w:left="540"/>
              <w:spacing w:after="0" w:line="145" w:lineRule="exact"/>
              <w:rPr>
                <w:sz w:val="20"/>
                <w:szCs w:val="20"/>
                <w:color w:val="auto"/>
              </w:rPr>
            </w:pPr>
            <w:r>
              <w:rPr>
                <w:rFonts w:ascii="Arial" w:cs="Arial" w:eastAsia="Arial" w:hAnsi="Arial"/>
                <w:sz w:val="14"/>
                <w:szCs w:val="14"/>
                <w:color w:val="auto"/>
              </w:rPr>
              <w:t>overseen by the Audit Committee; and</w:t>
            </w:r>
          </w:p>
        </w:tc>
      </w:tr>
      <w:tr>
        <w:trPr>
          <w:trHeight w:val="153"/>
        </w:trPr>
        <w:tc>
          <w:tcPr>
            <w:tcW w:w="2420" w:type="dxa"/>
            <w:vAlign w:val="bottom"/>
            <w:shd w:val="clear" w:color="auto" w:fill="EDEDEE"/>
          </w:tcPr>
          <w:p>
            <w:pPr>
              <w:spacing w:after="0"/>
              <w:rPr>
                <w:sz w:val="13"/>
                <w:szCs w:val="13"/>
                <w:color w:val="auto"/>
              </w:rPr>
            </w:pPr>
          </w:p>
        </w:tc>
        <w:tc>
          <w:tcPr>
            <w:tcW w:w="8600" w:type="dxa"/>
            <w:vAlign w:val="bottom"/>
            <w:shd w:val="clear" w:color="auto" w:fill="EDEDEE"/>
          </w:tcPr>
          <w:p>
            <w:pPr>
              <w:ind w:left="540"/>
              <w:spacing w:after="0" w:line="153" w:lineRule="exact"/>
              <w:rPr>
                <w:sz w:val="20"/>
                <w:szCs w:val="20"/>
                <w:color w:val="auto"/>
              </w:rPr>
            </w:pPr>
            <w:r>
              <w:rPr>
                <w:rFonts w:ascii="MS PGothic" w:cs="MS PGothic" w:eastAsia="MS PGothic" w:hAnsi="MS PGothic"/>
                <w:sz w:val="14"/>
                <w:szCs w:val="14"/>
                <w:color w:val="C8102E"/>
              </w:rPr>
              <w:t>∎</w:t>
            </w:r>
            <w:r>
              <w:rPr>
                <w:rFonts w:ascii="Arial" w:cs="Arial" w:eastAsia="Arial" w:hAnsi="Arial"/>
                <w:sz w:val="14"/>
                <w:szCs w:val="14"/>
                <w:color w:val="auto"/>
              </w:rPr>
              <w:t> Audit Committee oversight and review of financial results and non-GAAP metrics used in certain</w:t>
            </w:r>
          </w:p>
        </w:tc>
      </w:tr>
      <w:tr>
        <w:trPr>
          <w:trHeight w:val="205"/>
        </w:trPr>
        <w:tc>
          <w:tcPr>
            <w:tcW w:w="2420" w:type="dxa"/>
            <w:vAlign w:val="bottom"/>
            <w:tcBorders>
              <w:bottom w:val="single" w:sz="8" w:color="EDEDEE"/>
            </w:tcBorders>
            <w:shd w:val="clear" w:color="auto" w:fill="EDEDEE"/>
          </w:tcPr>
          <w:p>
            <w:pPr>
              <w:spacing w:after="0"/>
              <w:rPr>
                <w:sz w:val="17"/>
                <w:szCs w:val="17"/>
                <w:color w:val="auto"/>
              </w:rPr>
            </w:pPr>
          </w:p>
        </w:tc>
        <w:tc>
          <w:tcPr>
            <w:tcW w:w="8600" w:type="dxa"/>
            <w:vAlign w:val="bottom"/>
            <w:tcBorders>
              <w:bottom w:val="single" w:sz="8" w:color="EDEDEE"/>
            </w:tcBorders>
            <w:shd w:val="clear" w:color="auto" w:fill="EDEDEE"/>
          </w:tcPr>
          <w:p>
            <w:pPr>
              <w:ind w:left="540"/>
              <w:spacing w:after="0"/>
              <w:rPr>
                <w:sz w:val="20"/>
                <w:szCs w:val="20"/>
                <w:color w:val="auto"/>
              </w:rPr>
            </w:pPr>
            <w:r>
              <w:rPr>
                <w:rFonts w:ascii="Arial" w:cs="Arial" w:eastAsia="Arial" w:hAnsi="Arial"/>
                <w:sz w:val="14"/>
                <w:szCs w:val="14"/>
                <w:color w:val="auto"/>
              </w:rPr>
              <w:t>components of our AIP and long-term incentives.</w:t>
            </w:r>
          </w:p>
        </w:tc>
      </w:tr>
      <w:tr>
        <w:trPr>
          <w:trHeight w:val="139"/>
        </w:trPr>
        <w:tc>
          <w:tcPr>
            <w:tcW w:w="2420" w:type="dxa"/>
            <w:vAlign w:val="bottom"/>
          </w:tcPr>
          <w:p>
            <w:pPr>
              <w:spacing w:after="0" w:line="139" w:lineRule="exact"/>
              <w:rPr>
                <w:sz w:val="20"/>
                <w:szCs w:val="20"/>
                <w:color w:val="auto"/>
              </w:rPr>
            </w:pPr>
            <w:r>
              <w:rPr>
                <w:rFonts w:ascii="Arial" w:cs="Arial" w:eastAsia="Arial" w:hAnsi="Arial"/>
                <w:sz w:val="14"/>
                <w:szCs w:val="14"/>
                <w:b w:val="1"/>
                <w:bCs w:val="1"/>
                <w:color w:val="auto"/>
              </w:rPr>
              <w:t>Personnel Risk Mitigation</w:t>
            </w:r>
          </w:p>
        </w:tc>
        <w:tc>
          <w:tcPr>
            <w:tcW w:w="8600" w:type="dxa"/>
            <w:vAlign w:val="bottom"/>
          </w:tcPr>
          <w:p>
            <w:pPr>
              <w:ind w:left="540"/>
              <w:spacing w:after="0" w:line="139" w:lineRule="exact"/>
              <w:rPr>
                <w:sz w:val="20"/>
                <w:szCs w:val="20"/>
                <w:color w:val="auto"/>
              </w:rPr>
            </w:pPr>
            <w:r>
              <w:rPr>
                <w:rFonts w:ascii="MS PGothic" w:cs="MS PGothic" w:eastAsia="MS PGothic" w:hAnsi="MS PGothic"/>
                <w:sz w:val="14"/>
                <w:szCs w:val="14"/>
                <w:color w:val="C8102E"/>
              </w:rPr>
              <w:t>∎</w:t>
            </w:r>
            <w:r>
              <w:rPr>
                <w:rFonts w:ascii="Arial" w:cs="Arial" w:eastAsia="Arial" w:hAnsi="Arial"/>
                <w:sz w:val="14"/>
                <w:szCs w:val="14"/>
                <w:color w:val="auto"/>
              </w:rPr>
              <w:t xml:space="preserve"> Implementation of and training on Company-wide standards of conduct, as described on page 20</w:t>
            </w:r>
          </w:p>
        </w:tc>
      </w:tr>
      <w:tr>
        <w:trPr>
          <w:trHeight w:val="171"/>
        </w:trPr>
        <w:tc>
          <w:tcPr>
            <w:tcW w:w="2420" w:type="dxa"/>
            <w:vAlign w:val="bottom"/>
          </w:tcPr>
          <w:p>
            <w:pPr>
              <w:spacing w:after="0"/>
              <w:rPr>
                <w:sz w:val="14"/>
                <w:szCs w:val="14"/>
                <w:color w:val="auto"/>
              </w:rPr>
            </w:pPr>
          </w:p>
        </w:tc>
        <w:tc>
          <w:tcPr>
            <w:tcW w:w="8600" w:type="dxa"/>
            <w:vAlign w:val="bottom"/>
          </w:tcPr>
          <w:p>
            <w:pPr>
              <w:ind w:left="540"/>
              <w:spacing w:after="0"/>
              <w:rPr>
                <w:sz w:val="20"/>
                <w:szCs w:val="20"/>
                <w:color w:val="auto"/>
              </w:rPr>
            </w:pPr>
            <w:r>
              <w:rPr>
                <w:rFonts w:ascii="Arial" w:cs="Arial" w:eastAsia="Arial" w:hAnsi="Arial"/>
                <w:sz w:val="14"/>
                <w:szCs w:val="14"/>
                <w:color w:val="auto"/>
              </w:rPr>
              <w:t>under “Standards of Conduct.”</w:t>
            </w:r>
          </w:p>
        </w:tc>
      </w:tr>
      <w:tr>
        <w:trPr>
          <w:trHeight w:val="207"/>
        </w:trPr>
        <w:tc>
          <w:tcPr>
            <w:tcW w:w="2420" w:type="dxa"/>
            <w:vAlign w:val="bottom"/>
          </w:tcPr>
          <w:p>
            <w:pPr>
              <w:spacing w:after="0"/>
              <w:rPr>
                <w:sz w:val="20"/>
                <w:szCs w:val="20"/>
                <w:color w:val="auto"/>
              </w:rPr>
            </w:pPr>
            <w:r>
              <w:rPr>
                <w:rFonts w:ascii="Arial" w:cs="Arial" w:eastAsia="Arial" w:hAnsi="Arial"/>
                <w:sz w:val="14"/>
                <w:szCs w:val="14"/>
                <w:b w:val="1"/>
                <w:bCs w:val="1"/>
                <w:color w:val="auto"/>
              </w:rPr>
              <w:t>Risk Mitigation Policies</w:t>
            </w:r>
          </w:p>
        </w:tc>
        <w:tc>
          <w:tcPr>
            <w:tcW w:w="8600" w:type="dxa"/>
            <w:vAlign w:val="bottom"/>
          </w:tcPr>
          <w:p>
            <w:pPr>
              <w:ind w:left="540"/>
              <w:spacing w:after="0" w:line="161" w:lineRule="exact"/>
              <w:rPr>
                <w:sz w:val="20"/>
                <w:szCs w:val="20"/>
                <w:color w:val="auto"/>
              </w:rPr>
            </w:pPr>
            <w:r>
              <w:rPr>
                <w:rFonts w:ascii="MS PGothic" w:cs="MS PGothic" w:eastAsia="MS PGothic" w:hAnsi="MS PGothic"/>
                <w:sz w:val="14"/>
                <w:szCs w:val="14"/>
                <w:color w:val="C8102E"/>
              </w:rPr>
              <w:t>∎</w:t>
            </w:r>
            <w:r>
              <w:rPr>
                <w:rFonts w:ascii="Arial" w:cs="Arial" w:eastAsia="Arial" w:hAnsi="Arial"/>
                <w:sz w:val="14"/>
                <w:szCs w:val="14"/>
                <w:color w:val="auto"/>
              </w:rPr>
              <w:t xml:space="preserve"> Provisions in the Company’s insider trading policy prohibiting hedging transactions that would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-96520</wp:posOffset>
            </wp:positionV>
            <wp:extent cx="6995160" cy="4883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5160" cy="488315"/>
                    </a:xfrm>
                    <a:prstGeom prst="rect">
                      <a:avLst/>
                    </a:prstGeom>
                    <a:noFill/>
                  </pic:spPr>
                </pic:pic>
              </a:graphicData>
            </a:graphic>
          </wp:anchor>
        </w:drawing>
      </w:r>
    </w:p>
    <w:p>
      <w:pPr>
        <w:ind w:left="2960"/>
        <w:spacing w:after="0" w:line="216" w:lineRule="auto"/>
        <w:rPr>
          <w:sz w:val="20"/>
          <w:szCs w:val="20"/>
          <w:color w:val="auto"/>
        </w:rPr>
      </w:pPr>
      <w:r>
        <w:rPr>
          <w:rFonts w:ascii="Arial" w:cs="Arial" w:eastAsia="Arial" w:hAnsi="Arial"/>
          <w:sz w:val="14"/>
          <w:szCs w:val="14"/>
          <w:color w:val="auto"/>
        </w:rPr>
        <w:t>allow the holder to limit or eliminate the risk of a decrease in the value of the Company’s securities;</w:t>
      </w:r>
    </w:p>
    <w:p>
      <w:pPr>
        <w:ind w:left="3080" w:hanging="128"/>
        <w:spacing w:after="0" w:line="226" w:lineRule="auto"/>
        <w:tabs>
          <w:tab w:leader="none" w:pos="3080" w:val="left"/>
        </w:tabs>
        <w:numPr>
          <w:ilvl w:val="0"/>
          <w:numId w:val="79"/>
        </w:numPr>
        <w:rPr>
          <w:rFonts w:ascii="MS PGothic" w:cs="MS PGothic" w:eastAsia="MS PGothic" w:hAnsi="MS PGothic"/>
          <w:sz w:val="14"/>
          <w:szCs w:val="14"/>
          <w:color w:val="C8102E"/>
        </w:rPr>
      </w:pPr>
      <w:r>
        <w:rPr>
          <w:rFonts w:ascii="Arial" w:cs="Arial" w:eastAsia="Arial" w:hAnsi="Arial"/>
          <w:sz w:val="14"/>
          <w:szCs w:val="14"/>
          <w:color w:val="auto"/>
        </w:rPr>
        <w:t> A policy requiring prior legal department review and approval of any Rule 10b5-1 trading plans;</w:t>
      </w:r>
    </w:p>
    <w:p>
      <w:pPr>
        <w:ind w:left="3080" w:hanging="128"/>
        <w:spacing w:after="0"/>
        <w:tabs>
          <w:tab w:leader="none" w:pos="3080" w:val="left"/>
        </w:tabs>
        <w:numPr>
          <w:ilvl w:val="0"/>
          <w:numId w:val="79"/>
        </w:numPr>
        <w:rPr>
          <w:rFonts w:ascii="MS PGothic" w:cs="MS PGothic" w:eastAsia="MS PGothic" w:hAnsi="MS PGothic"/>
          <w:sz w:val="14"/>
          <w:szCs w:val="14"/>
          <w:color w:val="C8102E"/>
        </w:rPr>
      </w:pPr>
      <w:r>
        <w:rPr>
          <w:rFonts w:ascii="Arial" w:cs="Arial" w:eastAsia="Arial" w:hAnsi="Arial"/>
          <w:sz w:val="14"/>
          <w:szCs w:val="14"/>
          <w:color w:val="auto"/>
        </w:rPr>
        <w:t> A policy prohibiting pledging of Company shares; and</w:t>
      </w:r>
    </w:p>
    <w:p>
      <w:pPr>
        <w:spacing w:after="0" w:line="1" w:lineRule="exact"/>
        <w:rPr>
          <w:rFonts w:ascii="MS PGothic" w:cs="MS PGothic" w:eastAsia="MS PGothic" w:hAnsi="MS PGothic"/>
          <w:sz w:val="14"/>
          <w:szCs w:val="14"/>
          <w:color w:val="C8102E"/>
        </w:rPr>
      </w:pPr>
    </w:p>
    <w:p>
      <w:pPr>
        <w:ind w:left="3080" w:hanging="128"/>
        <w:spacing w:after="0"/>
        <w:tabs>
          <w:tab w:leader="none" w:pos="3080" w:val="left"/>
        </w:tabs>
        <w:numPr>
          <w:ilvl w:val="0"/>
          <w:numId w:val="79"/>
        </w:numPr>
        <w:rPr>
          <w:rFonts w:ascii="MS PGothic" w:cs="MS PGothic" w:eastAsia="MS PGothic" w:hAnsi="MS PGothic"/>
          <w:sz w:val="14"/>
          <w:szCs w:val="14"/>
          <w:color w:val="C8102E"/>
        </w:rPr>
      </w:pPr>
      <w:r>
        <w:rPr>
          <w:rFonts w:ascii="Arial" w:cs="Arial" w:eastAsia="Arial" w:hAnsi="Arial"/>
          <w:sz w:val="14"/>
          <w:szCs w:val="14"/>
          <w:color w:val="auto"/>
        </w:rPr>
        <w:t>  A clawback policy applicable to all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699516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24"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The CHCM Committee reviews with management the results of its assessment annually. Based on its most recent review, the CHCM Committee concluded that the risks arising from Company compensation policies and practices for our employees are not reasonably likely to have a material adverse effect on the Company.</w:t>
      </w:r>
    </w:p>
    <w:p>
      <w:pPr>
        <w:spacing w:after="0" w:line="110"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Additionally, the CHCM Committee also reviews the Company’s strategies and policies related to human capital management, including with respect to matters such as pay equity, corporate culture, talent development and retention.</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Hedging &amp; Pledging Ban</w:t>
      </w:r>
    </w:p>
    <w:p>
      <w:pPr>
        <w:spacing w:after="0" w:line="131" w:lineRule="exact"/>
        <w:rPr>
          <w:sz w:val="20"/>
          <w:szCs w:val="20"/>
          <w:color w:val="auto"/>
        </w:rPr>
      </w:pPr>
    </w:p>
    <w:p>
      <w:pPr>
        <w:jc w:val="both"/>
        <w:ind w:right="20"/>
        <w:spacing w:after="0" w:line="225" w:lineRule="auto"/>
        <w:rPr>
          <w:sz w:val="20"/>
          <w:szCs w:val="20"/>
          <w:color w:val="auto"/>
        </w:rPr>
      </w:pPr>
      <w:r>
        <w:rPr>
          <w:rFonts w:ascii="Arial" w:cs="Arial" w:eastAsia="Arial" w:hAnsi="Arial"/>
          <w:sz w:val="16"/>
          <w:szCs w:val="16"/>
          <w:color w:val="auto"/>
        </w:rPr>
        <w:t>Any director, officer or employee of the Company is prohibited from engaging in short sales, transactions in derivative securities (including put and call options), or other forms of hedging and monetization transactions, such as zero-cost collars, equity swaps, exchange funds and forward sale contracts, that allow the holder to limit or eliminate the risk of a decrease in the value of the Company’s securities. Our Board has also adopted a policy that prohibits any director or executive officer from pledging as security under any obligation any shares of Company stock that he or she directly or indirectly owns and controls.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Clawback Policy</w:t>
      </w:r>
    </w:p>
    <w:p>
      <w:pPr>
        <w:spacing w:after="0" w:line="185"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The CHCM Committee maintains a clawback policy compliant with Section 303A.14 of the NYSE Listed Company Manual, applicable to our current and former executive officers. Under the policy, in the event the Company is required to restate its financial results due to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 Company will recover will recover, reasonably promptly, any incentive-based compensation (including any cash or equity-based compensation) that was erroneously awarded to an executive officer during the three years prior to the date that the Company determines such restatement is required. Such recovery is required by the policy regardless of whether the applicable executive officer engaged in misconduct or otherwise caused or contributed to the requirement for the restatement and regardless of whether restated financial statements are filed by the Company. The Company may effect such recovery by requiring executive officers to repay such amount(s) to the Company, by reduction or cancelation of incentive-based compensation, by set-off, to the extent permitted by law, of erroneously awarded compensation against other compensation payable by the Company to the extent permitted by law, or such other means or combination of means as the CHCM Committee determines to be appropriate.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-118745</wp:posOffset>
            </wp:positionV>
            <wp:extent cx="762635" cy="3860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2635" cy="38608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134620</wp:posOffset>
            </wp:positionV>
            <wp:extent cx="699516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679" w:right="439" w:bottom="1440" w:gutter="0" w:footer="0" w:header="0"/>
        </w:sectPr>
      </w:pPr>
    </w:p>
    <w:bookmarkStart w:id="44" w:name="page45"/>
    <w:bookmarkEnd w:id="44"/>
    <w:p>
      <w:pPr>
        <w:spacing w:after="0"/>
        <w:rPr>
          <w:sz w:val="20"/>
          <w:szCs w:val="20"/>
          <w:color w:val="auto"/>
        </w:rPr>
      </w:pPr>
      <w:r>
        <w:rPr>
          <w:rFonts w:ascii="Arial" w:cs="Arial" w:eastAsia="Arial" w:hAnsi="Arial"/>
          <w:sz w:val="20"/>
          <w:szCs w:val="20"/>
          <w:b w:val="1"/>
          <w:bCs w:val="1"/>
          <w:color w:val="auto"/>
        </w:rPr>
        <w:t>Equity Grant Practice</w:t>
      </w:r>
    </w:p>
    <w:p>
      <w:pPr>
        <w:spacing w:after="0" w:line="144" w:lineRule="exact"/>
        <w:rPr>
          <w:sz w:val="20"/>
          <w:szCs w:val="20"/>
          <w:color w:val="auto"/>
        </w:rPr>
      </w:pPr>
    </w:p>
    <w:p>
      <w:pPr>
        <w:jc w:val="both"/>
        <w:spacing w:after="0" w:line="225" w:lineRule="auto"/>
        <w:rPr>
          <w:sz w:val="20"/>
          <w:szCs w:val="20"/>
          <w:color w:val="auto"/>
        </w:rPr>
      </w:pPr>
      <w:r>
        <w:rPr>
          <w:rFonts w:ascii="Arial" w:cs="Arial" w:eastAsia="Arial" w:hAnsi="Arial"/>
          <w:sz w:val="16"/>
          <w:szCs w:val="16"/>
          <w:color w:val="auto"/>
        </w:rPr>
        <w:t>The CHCM Committee has the authority to grant equity awards. The Company does not time the grant of equity awards around material, non-public information. The Company’s annual equity grant practice provides that annual equity grants will be made approximately ten days following the Company’s release of its full-year financial results. The target grant value is translated into a number of shares underlying each grant using a valuation formula that, for PRSUs and RSUs, incorporates a 20-day average closing price up to and including the grant date, to avoid the potential volatility impact of using a single-day closing price.</w:t>
      </w:r>
    </w:p>
    <w:p>
      <w:pPr>
        <w:spacing w:after="0" w:line="110" w:lineRule="exact"/>
        <w:rPr>
          <w:sz w:val="20"/>
          <w:szCs w:val="20"/>
          <w:color w:val="auto"/>
        </w:rPr>
      </w:pPr>
    </w:p>
    <w:p>
      <w:pPr>
        <w:jc w:val="both"/>
        <w:spacing w:after="0" w:line="221" w:lineRule="auto"/>
        <w:rPr>
          <w:sz w:val="20"/>
          <w:szCs w:val="20"/>
          <w:color w:val="auto"/>
        </w:rPr>
      </w:pPr>
      <w:r>
        <w:rPr>
          <w:rFonts w:ascii="Arial" w:cs="Arial" w:eastAsia="Arial" w:hAnsi="Arial"/>
          <w:sz w:val="16"/>
          <w:szCs w:val="16"/>
          <w:color w:val="auto"/>
        </w:rPr>
        <w:t>The CHCM Committee has delegated authority to our CEO and Chief Human Resources Officer for non-annual grants of equity awards to team members who are non-executive officers. The aggregate grant date value of such equity awards may not exceed the amount authorized by the CHCM committee during the fiscal year period. For 2025, the authorized amount was $3,000,000. Such awards are subject to further restrictions on individual size, and awards must be made pursuant to the terms of award agreement forms previously approved by the Board or the CHCM Committee. The effective grant date of these awards is on the first trading day on or after the date of hire or promotion for newly hired employees following review and approval by the CEO or Chief Human Resources Officer, as applicable. The CHCM Committee receives a report of any grants made pursuant to this delegated authority at each regularly scheduled meeting.</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Rule 10b5-1 Trading Plans by Executive Officers</w:t>
      </w:r>
    </w:p>
    <w:p>
      <w:pPr>
        <w:spacing w:after="0" w:line="185" w:lineRule="exact"/>
        <w:rPr>
          <w:sz w:val="20"/>
          <w:szCs w:val="20"/>
          <w:color w:val="auto"/>
        </w:rPr>
      </w:pPr>
    </w:p>
    <w:p>
      <w:pPr>
        <w:jc w:val="both"/>
        <w:ind w:right="20"/>
        <w:spacing w:after="0" w:line="228" w:lineRule="auto"/>
        <w:rPr>
          <w:sz w:val="20"/>
          <w:szCs w:val="20"/>
          <w:color w:val="auto"/>
        </w:rPr>
      </w:pPr>
      <w:r>
        <w:rPr>
          <w:rFonts w:ascii="Arial" w:cs="Arial" w:eastAsia="Arial" w:hAnsi="Arial"/>
          <w:sz w:val="16"/>
          <w:szCs w:val="16"/>
          <w:color w:val="auto"/>
        </w:rPr>
        <w:t>Certain of our executive officers have adopted written stock trading plans in accordance with Rule 10b5-1 under the Exchange Act and our insider trading policy. A Rule 10b5-1 Trading Plan is a written document that pre-establishes the amount (or ratio), prices, and dates (or range of possible dates) of future purchases or sales of our common stock. These plans are entered into during an open window period in accordance with the terms of our insider trading policy. From time to time, certain NEOs have entered into such plans to exercise options that are approaching the end of their term.</w:t>
      </w:r>
    </w:p>
    <w:p>
      <w:pPr>
        <w:spacing w:after="0" w:line="111" w:lineRule="exact"/>
        <w:rPr>
          <w:sz w:val="20"/>
          <w:szCs w:val="20"/>
          <w:color w:val="auto"/>
        </w:rPr>
      </w:pPr>
    </w:p>
    <w:p>
      <w:pPr>
        <w:ind w:left="7520"/>
        <w:spacing w:after="0"/>
        <w:tabs>
          <w:tab w:leader="none" w:pos="10800" w:val="left"/>
        </w:tabs>
        <w:rPr>
          <w:sz w:val="20"/>
          <w:szCs w:val="20"/>
          <w:color w:val="auto"/>
        </w:rPr>
      </w:pPr>
      <w:r>
        <w:rPr>
          <w:sz w:val="1"/>
          <w:szCs w:val="1"/>
          <w:color w:val="auto"/>
        </w:rPr>
        <w:drawing>
          <wp:inline distT="0" distB="0" distL="0" distR="0">
            <wp:extent cx="685800" cy="163195"/>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0" cy="163195"/>
                    </a:xfrm>
                    <a:prstGeom prst="rect">
                      <a:avLst/>
                    </a:prstGeom>
                    <a:noFill/>
                    <a:ln>
                      <a:noFill/>
                    </a:ln>
                  </pic:spPr>
                </pic:pic>
              </a:graphicData>
            </a:graphic>
          </wp:inline>
        </w:drawing>
      </w:r>
      <w:r>
        <w:rPr>
          <w:rFonts w:ascii="Arial" w:cs="Arial" w:eastAsia="Arial" w:hAnsi="Arial"/>
          <w:sz w:val="18"/>
          <w:szCs w:val="18"/>
          <w:color w:val="auto"/>
        </w:rPr>
        <w:t xml:space="preserve"> - 2026 Proxy Statement</w:t>
      </w:r>
      <w:r>
        <w:rPr>
          <w:sz w:val="20"/>
          <w:szCs w:val="20"/>
          <w:color w:val="auto"/>
        </w:rPr>
        <w:tab/>
      </w: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-186690</wp:posOffset>
            </wp:positionV>
            <wp:extent cx="6995160" cy="3340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5160" cy="334010"/>
                    </a:xfrm>
                    <a:prstGeom prst="rect">
                      <a:avLst/>
                    </a:prstGeom>
                    <a:noFill/>
                  </pic:spPr>
                </pic:pic>
              </a:graphicData>
            </a:graphic>
          </wp:anchor>
        </w:drawing>
      </w:r>
    </w:p>
    <w:p>
      <w:pPr>
        <w:sectPr>
          <w:pgSz w:w="11900" w:h="16838" w:orient="portrait"/>
          <w:cols w:equalWidth="0" w:num="1">
            <w:col w:w="11020"/>
          </w:cols>
          <w:pgMar w:left="440" w:top="629" w:right="439" w:bottom="1440" w:gutter="0" w:footer="0" w:header="0"/>
        </w:sectPr>
      </w:pPr>
    </w:p>
    <w:bookmarkStart w:id="45" w:name="page46"/>
    <w:bookmarkEnd w:id="45"/>
    <w:p>
      <w:pPr>
        <w:ind w:left="644" w:hanging="644"/>
        <w:spacing w:after="0"/>
        <w:tabs>
          <w:tab w:leader="none" w:pos="644" w:val="left"/>
        </w:tabs>
        <w:numPr>
          <w:ilvl w:val="0"/>
          <w:numId w:val="80"/>
        </w:numPr>
        <w:rPr>
          <w:rFonts w:ascii="MS PGothic" w:cs="MS PGothic" w:eastAsia="MS PGothic" w:hAnsi="MS PGothic"/>
          <w:sz w:val="47"/>
          <w:szCs w:val="47"/>
          <w:color w:val="C8102E"/>
        </w:rPr>
      </w:pPr>
      <w:r>
        <w:rPr>
          <w:rFonts w:ascii="Arial" w:cs="Arial" w:eastAsia="Arial" w:hAnsi="Arial"/>
          <w:sz w:val="47"/>
          <w:szCs w:val="47"/>
          <w:color w:val="auto"/>
        </w:rPr>
        <w:t>COMPENSATION AND HUMAN CAPITAL</w:t>
      </w:r>
    </w:p>
    <w:p>
      <w:pPr>
        <w:ind w:left="644"/>
        <w:spacing w:after="0"/>
        <w:rPr>
          <w:sz w:val="20"/>
          <w:szCs w:val="20"/>
          <w:color w:val="auto"/>
        </w:rPr>
      </w:pPr>
      <w:r>
        <w:rPr>
          <w:rFonts w:ascii="Arial" w:cs="Arial" w:eastAsia="Arial" w:hAnsi="Arial"/>
          <w:sz w:val="47"/>
          <w:szCs w:val="47"/>
          <w:color w:val="auto"/>
        </w:rPr>
        <w:t>MANAGEMENT COMMITTEE REPORT</w:t>
      </w:r>
    </w:p>
    <w:p>
      <w:pPr>
        <w:spacing w:after="0" w:line="98" w:lineRule="exact"/>
        <w:rPr>
          <w:sz w:val="20"/>
          <w:szCs w:val="20"/>
          <w:color w:val="auto"/>
        </w:rPr>
      </w:pPr>
    </w:p>
    <w:p>
      <w:pPr>
        <w:jc w:val="both"/>
        <w:ind w:left="4"/>
        <w:spacing w:after="0" w:line="228" w:lineRule="auto"/>
        <w:rPr>
          <w:sz w:val="20"/>
          <w:szCs w:val="20"/>
          <w:color w:val="auto"/>
        </w:rPr>
      </w:pPr>
      <w:r>
        <w:rPr>
          <w:rFonts w:ascii="Arial" w:cs="Arial" w:eastAsia="Arial" w:hAnsi="Arial"/>
          <w:sz w:val="16"/>
          <w:szCs w:val="16"/>
          <w:color w:val="auto"/>
        </w:rPr>
        <w:t>The Compensation and Human Capital Management (CHCM) Committee participated in the preparation of the Compensation Discussion and Analysis, reviewing successive drafts and discussing the drafts with management. Based on its review and discussions with management, the CHCM Committee recommended to the Board of Directors that the Compensation Discussion and Analysis be included in the Company’s 2026 Proxy Statement and in the Company’s Annual Report on Form 10-K for 2025 by reference to the Proxy Statement.</w:t>
      </w:r>
    </w:p>
    <w:p>
      <w:pPr>
        <w:spacing w:after="0" w:line="361" w:lineRule="exact"/>
        <w:rPr>
          <w:sz w:val="20"/>
          <w:szCs w:val="20"/>
          <w:color w:val="auto"/>
        </w:rPr>
      </w:pPr>
    </w:p>
    <w:p>
      <w:pPr>
        <w:ind w:left="5504"/>
        <w:spacing w:after="0"/>
        <w:rPr>
          <w:sz w:val="20"/>
          <w:szCs w:val="20"/>
          <w:color w:val="auto"/>
        </w:rPr>
      </w:pPr>
      <w:r>
        <w:rPr>
          <w:rFonts w:ascii="Arial" w:cs="Arial" w:eastAsia="Arial" w:hAnsi="Arial"/>
          <w:sz w:val="16"/>
          <w:szCs w:val="16"/>
          <w:b w:val="1"/>
          <w:bCs w:val="1"/>
          <w:color w:val="auto"/>
        </w:rPr>
        <w:t>Compensation and Human Capital Management Committee of the</w:t>
      </w:r>
    </w:p>
    <w:p>
      <w:pPr>
        <w:ind w:left="5504"/>
        <w:spacing w:after="0"/>
        <w:rPr>
          <w:sz w:val="20"/>
          <w:szCs w:val="20"/>
          <w:color w:val="auto"/>
        </w:rPr>
      </w:pPr>
      <w:r>
        <w:rPr>
          <w:rFonts w:ascii="Arial" w:cs="Arial" w:eastAsia="Arial" w:hAnsi="Arial"/>
          <w:sz w:val="16"/>
          <w:szCs w:val="16"/>
          <w:b w:val="1"/>
          <w:bCs w:val="1"/>
          <w:color w:val="auto"/>
        </w:rPr>
        <w:t>Board of Directors</w:t>
      </w:r>
    </w:p>
    <w:p>
      <w:pPr>
        <w:spacing w:after="0" w:line="253" w:lineRule="exact"/>
        <w:rPr>
          <w:sz w:val="20"/>
          <w:szCs w:val="20"/>
          <w:color w:val="auto"/>
        </w:rPr>
      </w:pPr>
    </w:p>
    <w:p>
      <w:pPr>
        <w:ind w:left="5504"/>
        <w:spacing w:after="0"/>
        <w:rPr>
          <w:sz w:val="20"/>
          <w:szCs w:val="20"/>
          <w:color w:val="auto"/>
        </w:rPr>
      </w:pPr>
      <w:r>
        <w:rPr>
          <w:rFonts w:ascii="Arial" w:cs="Arial" w:eastAsia="Arial" w:hAnsi="Arial"/>
          <w:sz w:val="16"/>
          <w:szCs w:val="16"/>
          <w:color w:val="auto"/>
        </w:rPr>
        <w:t>Angela S. Lalor, Chair</w:t>
      </w:r>
    </w:p>
    <w:p>
      <w:pPr>
        <w:ind w:left="5504"/>
        <w:spacing w:after="0"/>
        <w:rPr>
          <w:sz w:val="20"/>
          <w:szCs w:val="20"/>
          <w:color w:val="auto"/>
        </w:rPr>
      </w:pPr>
      <w:r>
        <w:rPr>
          <w:rFonts w:ascii="Arial" w:cs="Arial" w:eastAsia="Arial" w:hAnsi="Arial"/>
          <w:sz w:val="16"/>
          <w:szCs w:val="16"/>
          <w:color w:val="auto"/>
        </w:rPr>
        <w:t>Rajiv Vinnakota</w:t>
      </w:r>
    </w:p>
    <w:p>
      <w:pPr>
        <w:spacing w:after="0" w:line="16" w:lineRule="exact"/>
        <w:rPr>
          <w:sz w:val="20"/>
          <w:szCs w:val="20"/>
          <w:color w:val="auto"/>
        </w:rPr>
      </w:pPr>
    </w:p>
    <w:p>
      <w:pPr>
        <w:ind w:left="5504"/>
        <w:spacing w:after="0"/>
        <w:rPr>
          <w:sz w:val="20"/>
          <w:szCs w:val="20"/>
          <w:color w:val="auto"/>
        </w:rPr>
      </w:pPr>
      <w:r>
        <w:rPr>
          <w:rFonts w:ascii="Arial" w:cs="Arial" w:eastAsia="Arial" w:hAnsi="Arial"/>
          <w:sz w:val="16"/>
          <w:szCs w:val="16"/>
          <w:color w:val="auto"/>
        </w:rPr>
        <w:t>Sharon Wienbar</w:t>
      </w:r>
    </w:p>
    <w:p>
      <w:pPr>
        <w:spacing w:after="0" w:line="216" w:lineRule="exact"/>
        <w:rPr>
          <w:sz w:val="20"/>
          <w:szCs w:val="20"/>
          <w:color w:val="auto"/>
        </w:rPr>
      </w:pPr>
    </w:p>
    <w:p>
      <w:pPr>
        <w:ind w:left="4"/>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-118745</wp:posOffset>
            </wp:positionV>
            <wp:extent cx="762635" cy="3860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2635" cy="386080"/>
                    </a:xfrm>
                    <a:prstGeom prst="rect">
                      <a:avLst/>
                    </a:prstGeom>
                    <a:noFill/>
                  </pic:spPr>
                </pic:pic>
              </a:graphicData>
            </a:graphic>
          </wp:anchor>
        </w:drawing>
      </w:r>
    </w:p>
    <w:p>
      <w:pPr>
        <w:ind w:left="1584"/>
        <w:spacing w:after="0"/>
        <w:rPr>
          <w:sz w:val="20"/>
          <w:szCs w:val="20"/>
          <w:color w:val="auto"/>
        </w:rPr>
      </w:pPr>
      <w:r>
        <w:rPr>
          <w:rFonts w:ascii="Arial" w:cs="Arial" w:eastAsia="Arial" w:hAnsi="Arial"/>
          <w:sz w:val="18"/>
          <w:szCs w:val="18"/>
          <w:color w:val="auto"/>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699516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04"/>
          </w:cols>
          <w:pgMar w:left="436" w:top="526" w:right="459" w:bottom="1440" w:gutter="0" w:footer="0" w:header="0"/>
        </w:sectPr>
      </w:pPr>
    </w:p>
    <w:bookmarkStart w:id="46" w:name="page47"/>
    <w:bookmarkEnd w:id="46"/>
    <w:p>
      <w:pPr>
        <w:ind w:left="644" w:hanging="644"/>
        <w:spacing w:after="0"/>
        <w:tabs>
          <w:tab w:leader="none" w:pos="644" w:val="left"/>
        </w:tabs>
        <w:numPr>
          <w:ilvl w:val="0"/>
          <w:numId w:val="81"/>
        </w:numPr>
        <w:rPr>
          <w:rFonts w:ascii="MS PGothic" w:cs="MS PGothic" w:eastAsia="MS PGothic" w:hAnsi="MS PGothic"/>
          <w:sz w:val="47"/>
          <w:szCs w:val="47"/>
          <w:color w:val="C8102E"/>
        </w:rPr>
      </w:pPr>
      <w:r>
        <w:rPr>
          <w:rFonts w:ascii="Arial" w:cs="Arial" w:eastAsia="Arial" w:hAnsi="Arial"/>
          <w:sz w:val="47"/>
          <w:szCs w:val="47"/>
          <w:color w:val="auto"/>
        </w:rPr>
        <w:t>EXECUTIVE COMPENSATION</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36"/>
          <w:szCs w:val="36"/>
          <w:b w:val="1"/>
          <w:bCs w:val="1"/>
          <w:color w:val="C8102E"/>
        </w:rPr>
        <w:t>Summary Compensation Table</w:t>
      </w:r>
    </w:p>
    <w:p>
      <w:pPr>
        <w:spacing w:after="0" w:line="126"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40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C8102E"/>
              </w:rPr>
              <w:t>Change in</w:t>
            </w: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C8102E"/>
              </w:rPr>
              <w:t>Pension</w:t>
            </w: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vMerge w:val="restart"/>
          </w:tcPr>
          <w:p>
            <w:pPr>
              <w:jc w:val="right"/>
              <w:ind w:right="94"/>
              <w:spacing w:after="0"/>
              <w:rPr>
                <w:sz w:val="20"/>
                <w:szCs w:val="20"/>
                <w:color w:val="auto"/>
              </w:rPr>
            </w:pPr>
            <w:r>
              <w:rPr>
                <w:rFonts w:ascii="Arial" w:cs="Arial" w:eastAsia="Arial" w:hAnsi="Arial"/>
                <w:sz w:val="13"/>
                <w:szCs w:val="13"/>
                <w:b w:val="1"/>
                <w:bCs w:val="1"/>
                <w:color w:val="C8102E"/>
              </w:rPr>
              <w:t>Non-Equity</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C8102E"/>
              </w:rPr>
              <w:t>Value and</w:t>
            </w:r>
          </w:p>
        </w:tc>
        <w:tc>
          <w:tcPr>
            <w:tcW w:w="660" w:type="dxa"/>
            <w:vAlign w:val="bottom"/>
            <w:vMerge w:val="restart"/>
          </w:tcPr>
          <w:p>
            <w:pPr>
              <w:jc w:val="right"/>
              <w:spacing w:after="0"/>
              <w:rPr>
                <w:sz w:val="20"/>
                <w:szCs w:val="20"/>
                <w:color w:val="auto"/>
              </w:rPr>
            </w:pPr>
            <w:r>
              <w:rPr>
                <w:rFonts w:ascii="Arial" w:cs="Arial" w:eastAsia="Arial" w:hAnsi="Arial"/>
                <w:sz w:val="13"/>
                <w:szCs w:val="13"/>
                <w:b w:val="1"/>
                <w:bCs w:val="1"/>
                <w:color w:val="C8102E"/>
              </w:rPr>
              <w:t>All Other</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C8102E"/>
              </w:rPr>
              <w:t>Stock</w:t>
            </w:r>
          </w:p>
        </w:tc>
        <w:tc>
          <w:tcPr>
            <w:tcW w:w="700" w:type="dxa"/>
            <w:vAlign w:val="bottom"/>
            <w:vMerge w:val="restart"/>
          </w:tcPr>
          <w:p>
            <w:pPr>
              <w:jc w:val="right"/>
              <w:spacing w:after="0"/>
              <w:rPr>
                <w:sz w:val="20"/>
                <w:szCs w:val="20"/>
                <w:color w:val="auto"/>
              </w:rPr>
            </w:pPr>
            <w:r>
              <w:rPr>
                <w:rFonts w:ascii="Arial" w:cs="Arial" w:eastAsia="Arial" w:hAnsi="Arial"/>
                <w:sz w:val="13"/>
                <w:szCs w:val="13"/>
                <w:b w:val="1"/>
                <w:bCs w:val="1"/>
                <w:color w:val="C8102E"/>
              </w:rPr>
              <w:t>Option</w:t>
            </w:r>
          </w:p>
        </w:tc>
        <w:tc>
          <w:tcPr>
            <w:tcW w:w="1140" w:type="dxa"/>
            <w:vAlign w:val="bottom"/>
            <w:vMerge w:val="continue"/>
          </w:tcPr>
          <w:p>
            <w:pPr>
              <w:spacing w:after="0"/>
              <w:rPr>
                <w:sz w:val="11"/>
                <w:szCs w:val="11"/>
                <w:color w:val="auto"/>
              </w:rPr>
            </w:pPr>
          </w:p>
        </w:tc>
        <w:tc>
          <w:tcPr>
            <w:tcW w:w="920" w:type="dxa"/>
            <w:vAlign w:val="bottom"/>
          </w:tcPr>
          <w:p>
            <w:pPr>
              <w:jc w:val="right"/>
              <w:spacing w:after="0" w:line="136" w:lineRule="exact"/>
              <w:rPr>
                <w:sz w:val="20"/>
                <w:szCs w:val="20"/>
                <w:color w:val="auto"/>
              </w:rPr>
            </w:pPr>
            <w:r>
              <w:rPr>
                <w:rFonts w:ascii="Arial" w:cs="Arial" w:eastAsia="Arial" w:hAnsi="Arial"/>
                <w:sz w:val="13"/>
                <w:szCs w:val="13"/>
                <w:b w:val="1"/>
                <w:bCs w:val="1"/>
                <w:color w:val="C8102E"/>
              </w:rPr>
              <w:t>Nonqualified</w:t>
            </w:r>
          </w:p>
        </w:tc>
        <w:tc>
          <w:tcPr>
            <w:tcW w:w="6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b w:val="1"/>
                <w:bCs w:val="1"/>
                <w:color w:val="C8102E"/>
              </w:rPr>
              <w:t>Salary</w:t>
            </w:r>
          </w:p>
        </w:tc>
        <w:tc>
          <w:tcPr>
            <w:tcW w:w="520" w:type="dxa"/>
            <w:vAlign w:val="bottom"/>
            <w:vMerge w:val="restart"/>
          </w:tcPr>
          <w:p>
            <w:pPr>
              <w:ind w:left="40"/>
              <w:spacing w:after="0"/>
              <w:rPr>
                <w:sz w:val="20"/>
                <w:szCs w:val="20"/>
                <w:color w:val="auto"/>
              </w:rPr>
            </w:pPr>
            <w:r>
              <w:rPr>
                <w:rFonts w:ascii="Arial" w:cs="Arial" w:eastAsia="Arial" w:hAnsi="Arial"/>
                <w:sz w:val="13"/>
                <w:szCs w:val="13"/>
                <w:b w:val="1"/>
                <w:bCs w:val="1"/>
                <w:color w:val="C8102E"/>
              </w:rPr>
              <w:t>Bonus</w:t>
            </w:r>
          </w:p>
        </w:tc>
        <w:tc>
          <w:tcPr>
            <w:tcW w:w="74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1140" w:type="dxa"/>
            <w:vAlign w:val="bottom"/>
          </w:tcPr>
          <w:p>
            <w:pPr>
              <w:jc w:val="right"/>
              <w:ind w:right="94"/>
              <w:spacing w:after="0"/>
              <w:rPr>
                <w:sz w:val="20"/>
                <w:szCs w:val="20"/>
                <w:color w:val="auto"/>
              </w:rPr>
            </w:pPr>
            <w:r>
              <w:rPr>
                <w:rFonts w:ascii="Arial" w:cs="Arial" w:eastAsia="Arial" w:hAnsi="Arial"/>
                <w:sz w:val="13"/>
                <w:szCs w:val="13"/>
                <w:b w:val="1"/>
                <w:bCs w:val="1"/>
                <w:color w:val="C8102E"/>
              </w:rPr>
              <w:t>Incentive Plan</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C8102E"/>
              </w:rPr>
              <w:t>Deferred</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C8102E"/>
              </w:rPr>
              <w:t>Compen-</w:t>
            </w:r>
          </w:p>
        </w:tc>
        <w:tc>
          <w:tcPr>
            <w:tcW w:w="780" w:type="dxa"/>
            <w:vAlign w:val="bottom"/>
            <w:gridSpan w:val="2"/>
            <w:vMerge w:val="restart"/>
          </w:tcPr>
          <w:p>
            <w:pPr>
              <w:ind w:left="420"/>
              <w:spacing w:after="0"/>
              <w:rPr>
                <w:sz w:val="20"/>
                <w:szCs w:val="20"/>
                <w:color w:val="auto"/>
              </w:rPr>
            </w:pPr>
            <w:r>
              <w:rPr>
                <w:rFonts w:ascii="Arial" w:cs="Arial" w:eastAsia="Arial" w:hAnsi="Arial"/>
                <w:sz w:val="13"/>
                <w:szCs w:val="13"/>
                <w:b w:val="1"/>
                <w:bCs w:val="1"/>
                <w:color w:val="C8102E"/>
              </w:rPr>
              <w:t>Total</w:t>
            </w:r>
          </w:p>
        </w:tc>
        <w:tc>
          <w:tcPr>
            <w:tcW w:w="0" w:type="dxa"/>
            <w:vAlign w:val="bottom"/>
          </w:tcPr>
          <w:p>
            <w:pPr>
              <w:spacing w:after="0"/>
              <w:rPr>
                <w:sz w:val="1"/>
                <w:szCs w:val="1"/>
                <w:color w:val="auto"/>
              </w:rPr>
            </w:pPr>
          </w:p>
        </w:tc>
      </w:tr>
      <w:tr>
        <w:trPr>
          <w:trHeight w:val="148"/>
        </w:trPr>
        <w:tc>
          <w:tcPr>
            <w:tcW w:w="4080" w:type="dxa"/>
            <w:vAlign w:val="bottom"/>
            <w:vMerge w:val="restart"/>
          </w:tcPr>
          <w:p>
            <w:pPr>
              <w:spacing w:after="0"/>
              <w:rPr>
                <w:sz w:val="20"/>
                <w:szCs w:val="20"/>
                <w:color w:val="auto"/>
              </w:rPr>
            </w:pPr>
            <w:r>
              <w:rPr>
                <w:rFonts w:ascii="Arial" w:cs="Arial" w:eastAsia="Arial" w:hAnsi="Arial"/>
                <w:sz w:val="13"/>
                <w:szCs w:val="13"/>
                <w:b w:val="1"/>
                <w:bCs w:val="1"/>
                <w:color w:val="C8102E"/>
              </w:rPr>
              <w:t> Name and Principal Position</w:t>
            </w: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C8102E"/>
              </w:rPr>
              <w:t>Year</w:t>
            </w:r>
          </w:p>
        </w:tc>
        <w:tc>
          <w:tcPr>
            <w:tcW w:w="7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40" w:type="dxa"/>
            <w:vAlign w:val="bottom"/>
          </w:tcPr>
          <w:p>
            <w:pPr>
              <w:jc w:val="right"/>
              <w:ind w:right="13"/>
              <w:spacing w:after="0"/>
              <w:rPr>
                <w:sz w:val="20"/>
                <w:szCs w:val="20"/>
                <w:color w:val="auto"/>
              </w:rPr>
            </w:pPr>
            <w:r>
              <w:rPr>
                <w:rFonts w:ascii="Arial" w:cs="Arial" w:eastAsia="Arial" w:hAnsi="Arial"/>
                <w:sz w:val="13"/>
                <w:szCs w:val="13"/>
                <w:b w:val="1"/>
                <w:bCs w:val="1"/>
                <w:color w:val="C8102E"/>
              </w:rPr>
              <w:t>Awards</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C8102E"/>
              </w:rPr>
              <w:t>Awards</w:t>
            </w:r>
          </w:p>
        </w:tc>
        <w:tc>
          <w:tcPr>
            <w:tcW w:w="2060" w:type="dxa"/>
            <w:vAlign w:val="bottom"/>
            <w:gridSpan w:val="2"/>
          </w:tcPr>
          <w:p>
            <w:pPr>
              <w:jc w:val="right"/>
              <w:spacing w:after="0" w:line="149" w:lineRule="exact"/>
              <w:rPr>
                <w:sz w:val="20"/>
                <w:szCs w:val="20"/>
                <w:color w:val="auto"/>
              </w:rPr>
            </w:pPr>
            <w:r>
              <w:rPr>
                <w:rFonts w:ascii="Arial" w:cs="Arial" w:eastAsia="Arial" w:hAnsi="Arial"/>
                <w:sz w:val="17"/>
                <w:szCs w:val="17"/>
                <w:b w:val="1"/>
                <w:bCs w:val="1"/>
                <w:color w:val="C8102E"/>
                <w:vertAlign w:val="superscript"/>
              </w:rPr>
              <w:t>Compensation</w:t>
            </w:r>
            <w:r>
              <w:rPr>
                <w:rFonts w:ascii="Arial" w:cs="Arial" w:eastAsia="Arial" w:hAnsi="Arial"/>
                <w:sz w:val="10"/>
                <w:szCs w:val="10"/>
                <w:b w:val="1"/>
                <w:bCs w:val="1"/>
                <w:color w:val="C8102E"/>
              </w:rPr>
              <w:t xml:space="preserve"> Compensation</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C8102E"/>
              </w:rPr>
              <w:t>sation</w:t>
            </w: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08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C8102E"/>
              </w:rPr>
              <w:t>($)</w:t>
            </w:r>
          </w:p>
        </w:tc>
        <w:tc>
          <w:tcPr>
            <w:tcW w:w="52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C8102E"/>
              </w:rPr>
              <w:t>($)</w:t>
            </w:r>
          </w:p>
        </w:tc>
        <w:tc>
          <w:tcPr>
            <w:tcW w:w="740" w:type="dxa"/>
            <w:vAlign w:val="bottom"/>
            <w:tcBorders>
              <w:bottom w:val="single" w:sz="8" w:color="auto"/>
            </w:tcBorders>
          </w:tcPr>
          <w:p>
            <w:pPr>
              <w:jc w:val="right"/>
              <w:ind w:right="13"/>
              <w:spacing w:after="0" w:line="176" w:lineRule="exact"/>
              <w:rPr>
                <w:sz w:val="20"/>
                <w:szCs w:val="20"/>
                <w:color w:val="auto"/>
              </w:rPr>
            </w:pPr>
            <w:r>
              <w:rPr>
                <w:rFonts w:ascii="Arial" w:cs="Arial" w:eastAsia="Arial" w:hAnsi="Arial"/>
                <w:sz w:val="12"/>
                <w:szCs w:val="12"/>
                <w:b w:val="1"/>
                <w:bCs w:val="1"/>
                <w:color w:val="C8102E"/>
              </w:rPr>
              <w:t>($)</w:t>
            </w:r>
            <w:r>
              <w:rPr>
                <w:rFonts w:ascii="Arial" w:cs="Arial" w:eastAsia="Arial" w:hAnsi="Arial"/>
                <w:sz w:val="20"/>
                <w:szCs w:val="20"/>
                <w:b w:val="1"/>
                <w:bCs w:val="1"/>
                <w:color w:val="C8102E"/>
                <w:vertAlign w:val="superscript"/>
              </w:rPr>
              <w:t>(1)</w:t>
            </w: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2"/>
                <w:szCs w:val="12"/>
                <w:b w:val="1"/>
                <w:bCs w:val="1"/>
                <w:color w:val="C8102E"/>
              </w:rPr>
              <w:t>($)</w:t>
            </w:r>
            <w:r>
              <w:rPr>
                <w:rFonts w:ascii="Arial" w:cs="Arial" w:eastAsia="Arial" w:hAnsi="Arial"/>
                <w:sz w:val="20"/>
                <w:szCs w:val="20"/>
                <w:b w:val="1"/>
                <w:bCs w:val="1"/>
                <w:color w:val="C8102E"/>
                <w:vertAlign w:val="superscript"/>
              </w:rPr>
              <w:t>(2)</w:t>
            </w:r>
          </w:p>
        </w:tc>
        <w:tc>
          <w:tcPr>
            <w:tcW w:w="1140" w:type="dxa"/>
            <w:vAlign w:val="bottom"/>
            <w:tcBorders>
              <w:bottom w:val="single" w:sz="8" w:color="auto"/>
            </w:tcBorders>
          </w:tcPr>
          <w:p>
            <w:pPr>
              <w:jc w:val="right"/>
              <w:ind w:right="94"/>
              <w:spacing w:after="0" w:line="176" w:lineRule="exact"/>
              <w:rPr>
                <w:sz w:val="20"/>
                <w:szCs w:val="20"/>
                <w:color w:val="auto"/>
              </w:rPr>
            </w:pPr>
            <w:r>
              <w:rPr>
                <w:rFonts w:ascii="Arial" w:cs="Arial" w:eastAsia="Arial" w:hAnsi="Arial"/>
                <w:sz w:val="12"/>
                <w:szCs w:val="12"/>
                <w:b w:val="1"/>
                <w:bCs w:val="1"/>
                <w:color w:val="C8102E"/>
              </w:rPr>
              <w:t>($)</w:t>
            </w:r>
            <w:r>
              <w:rPr>
                <w:rFonts w:ascii="Arial" w:cs="Arial" w:eastAsia="Arial" w:hAnsi="Arial"/>
                <w:sz w:val="20"/>
                <w:szCs w:val="20"/>
                <w:b w:val="1"/>
                <w:bCs w:val="1"/>
                <w:color w:val="C8102E"/>
                <w:vertAlign w:val="superscript"/>
              </w:rPr>
              <w:t>(3)</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C8102E"/>
              </w:rPr>
              <w:t>Earnings</w:t>
            </w:r>
          </w:p>
        </w:tc>
        <w:tc>
          <w:tcPr>
            <w:tcW w:w="6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2"/>
                <w:szCs w:val="12"/>
                <w:b w:val="1"/>
                <w:bCs w:val="1"/>
                <w:color w:val="C8102E"/>
              </w:rPr>
              <w:t>($)</w:t>
            </w:r>
            <w:r>
              <w:rPr>
                <w:rFonts w:ascii="Arial" w:cs="Arial" w:eastAsia="Arial" w:hAnsi="Arial"/>
                <w:sz w:val="20"/>
                <w:szCs w:val="20"/>
                <w:b w:val="1"/>
                <w:bCs w:val="1"/>
                <w:color w:val="C8102E"/>
                <w:vertAlign w:val="superscript"/>
              </w:rPr>
              <w:t>(4)</w:t>
            </w:r>
          </w:p>
        </w:tc>
        <w:tc>
          <w:tcPr>
            <w:tcW w:w="7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C8102E"/>
              </w:rPr>
              <w:t>($)</w:t>
            </w:r>
          </w:p>
        </w:tc>
        <w:tc>
          <w:tcPr>
            <w:tcW w:w="0" w:type="dxa"/>
            <w:vAlign w:val="bottom"/>
          </w:tcPr>
          <w:p>
            <w:pPr>
              <w:spacing w:after="0"/>
              <w:rPr>
                <w:sz w:val="1"/>
                <w:szCs w:val="1"/>
                <w:color w:val="auto"/>
              </w:rPr>
            </w:pPr>
          </w:p>
        </w:tc>
      </w:tr>
      <w:tr>
        <w:trPr>
          <w:trHeight w:val="142"/>
        </w:trPr>
        <w:tc>
          <w:tcPr>
            <w:tcW w:w="4080" w:type="dxa"/>
            <w:vAlign w:val="bottom"/>
            <w:shd w:val="clear" w:color="auto" w:fill="EDEDEE"/>
          </w:tcPr>
          <w:p>
            <w:pPr>
              <w:spacing w:after="0" w:line="142" w:lineRule="exact"/>
              <w:rPr>
                <w:sz w:val="20"/>
                <w:szCs w:val="20"/>
                <w:color w:val="auto"/>
              </w:rPr>
            </w:pPr>
            <w:r>
              <w:rPr>
                <w:rFonts w:ascii="Arial" w:cs="Arial" w:eastAsia="Arial" w:hAnsi="Arial"/>
                <w:sz w:val="13"/>
                <w:szCs w:val="13"/>
                <w:b w:val="1"/>
                <w:bCs w:val="1"/>
                <w:color w:val="auto"/>
              </w:rPr>
              <w:t>Damien McDonald</w:t>
            </w:r>
          </w:p>
        </w:tc>
        <w:tc>
          <w:tcPr>
            <w:tcW w:w="760" w:type="dxa"/>
            <w:vAlign w:val="bottom"/>
            <w:shd w:val="clear" w:color="auto" w:fill="EDEDEE"/>
          </w:tcPr>
          <w:p>
            <w:pPr>
              <w:jc w:val="right"/>
              <w:spacing w:after="0" w:line="142" w:lineRule="exact"/>
              <w:rPr>
                <w:sz w:val="20"/>
                <w:szCs w:val="20"/>
                <w:color w:val="auto"/>
              </w:rPr>
            </w:pPr>
            <w:r>
              <w:rPr>
                <w:rFonts w:ascii="Arial" w:cs="Arial" w:eastAsia="Arial" w:hAnsi="Arial"/>
                <w:sz w:val="13"/>
                <w:szCs w:val="13"/>
                <w:color w:val="auto"/>
              </w:rPr>
              <w:t>2025</w:t>
            </w:r>
          </w:p>
        </w:tc>
        <w:tc>
          <w:tcPr>
            <w:tcW w:w="720" w:type="dxa"/>
            <w:vAlign w:val="bottom"/>
            <w:shd w:val="clear" w:color="auto" w:fill="EDEDEE"/>
          </w:tcPr>
          <w:p>
            <w:pPr>
              <w:jc w:val="right"/>
              <w:spacing w:after="0" w:line="142" w:lineRule="exact"/>
              <w:rPr>
                <w:sz w:val="20"/>
                <w:szCs w:val="20"/>
                <w:color w:val="auto"/>
              </w:rPr>
            </w:pPr>
            <w:r>
              <w:rPr>
                <w:rFonts w:ascii="Arial" w:cs="Arial" w:eastAsia="Arial" w:hAnsi="Arial"/>
                <w:sz w:val="13"/>
                <w:szCs w:val="13"/>
                <w:color w:val="auto"/>
              </w:rPr>
              <w:t>634,615</w:t>
            </w:r>
          </w:p>
        </w:tc>
        <w:tc>
          <w:tcPr>
            <w:tcW w:w="520" w:type="dxa"/>
            <w:vAlign w:val="bottom"/>
            <w:shd w:val="clear" w:color="auto" w:fill="EDEDEE"/>
          </w:tcPr>
          <w:p>
            <w:pPr>
              <w:ind w:left="280"/>
              <w:spacing w:after="0" w:line="142" w:lineRule="exact"/>
              <w:rPr>
                <w:sz w:val="20"/>
                <w:szCs w:val="20"/>
                <w:color w:val="auto"/>
              </w:rPr>
            </w:pPr>
            <w:r>
              <w:rPr>
                <w:rFonts w:ascii="Arial" w:cs="Arial" w:eastAsia="Arial" w:hAnsi="Arial"/>
                <w:sz w:val="13"/>
                <w:szCs w:val="13"/>
                <w:color w:val="auto"/>
              </w:rPr>
              <w:t>—</w:t>
            </w:r>
          </w:p>
        </w:tc>
        <w:tc>
          <w:tcPr>
            <w:tcW w:w="740" w:type="dxa"/>
            <w:vAlign w:val="bottom"/>
            <w:shd w:val="clear" w:color="auto" w:fill="EDEDEE"/>
          </w:tcPr>
          <w:p>
            <w:pPr>
              <w:jc w:val="right"/>
              <w:ind w:right="13"/>
              <w:spacing w:after="0" w:line="142" w:lineRule="exact"/>
              <w:rPr>
                <w:sz w:val="20"/>
                <w:szCs w:val="20"/>
                <w:color w:val="auto"/>
              </w:rPr>
            </w:pPr>
            <w:r>
              <w:rPr>
                <w:rFonts w:ascii="Arial" w:cs="Arial" w:eastAsia="Arial" w:hAnsi="Arial"/>
                <w:sz w:val="13"/>
                <w:szCs w:val="13"/>
                <w:color w:val="auto"/>
              </w:rPr>
              <w:t>7,262,644</w:t>
            </w:r>
          </w:p>
        </w:tc>
        <w:tc>
          <w:tcPr>
            <w:tcW w:w="700" w:type="dxa"/>
            <w:vAlign w:val="bottom"/>
            <w:shd w:val="clear" w:color="auto" w:fill="EDEDEE"/>
          </w:tcPr>
          <w:p>
            <w:pPr>
              <w:jc w:val="right"/>
              <w:ind w:right="173"/>
              <w:spacing w:after="0" w:line="142" w:lineRule="exact"/>
              <w:rPr>
                <w:sz w:val="20"/>
                <w:szCs w:val="20"/>
                <w:color w:val="auto"/>
              </w:rPr>
            </w:pPr>
            <w:r>
              <w:rPr>
                <w:rFonts w:ascii="Arial" w:cs="Arial" w:eastAsia="Arial" w:hAnsi="Arial"/>
                <w:sz w:val="13"/>
                <w:szCs w:val="13"/>
                <w:color w:val="auto"/>
              </w:rPr>
              <w:t>—</w:t>
            </w:r>
          </w:p>
        </w:tc>
        <w:tc>
          <w:tcPr>
            <w:tcW w:w="1140" w:type="dxa"/>
            <w:vAlign w:val="bottom"/>
            <w:shd w:val="clear" w:color="auto" w:fill="EDEDEE"/>
          </w:tcPr>
          <w:p>
            <w:pPr>
              <w:jc w:val="right"/>
              <w:ind w:right="94"/>
              <w:spacing w:after="0" w:line="142" w:lineRule="exact"/>
              <w:rPr>
                <w:sz w:val="20"/>
                <w:szCs w:val="20"/>
                <w:color w:val="auto"/>
              </w:rPr>
            </w:pPr>
            <w:r>
              <w:rPr>
                <w:rFonts w:ascii="Arial" w:cs="Arial" w:eastAsia="Arial" w:hAnsi="Arial"/>
                <w:sz w:val="13"/>
                <w:szCs w:val="13"/>
                <w:color w:val="auto"/>
              </w:rPr>
              <w:t>812,749</w:t>
            </w:r>
          </w:p>
        </w:tc>
        <w:tc>
          <w:tcPr>
            <w:tcW w:w="920" w:type="dxa"/>
            <w:vAlign w:val="bottom"/>
            <w:shd w:val="clear" w:color="auto" w:fill="EDEDEE"/>
          </w:tcPr>
          <w:p>
            <w:pPr>
              <w:ind w:left="500"/>
              <w:spacing w:after="0" w:line="142" w:lineRule="exact"/>
              <w:rPr>
                <w:sz w:val="20"/>
                <w:szCs w:val="20"/>
                <w:color w:val="auto"/>
              </w:rPr>
            </w:pPr>
            <w:r>
              <w:rPr>
                <w:rFonts w:ascii="Arial" w:cs="Arial" w:eastAsia="Arial" w:hAnsi="Arial"/>
                <w:sz w:val="13"/>
                <w:szCs w:val="13"/>
                <w:color w:val="auto"/>
              </w:rPr>
              <w:t>—</w:t>
            </w:r>
          </w:p>
        </w:tc>
        <w:tc>
          <w:tcPr>
            <w:tcW w:w="660" w:type="dxa"/>
            <w:vAlign w:val="bottom"/>
            <w:shd w:val="clear" w:color="auto" w:fill="EDEDEE"/>
          </w:tcPr>
          <w:p>
            <w:pPr>
              <w:jc w:val="right"/>
              <w:spacing w:after="0" w:line="142" w:lineRule="exact"/>
              <w:rPr>
                <w:sz w:val="20"/>
                <w:szCs w:val="20"/>
                <w:color w:val="auto"/>
              </w:rPr>
            </w:pPr>
            <w:r>
              <w:rPr>
                <w:rFonts w:ascii="Arial" w:cs="Arial" w:eastAsia="Arial" w:hAnsi="Arial"/>
                <w:sz w:val="13"/>
                <w:szCs w:val="13"/>
                <w:color w:val="auto"/>
              </w:rPr>
              <w:t>532,152</w:t>
            </w:r>
          </w:p>
        </w:tc>
        <w:tc>
          <w:tcPr>
            <w:tcW w:w="740" w:type="dxa"/>
            <w:vAlign w:val="bottom"/>
            <w:shd w:val="clear" w:color="auto" w:fill="EDEDEE"/>
          </w:tcPr>
          <w:p>
            <w:pPr>
              <w:jc w:val="right"/>
              <w:spacing w:after="0" w:line="142" w:lineRule="exact"/>
              <w:rPr>
                <w:sz w:val="20"/>
                <w:szCs w:val="20"/>
                <w:color w:val="auto"/>
              </w:rPr>
            </w:pPr>
            <w:r>
              <w:rPr>
                <w:rFonts w:ascii="Arial" w:cs="Arial" w:eastAsia="Arial" w:hAnsi="Arial"/>
                <w:sz w:val="13"/>
                <w:szCs w:val="13"/>
                <w:color w:val="auto"/>
              </w:rPr>
              <w:t>9,242,161</w:t>
            </w:r>
          </w:p>
        </w:tc>
        <w:tc>
          <w:tcPr>
            <w:tcW w:w="40" w:type="dxa"/>
            <w:vAlign w:val="bottom"/>
            <w:shd w:val="clear" w:color="auto" w:fill="EDEDE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tcBorders>
              <w:bottom w:val="single" w:sz="8" w:color="auto"/>
            </w:tcBorders>
          </w:tcPr>
          <w:p>
            <w:pPr>
              <w:ind w:left="180"/>
              <w:spacing w:after="0"/>
              <w:rPr>
                <w:sz w:val="20"/>
                <w:szCs w:val="20"/>
                <w:color w:val="auto"/>
              </w:rPr>
            </w:pPr>
            <w:r>
              <w:rPr>
                <w:rFonts w:ascii="Arial" w:cs="Arial" w:eastAsia="Arial" w:hAnsi="Arial"/>
                <w:sz w:val="13"/>
                <w:szCs w:val="13"/>
                <w:color w:val="auto"/>
              </w:rPr>
              <w:t>Chief Executive Officer</w:t>
            </w:r>
          </w:p>
        </w:tc>
        <w:tc>
          <w:tcPr>
            <w:tcW w:w="7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0" w:type="dxa"/>
            <w:vAlign w:val="bottom"/>
            <w:tcBorders>
              <w:bottom w:val="single" w:sz="8" w:color="EDEDEE"/>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80" w:type="dxa"/>
            <w:vAlign w:val="bottom"/>
            <w:shd w:val="clear" w:color="auto" w:fill="EDEDEE"/>
          </w:tcPr>
          <w:p>
            <w:pPr>
              <w:spacing w:after="0" w:line="142" w:lineRule="exact"/>
              <w:rPr>
                <w:sz w:val="20"/>
                <w:szCs w:val="20"/>
                <w:color w:val="auto"/>
              </w:rPr>
            </w:pPr>
            <w:r>
              <w:rPr>
                <w:rFonts w:ascii="Arial" w:cs="Arial" w:eastAsia="Arial" w:hAnsi="Arial"/>
                <w:sz w:val="13"/>
                <w:szCs w:val="13"/>
                <w:b w:val="1"/>
                <w:bCs w:val="1"/>
                <w:color w:val="auto"/>
              </w:rPr>
              <w:t>Matthew L. Trerotola</w:t>
            </w:r>
          </w:p>
        </w:tc>
        <w:tc>
          <w:tcPr>
            <w:tcW w:w="760" w:type="dxa"/>
            <w:vAlign w:val="bottom"/>
            <w:shd w:val="clear" w:color="auto" w:fill="EDEDEE"/>
          </w:tcPr>
          <w:p>
            <w:pPr>
              <w:jc w:val="right"/>
              <w:spacing w:after="0" w:line="142" w:lineRule="exact"/>
              <w:rPr>
                <w:sz w:val="20"/>
                <w:szCs w:val="20"/>
                <w:color w:val="auto"/>
              </w:rPr>
            </w:pPr>
            <w:r>
              <w:rPr>
                <w:rFonts w:ascii="Arial" w:cs="Arial" w:eastAsia="Arial" w:hAnsi="Arial"/>
                <w:sz w:val="13"/>
                <w:szCs w:val="13"/>
                <w:color w:val="auto"/>
              </w:rPr>
              <w:t>2025</w:t>
            </w:r>
          </w:p>
        </w:tc>
        <w:tc>
          <w:tcPr>
            <w:tcW w:w="720" w:type="dxa"/>
            <w:vAlign w:val="bottom"/>
            <w:shd w:val="clear" w:color="auto" w:fill="EDEDEE"/>
          </w:tcPr>
          <w:p>
            <w:pPr>
              <w:jc w:val="right"/>
              <w:spacing w:after="0" w:line="142" w:lineRule="exact"/>
              <w:rPr>
                <w:sz w:val="20"/>
                <w:szCs w:val="20"/>
                <w:color w:val="auto"/>
              </w:rPr>
            </w:pPr>
            <w:r>
              <w:rPr>
                <w:rFonts w:ascii="Arial" w:cs="Arial" w:eastAsia="Arial" w:hAnsi="Arial"/>
                <w:sz w:val="13"/>
                <w:szCs w:val="13"/>
                <w:color w:val="auto"/>
              </w:rPr>
              <w:t>857,458</w:t>
            </w:r>
          </w:p>
        </w:tc>
        <w:tc>
          <w:tcPr>
            <w:tcW w:w="520" w:type="dxa"/>
            <w:vAlign w:val="bottom"/>
            <w:shd w:val="clear" w:color="auto" w:fill="EDEDEE"/>
          </w:tcPr>
          <w:p>
            <w:pPr>
              <w:ind w:left="220"/>
              <w:spacing w:after="0" w:line="142" w:lineRule="exact"/>
              <w:rPr>
                <w:sz w:val="20"/>
                <w:szCs w:val="20"/>
                <w:color w:val="auto"/>
              </w:rPr>
            </w:pPr>
            <w:r>
              <w:rPr>
                <w:rFonts w:ascii="Arial" w:cs="Arial" w:eastAsia="Arial" w:hAnsi="Arial"/>
                <w:sz w:val="13"/>
                <w:szCs w:val="13"/>
                <w:color w:val="auto"/>
              </w:rPr>
              <w:t>—</w:t>
            </w:r>
          </w:p>
        </w:tc>
        <w:tc>
          <w:tcPr>
            <w:tcW w:w="740" w:type="dxa"/>
            <w:vAlign w:val="bottom"/>
            <w:shd w:val="clear" w:color="auto" w:fill="EDEDEE"/>
          </w:tcPr>
          <w:p>
            <w:pPr>
              <w:jc w:val="right"/>
              <w:ind w:right="13"/>
              <w:spacing w:after="0" w:line="142" w:lineRule="exact"/>
              <w:rPr>
                <w:sz w:val="20"/>
                <w:szCs w:val="20"/>
                <w:color w:val="auto"/>
              </w:rPr>
            </w:pPr>
            <w:r>
              <w:rPr>
                <w:rFonts w:ascii="Arial" w:cs="Arial" w:eastAsia="Arial" w:hAnsi="Arial"/>
                <w:sz w:val="13"/>
                <w:szCs w:val="13"/>
                <w:color w:val="auto"/>
              </w:rPr>
              <w:t>7,273,811</w:t>
            </w:r>
          </w:p>
        </w:tc>
        <w:tc>
          <w:tcPr>
            <w:tcW w:w="700" w:type="dxa"/>
            <w:vAlign w:val="bottom"/>
            <w:shd w:val="clear" w:color="auto" w:fill="EDEDEE"/>
          </w:tcPr>
          <w:p>
            <w:pPr>
              <w:jc w:val="center"/>
              <w:spacing w:after="0" w:line="142" w:lineRule="exact"/>
              <w:rPr>
                <w:sz w:val="20"/>
                <w:szCs w:val="20"/>
                <w:color w:val="auto"/>
              </w:rPr>
            </w:pPr>
            <w:r>
              <w:rPr>
                <w:rFonts w:ascii="Arial" w:cs="Arial" w:eastAsia="Arial" w:hAnsi="Arial"/>
                <w:sz w:val="13"/>
                <w:szCs w:val="13"/>
                <w:color w:val="auto"/>
              </w:rPr>
              <w:t>—</w:t>
            </w:r>
          </w:p>
        </w:tc>
        <w:tc>
          <w:tcPr>
            <w:tcW w:w="1140" w:type="dxa"/>
            <w:vAlign w:val="bottom"/>
            <w:shd w:val="clear" w:color="auto" w:fill="EDEDEE"/>
          </w:tcPr>
          <w:p>
            <w:pPr>
              <w:jc w:val="right"/>
              <w:spacing w:after="0" w:line="142" w:lineRule="exact"/>
              <w:rPr>
                <w:sz w:val="20"/>
                <w:szCs w:val="20"/>
                <w:color w:val="auto"/>
              </w:rPr>
            </w:pPr>
            <w:r>
              <w:rPr>
                <w:rFonts w:ascii="Arial" w:cs="Arial" w:eastAsia="Arial" w:hAnsi="Arial"/>
                <w:sz w:val="13"/>
                <w:szCs w:val="13"/>
                <w:color w:val="auto"/>
              </w:rPr>
              <w:t>988,220    </w:t>
            </w:r>
          </w:p>
        </w:tc>
        <w:tc>
          <w:tcPr>
            <w:tcW w:w="920" w:type="dxa"/>
            <w:vAlign w:val="bottom"/>
            <w:shd w:val="clear" w:color="auto" w:fill="EDEDEE"/>
          </w:tcPr>
          <w:p>
            <w:pPr>
              <w:ind w:left="420"/>
              <w:spacing w:after="0" w:line="142" w:lineRule="exact"/>
              <w:rPr>
                <w:sz w:val="20"/>
                <w:szCs w:val="20"/>
                <w:color w:val="auto"/>
              </w:rPr>
            </w:pPr>
            <w:r>
              <w:rPr>
                <w:rFonts w:ascii="Arial" w:cs="Arial" w:eastAsia="Arial" w:hAnsi="Arial"/>
                <w:sz w:val="13"/>
                <w:szCs w:val="13"/>
                <w:color w:val="auto"/>
              </w:rPr>
              <w:t>—</w:t>
            </w:r>
          </w:p>
        </w:tc>
        <w:tc>
          <w:tcPr>
            <w:tcW w:w="660" w:type="dxa"/>
            <w:vAlign w:val="bottom"/>
            <w:shd w:val="clear" w:color="auto" w:fill="EDEDEE"/>
          </w:tcPr>
          <w:p>
            <w:pPr>
              <w:jc w:val="right"/>
              <w:spacing w:after="0" w:line="142" w:lineRule="exact"/>
              <w:rPr>
                <w:sz w:val="20"/>
                <w:szCs w:val="20"/>
                <w:color w:val="auto"/>
              </w:rPr>
            </w:pPr>
            <w:r>
              <w:rPr>
                <w:rFonts w:ascii="Arial" w:cs="Arial" w:eastAsia="Arial" w:hAnsi="Arial"/>
                <w:sz w:val="13"/>
                <w:szCs w:val="13"/>
                <w:color w:val="auto"/>
              </w:rPr>
              <w:t>305,456</w:t>
            </w:r>
          </w:p>
        </w:tc>
        <w:tc>
          <w:tcPr>
            <w:tcW w:w="740" w:type="dxa"/>
            <w:vAlign w:val="bottom"/>
            <w:shd w:val="clear" w:color="auto" w:fill="EDEDEE"/>
          </w:tcPr>
          <w:p>
            <w:pPr>
              <w:jc w:val="right"/>
              <w:spacing w:after="0" w:line="142" w:lineRule="exact"/>
              <w:rPr>
                <w:sz w:val="20"/>
                <w:szCs w:val="20"/>
                <w:color w:val="auto"/>
              </w:rPr>
            </w:pPr>
            <w:r>
              <w:rPr>
                <w:rFonts w:ascii="Arial" w:cs="Arial" w:eastAsia="Arial" w:hAnsi="Arial"/>
                <w:sz w:val="13"/>
                <w:szCs w:val="13"/>
                <w:color w:val="auto"/>
              </w:rPr>
              <w:t>9,424,946</w:t>
            </w:r>
          </w:p>
        </w:tc>
        <w:tc>
          <w:tcPr>
            <w:tcW w:w="40" w:type="dxa"/>
            <w:vAlign w:val="bottom"/>
            <w:shd w:val="clear" w:color="auto" w:fill="EDEDE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tcPr>
          <w:p>
            <w:pPr>
              <w:ind w:left="180"/>
              <w:spacing w:after="0"/>
              <w:rPr>
                <w:sz w:val="20"/>
                <w:szCs w:val="20"/>
                <w:color w:val="auto"/>
              </w:rPr>
            </w:pPr>
            <w:r>
              <w:rPr>
                <w:rFonts w:ascii="Arial" w:cs="Arial" w:eastAsia="Arial" w:hAnsi="Arial"/>
                <w:sz w:val="13"/>
                <w:szCs w:val="13"/>
                <w:color w:val="auto"/>
              </w:rPr>
              <w:t>Executive Advisor – former Chief Executive Officer</w:t>
            </w:r>
          </w:p>
        </w:tc>
        <w:tc>
          <w:tcPr>
            <w:tcW w:w="760" w:type="dxa"/>
            <w:vAlign w:val="bottom"/>
          </w:tcPr>
          <w:p>
            <w:pPr>
              <w:jc w:val="right"/>
              <w:spacing w:after="0"/>
              <w:rPr>
                <w:sz w:val="20"/>
                <w:szCs w:val="20"/>
                <w:color w:val="auto"/>
              </w:rPr>
            </w:pPr>
            <w:r>
              <w:rPr>
                <w:rFonts w:ascii="Arial" w:cs="Arial" w:eastAsia="Arial" w:hAnsi="Arial"/>
                <w:sz w:val="13"/>
                <w:szCs w:val="13"/>
                <w:color w:val="auto"/>
              </w:rPr>
              <w:t>2024</w:t>
            </w:r>
          </w:p>
        </w:tc>
        <w:tc>
          <w:tcPr>
            <w:tcW w:w="720" w:type="dxa"/>
            <w:vAlign w:val="bottom"/>
          </w:tcPr>
          <w:p>
            <w:pPr>
              <w:jc w:val="right"/>
              <w:spacing w:after="0"/>
              <w:rPr>
                <w:sz w:val="20"/>
                <w:szCs w:val="20"/>
                <w:color w:val="auto"/>
              </w:rPr>
            </w:pPr>
            <w:r>
              <w:rPr>
                <w:rFonts w:ascii="Arial" w:cs="Arial" w:eastAsia="Arial" w:hAnsi="Arial"/>
                <w:sz w:val="13"/>
                <w:szCs w:val="13"/>
                <w:color w:val="auto"/>
              </w:rPr>
              <w:t>1,077,000</w:t>
            </w:r>
          </w:p>
        </w:tc>
        <w:tc>
          <w:tcPr>
            <w:tcW w:w="520" w:type="dxa"/>
            <w:vAlign w:val="bottom"/>
          </w:tcPr>
          <w:p>
            <w:pPr>
              <w:ind w:left="22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9,521,707</w:t>
            </w:r>
          </w:p>
        </w:tc>
        <w:tc>
          <w:tcPr>
            <w:tcW w:w="700" w:type="dxa"/>
            <w:vAlign w:val="bottom"/>
          </w:tcPr>
          <w:p>
            <w:pPr>
              <w:jc w:val="center"/>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1,171,238    </w:t>
            </w:r>
          </w:p>
        </w:tc>
        <w:tc>
          <w:tcPr>
            <w:tcW w:w="920" w:type="dxa"/>
            <w:vAlign w:val="bottom"/>
          </w:tcPr>
          <w:p>
            <w:pPr>
              <w:ind w:left="4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682,693</w:t>
            </w:r>
          </w:p>
        </w:tc>
        <w:tc>
          <w:tcPr>
            <w:tcW w:w="740" w:type="dxa"/>
            <w:vAlign w:val="bottom"/>
          </w:tcPr>
          <w:p>
            <w:pPr>
              <w:jc w:val="right"/>
              <w:spacing w:after="0"/>
              <w:rPr>
                <w:sz w:val="20"/>
                <w:szCs w:val="20"/>
                <w:color w:val="auto"/>
              </w:rPr>
            </w:pPr>
            <w:r>
              <w:rPr>
                <w:rFonts w:ascii="Arial" w:cs="Arial" w:eastAsia="Arial" w:hAnsi="Arial"/>
                <w:sz w:val="13"/>
                <w:szCs w:val="13"/>
                <w:color w:val="auto"/>
              </w:rPr>
              <w:t>12,452,638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tcBorders>
              <w:bottom w:val="single" w:sz="8" w:color="auto"/>
            </w:tcBorders>
            <w:shd w:val="clear" w:color="auto" w:fill="EDEDEE"/>
          </w:tcPr>
          <w:p>
            <w:pPr>
              <w:spacing w:after="0"/>
              <w:rPr>
                <w:sz w:val="12"/>
                <w:szCs w:val="12"/>
                <w:color w:val="auto"/>
              </w:rPr>
            </w:pPr>
          </w:p>
        </w:tc>
        <w:tc>
          <w:tcPr>
            <w:tcW w:w="76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3"/>
                <w:szCs w:val="13"/>
                <w:color w:val="auto"/>
              </w:rPr>
              <w:t>2023</w:t>
            </w:r>
          </w:p>
        </w:tc>
        <w:tc>
          <w:tcPr>
            <w:tcW w:w="72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3"/>
                <w:szCs w:val="13"/>
                <w:color w:val="auto"/>
              </w:rPr>
              <w:t>1,077,000</w:t>
            </w:r>
          </w:p>
        </w:tc>
        <w:tc>
          <w:tcPr>
            <w:tcW w:w="520" w:type="dxa"/>
            <w:vAlign w:val="bottom"/>
            <w:tcBorders>
              <w:bottom w:val="single" w:sz="8" w:color="auto"/>
            </w:tcBorders>
            <w:shd w:val="clear" w:color="auto" w:fill="EDEDEE"/>
          </w:tcPr>
          <w:p>
            <w:pPr>
              <w:ind w:left="22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EDEDEE"/>
          </w:tcPr>
          <w:p>
            <w:pPr>
              <w:jc w:val="right"/>
              <w:ind w:right="13"/>
              <w:spacing w:after="0"/>
              <w:rPr>
                <w:sz w:val="20"/>
                <w:szCs w:val="20"/>
                <w:color w:val="auto"/>
              </w:rPr>
            </w:pPr>
            <w:r>
              <w:rPr>
                <w:rFonts w:ascii="Arial" w:cs="Arial" w:eastAsia="Arial" w:hAnsi="Arial"/>
                <w:sz w:val="13"/>
                <w:szCs w:val="13"/>
                <w:color w:val="auto"/>
              </w:rPr>
              <w:t>5,678,701</w:t>
            </w:r>
          </w:p>
        </w:tc>
        <w:tc>
          <w:tcPr>
            <w:tcW w:w="700" w:type="dxa"/>
            <w:vAlign w:val="bottom"/>
            <w:tcBorders>
              <w:bottom w:val="single" w:sz="8" w:color="auto"/>
            </w:tcBorders>
            <w:shd w:val="clear" w:color="auto" w:fill="EDEDEE"/>
          </w:tcPr>
          <w:p>
            <w:pPr>
              <w:jc w:val="center"/>
              <w:spacing w:after="0"/>
              <w:rPr>
                <w:sz w:val="20"/>
                <w:szCs w:val="20"/>
                <w:color w:val="auto"/>
              </w:rPr>
            </w:pPr>
            <w:r>
              <w:rPr>
                <w:rFonts w:ascii="Arial" w:cs="Arial" w:eastAsia="Arial" w:hAnsi="Arial"/>
                <w:sz w:val="13"/>
                <w:szCs w:val="13"/>
                <w:color w:val="auto"/>
              </w:rPr>
              <w:t>1,750,010</w:t>
            </w:r>
          </w:p>
        </w:tc>
        <w:tc>
          <w:tcPr>
            <w:tcW w:w="114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3"/>
                <w:szCs w:val="13"/>
                <w:color w:val="auto"/>
              </w:rPr>
              <w:t>1,806,668    </w:t>
            </w:r>
          </w:p>
        </w:tc>
        <w:tc>
          <w:tcPr>
            <w:tcW w:w="920" w:type="dxa"/>
            <w:vAlign w:val="bottom"/>
            <w:tcBorders>
              <w:bottom w:val="single" w:sz="8" w:color="auto"/>
            </w:tcBorders>
            <w:shd w:val="clear" w:color="auto" w:fill="EDEDEE"/>
          </w:tcPr>
          <w:p>
            <w:pPr>
              <w:ind w:left="42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3"/>
                <w:szCs w:val="13"/>
                <w:color w:val="auto"/>
              </w:rPr>
              <w:t>462,256</w:t>
            </w:r>
          </w:p>
        </w:tc>
        <w:tc>
          <w:tcPr>
            <w:tcW w:w="74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3"/>
                <w:szCs w:val="13"/>
                <w:color w:val="auto"/>
              </w:rPr>
              <w:t>10,774,635</w:t>
            </w:r>
          </w:p>
        </w:tc>
        <w:tc>
          <w:tcPr>
            <w:tcW w:w="40" w:type="dxa"/>
            <w:vAlign w:val="bottom"/>
            <w:tcBorders>
              <w:bottom w:val="single" w:sz="8" w:color="auto"/>
            </w:tcBorders>
            <w:shd w:val="clear" w:color="auto" w:fill="EDEDE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80" w:type="dxa"/>
            <w:vAlign w:val="bottom"/>
          </w:tcPr>
          <w:p>
            <w:pPr>
              <w:spacing w:after="0" w:line="183" w:lineRule="exact"/>
              <w:rPr>
                <w:sz w:val="20"/>
                <w:szCs w:val="20"/>
                <w:color w:val="auto"/>
              </w:rPr>
            </w:pPr>
            <w:r>
              <w:rPr>
                <w:rFonts w:ascii="Arial" w:cs="Arial" w:eastAsia="Arial" w:hAnsi="Arial"/>
                <w:sz w:val="13"/>
                <w:szCs w:val="13"/>
                <w:b w:val="1"/>
                <w:bCs w:val="1"/>
                <w:color w:val="auto"/>
              </w:rPr>
              <w:t>Phillip “Ben” Berry</w:t>
            </w:r>
            <w:r>
              <w:rPr>
                <w:rFonts w:ascii="Arial" w:cs="Arial" w:eastAsia="Arial" w:hAnsi="Arial"/>
                <w:sz w:val="21"/>
                <w:szCs w:val="21"/>
                <w:b w:val="1"/>
                <w:bCs w:val="1"/>
                <w:color w:val="auto"/>
                <w:vertAlign w:val="superscript"/>
              </w:rPr>
              <w:t>(6)</w:t>
            </w:r>
          </w:p>
        </w:tc>
        <w:tc>
          <w:tcPr>
            <w:tcW w:w="760" w:type="dxa"/>
            <w:vAlign w:val="bottom"/>
          </w:tcPr>
          <w:p>
            <w:pPr>
              <w:jc w:val="right"/>
              <w:spacing w:after="0"/>
              <w:rPr>
                <w:sz w:val="20"/>
                <w:szCs w:val="20"/>
                <w:color w:val="auto"/>
              </w:rPr>
            </w:pPr>
            <w:r>
              <w:rPr>
                <w:rFonts w:ascii="Arial" w:cs="Arial" w:eastAsia="Arial" w:hAnsi="Arial"/>
                <w:sz w:val="13"/>
                <w:szCs w:val="13"/>
                <w:color w:val="auto"/>
              </w:rPr>
              <w:t>2025</w:t>
            </w:r>
          </w:p>
        </w:tc>
        <w:tc>
          <w:tcPr>
            <w:tcW w:w="720" w:type="dxa"/>
            <w:vAlign w:val="bottom"/>
          </w:tcPr>
          <w:p>
            <w:pPr>
              <w:jc w:val="right"/>
              <w:spacing w:after="0"/>
              <w:rPr>
                <w:sz w:val="20"/>
                <w:szCs w:val="20"/>
                <w:color w:val="auto"/>
              </w:rPr>
            </w:pPr>
            <w:r>
              <w:rPr>
                <w:rFonts w:ascii="Arial" w:cs="Arial" w:eastAsia="Arial" w:hAnsi="Arial"/>
                <w:sz w:val="13"/>
                <w:szCs w:val="13"/>
                <w:color w:val="auto"/>
              </w:rPr>
              <w:t>604,924</w:t>
            </w:r>
          </w:p>
        </w:tc>
        <w:tc>
          <w:tcPr>
            <w:tcW w:w="520" w:type="dxa"/>
            <w:vAlign w:val="bottom"/>
          </w:tcPr>
          <w:p>
            <w:pPr>
              <w:ind w:left="22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4,032,168</w:t>
            </w:r>
          </w:p>
        </w:tc>
        <w:tc>
          <w:tcPr>
            <w:tcW w:w="700" w:type="dxa"/>
            <w:vAlign w:val="bottom"/>
          </w:tcPr>
          <w:p>
            <w:pPr>
              <w:jc w:val="center"/>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463,997    </w:t>
            </w:r>
          </w:p>
        </w:tc>
        <w:tc>
          <w:tcPr>
            <w:tcW w:w="920" w:type="dxa"/>
            <w:vAlign w:val="bottom"/>
          </w:tcPr>
          <w:p>
            <w:pPr>
              <w:ind w:left="4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36,854</w:t>
            </w:r>
          </w:p>
        </w:tc>
        <w:tc>
          <w:tcPr>
            <w:tcW w:w="740" w:type="dxa"/>
            <w:vAlign w:val="bottom"/>
          </w:tcPr>
          <w:p>
            <w:pPr>
              <w:jc w:val="right"/>
              <w:spacing w:after="0"/>
              <w:rPr>
                <w:sz w:val="20"/>
                <w:szCs w:val="20"/>
                <w:color w:val="auto"/>
              </w:rPr>
            </w:pPr>
            <w:r>
              <w:rPr>
                <w:rFonts w:ascii="Arial" w:cs="Arial" w:eastAsia="Arial" w:hAnsi="Arial"/>
                <w:sz w:val="13"/>
                <w:szCs w:val="13"/>
                <w:color w:val="auto"/>
              </w:rPr>
              <w:t>5,137,942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080" w:type="dxa"/>
            <w:vAlign w:val="bottom"/>
            <w:shd w:val="clear" w:color="auto" w:fill="EDEDEE"/>
          </w:tcPr>
          <w:p>
            <w:pPr>
              <w:ind w:left="180"/>
              <w:spacing w:after="0"/>
              <w:rPr>
                <w:sz w:val="20"/>
                <w:szCs w:val="20"/>
                <w:color w:val="auto"/>
              </w:rPr>
            </w:pPr>
            <w:r>
              <w:rPr>
                <w:rFonts w:ascii="Arial" w:cs="Arial" w:eastAsia="Arial" w:hAnsi="Arial"/>
                <w:sz w:val="13"/>
                <w:szCs w:val="13"/>
                <w:color w:val="auto"/>
              </w:rPr>
              <w:t> Chief Financial Officer</w:t>
            </w:r>
          </w:p>
        </w:tc>
        <w:tc>
          <w:tcPr>
            <w:tcW w:w="760" w:type="dxa"/>
            <w:vAlign w:val="bottom"/>
            <w:shd w:val="clear" w:color="auto" w:fill="EDEDEE"/>
          </w:tcPr>
          <w:p>
            <w:pPr>
              <w:jc w:val="right"/>
              <w:spacing w:after="0"/>
              <w:rPr>
                <w:sz w:val="20"/>
                <w:szCs w:val="20"/>
                <w:color w:val="auto"/>
              </w:rPr>
            </w:pPr>
            <w:r>
              <w:rPr>
                <w:rFonts w:ascii="Arial" w:cs="Arial" w:eastAsia="Arial" w:hAnsi="Arial"/>
                <w:sz w:val="13"/>
                <w:szCs w:val="13"/>
                <w:color w:val="auto"/>
              </w:rPr>
              <w:t>2024</w:t>
            </w:r>
          </w:p>
        </w:tc>
        <w:tc>
          <w:tcPr>
            <w:tcW w:w="720" w:type="dxa"/>
            <w:vAlign w:val="bottom"/>
            <w:shd w:val="clear" w:color="auto" w:fill="EDEDEE"/>
          </w:tcPr>
          <w:p>
            <w:pPr>
              <w:jc w:val="right"/>
              <w:spacing w:after="0"/>
              <w:rPr>
                <w:sz w:val="20"/>
                <w:szCs w:val="20"/>
                <w:color w:val="auto"/>
              </w:rPr>
            </w:pPr>
            <w:r>
              <w:rPr>
                <w:rFonts w:ascii="Arial" w:cs="Arial" w:eastAsia="Arial" w:hAnsi="Arial"/>
                <w:sz w:val="13"/>
                <w:szCs w:val="13"/>
                <w:color w:val="auto"/>
              </w:rPr>
              <w:t>586,250</w:t>
            </w:r>
          </w:p>
        </w:tc>
        <w:tc>
          <w:tcPr>
            <w:tcW w:w="520" w:type="dxa"/>
            <w:vAlign w:val="bottom"/>
            <w:shd w:val="clear" w:color="auto" w:fill="EDEDEE"/>
          </w:tcPr>
          <w:p>
            <w:pPr>
              <w:ind w:left="220"/>
              <w:spacing w:after="0"/>
              <w:rPr>
                <w:sz w:val="20"/>
                <w:szCs w:val="20"/>
                <w:color w:val="auto"/>
              </w:rPr>
            </w:pPr>
            <w:r>
              <w:rPr>
                <w:rFonts w:ascii="Arial" w:cs="Arial" w:eastAsia="Arial" w:hAnsi="Arial"/>
                <w:sz w:val="13"/>
                <w:szCs w:val="13"/>
                <w:color w:val="auto"/>
              </w:rPr>
              <w:t>—</w:t>
            </w:r>
          </w:p>
        </w:tc>
        <w:tc>
          <w:tcPr>
            <w:tcW w:w="740" w:type="dxa"/>
            <w:vAlign w:val="bottom"/>
            <w:shd w:val="clear" w:color="auto" w:fill="EDEDEE"/>
          </w:tcPr>
          <w:p>
            <w:pPr>
              <w:jc w:val="right"/>
              <w:ind w:right="13"/>
              <w:spacing w:after="0"/>
              <w:rPr>
                <w:sz w:val="20"/>
                <w:szCs w:val="20"/>
                <w:color w:val="auto"/>
              </w:rPr>
            </w:pPr>
            <w:r>
              <w:rPr>
                <w:rFonts w:ascii="Arial" w:cs="Arial" w:eastAsia="Arial" w:hAnsi="Arial"/>
                <w:sz w:val="13"/>
                <w:szCs w:val="13"/>
                <w:color w:val="auto"/>
              </w:rPr>
              <w:t>2,441,410</w:t>
            </w:r>
          </w:p>
        </w:tc>
        <w:tc>
          <w:tcPr>
            <w:tcW w:w="700" w:type="dxa"/>
            <w:vAlign w:val="bottom"/>
            <w:shd w:val="clear" w:color="auto" w:fill="EDEDEE"/>
          </w:tcPr>
          <w:p>
            <w:pPr>
              <w:jc w:val="center"/>
              <w:spacing w:after="0"/>
              <w:rPr>
                <w:sz w:val="20"/>
                <w:szCs w:val="20"/>
                <w:color w:val="auto"/>
              </w:rPr>
            </w:pPr>
            <w:r>
              <w:rPr>
                <w:rFonts w:ascii="Arial" w:cs="Arial" w:eastAsia="Arial" w:hAnsi="Arial"/>
                <w:sz w:val="13"/>
                <w:szCs w:val="13"/>
                <w:color w:val="auto"/>
              </w:rPr>
              <w:t>—</w:t>
            </w:r>
          </w:p>
        </w:tc>
        <w:tc>
          <w:tcPr>
            <w:tcW w:w="1140" w:type="dxa"/>
            <w:vAlign w:val="bottom"/>
            <w:shd w:val="clear" w:color="auto" w:fill="EDEDEE"/>
          </w:tcPr>
          <w:p>
            <w:pPr>
              <w:jc w:val="right"/>
              <w:spacing w:after="0"/>
              <w:rPr>
                <w:sz w:val="20"/>
                <w:szCs w:val="20"/>
                <w:color w:val="auto"/>
              </w:rPr>
            </w:pPr>
            <w:r>
              <w:rPr>
                <w:rFonts w:ascii="Arial" w:cs="Arial" w:eastAsia="Arial" w:hAnsi="Arial"/>
                <w:sz w:val="13"/>
                <w:szCs w:val="13"/>
                <w:color w:val="auto"/>
              </w:rPr>
              <w:t>375,351    </w:t>
            </w:r>
          </w:p>
        </w:tc>
        <w:tc>
          <w:tcPr>
            <w:tcW w:w="920" w:type="dxa"/>
            <w:vAlign w:val="bottom"/>
            <w:shd w:val="clear" w:color="auto" w:fill="EDEDEE"/>
          </w:tcPr>
          <w:p>
            <w:pPr>
              <w:ind w:left="420"/>
              <w:spacing w:after="0"/>
              <w:rPr>
                <w:sz w:val="20"/>
                <w:szCs w:val="20"/>
                <w:color w:val="auto"/>
              </w:rPr>
            </w:pPr>
            <w:r>
              <w:rPr>
                <w:rFonts w:ascii="Arial" w:cs="Arial" w:eastAsia="Arial" w:hAnsi="Arial"/>
                <w:sz w:val="13"/>
                <w:szCs w:val="13"/>
                <w:color w:val="auto"/>
              </w:rPr>
              <w:t>—</w:t>
            </w:r>
          </w:p>
        </w:tc>
        <w:tc>
          <w:tcPr>
            <w:tcW w:w="660" w:type="dxa"/>
            <w:vAlign w:val="bottom"/>
            <w:shd w:val="clear" w:color="auto" w:fill="EDEDEE"/>
          </w:tcPr>
          <w:p>
            <w:pPr>
              <w:jc w:val="right"/>
              <w:spacing w:after="0"/>
              <w:rPr>
                <w:sz w:val="20"/>
                <w:szCs w:val="20"/>
                <w:color w:val="auto"/>
              </w:rPr>
            </w:pPr>
            <w:r>
              <w:rPr>
                <w:rFonts w:ascii="Arial" w:cs="Arial" w:eastAsia="Arial" w:hAnsi="Arial"/>
                <w:sz w:val="13"/>
                <w:szCs w:val="13"/>
                <w:color w:val="auto"/>
              </w:rPr>
              <w:t>27,118</w:t>
            </w:r>
          </w:p>
        </w:tc>
        <w:tc>
          <w:tcPr>
            <w:tcW w:w="740" w:type="dxa"/>
            <w:vAlign w:val="bottom"/>
            <w:shd w:val="clear" w:color="auto" w:fill="EDEDEE"/>
          </w:tcPr>
          <w:p>
            <w:pPr>
              <w:jc w:val="right"/>
              <w:spacing w:after="0"/>
              <w:rPr>
                <w:sz w:val="20"/>
                <w:szCs w:val="20"/>
                <w:color w:val="auto"/>
              </w:rPr>
            </w:pPr>
            <w:r>
              <w:rPr>
                <w:rFonts w:ascii="Arial" w:cs="Arial" w:eastAsia="Arial" w:hAnsi="Arial"/>
                <w:sz w:val="13"/>
                <w:szCs w:val="13"/>
                <w:color w:val="auto"/>
              </w:rPr>
              <w:t>3,430,129</w:t>
            </w:r>
          </w:p>
        </w:tc>
        <w:tc>
          <w:tcPr>
            <w:tcW w:w="40" w:type="dxa"/>
            <w:vAlign w:val="bottom"/>
            <w:shd w:val="clear" w:color="auto" w:fill="EDEDE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2023</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531,443</w:t>
            </w:r>
          </w:p>
        </w:tc>
        <w:tc>
          <w:tcPr>
            <w:tcW w:w="52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973,502</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299,993</w:t>
            </w:r>
          </w:p>
        </w:tc>
        <w:tc>
          <w:tcPr>
            <w:tcW w:w="114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color w:val="auto"/>
              </w:rPr>
              <w:t>526,125</w:t>
            </w:r>
          </w:p>
        </w:tc>
        <w:tc>
          <w:tcPr>
            <w:tcW w:w="9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26,641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2,357,704</w:t>
            </w:r>
          </w:p>
        </w:tc>
        <w:tc>
          <w:tcPr>
            <w:tcW w:w="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80" w:type="dxa"/>
            <w:vAlign w:val="bottom"/>
            <w:shd w:val="clear" w:color="auto" w:fill="EDEDEE"/>
          </w:tcPr>
          <w:p>
            <w:pPr>
              <w:spacing w:after="0" w:line="142" w:lineRule="exact"/>
              <w:rPr>
                <w:sz w:val="20"/>
                <w:szCs w:val="20"/>
                <w:color w:val="auto"/>
              </w:rPr>
            </w:pPr>
            <w:r>
              <w:rPr>
                <w:rFonts w:ascii="Arial" w:cs="Arial" w:eastAsia="Arial" w:hAnsi="Arial"/>
                <w:sz w:val="13"/>
                <w:szCs w:val="13"/>
                <w:b w:val="1"/>
                <w:bCs w:val="1"/>
                <w:color w:val="auto"/>
              </w:rPr>
              <w:t>Daniel A. Pryor</w:t>
            </w:r>
          </w:p>
        </w:tc>
        <w:tc>
          <w:tcPr>
            <w:tcW w:w="760" w:type="dxa"/>
            <w:vAlign w:val="bottom"/>
            <w:shd w:val="clear" w:color="auto" w:fill="EDEDEE"/>
          </w:tcPr>
          <w:p>
            <w:pPr>
              <w:jc w:val="right"/>
              <w:spacing w:after="0" w:line="142" w:lineRule="exact"/>
              <w:rPr>
                <w:sz w:val="20"/>
                <w:szCs w:val="20"/>
                <w:color w:val="auto"/>
              </w:rPr>
            </w:pPr>
            <w:r>
              <w:rPr>
                <w:rFonts w:ascii="Arial" w:cs="Arial" w:eastAsia="Arial" w:hAnsi="Arial"/>
                <w:sz w:val="13"/>
                <w:szCs w:val="13"/>
                <w:color w:val="auto"/>
              </w:rPr>
              <w:t>2025</w:t>
            </w:r>
          </w:p>
        </w:tc>
        <w:tc>
          <w:tcPr>
            <w:tcW w:w="720" w:type="dxa"/>
            <w:vAlign w:val="bottom"/>
            <w:shd w:val="clear" w:color="auto" w:fill="EDEDEE"/>
          </w:tcPr>
          <w:p>
            <w:pPr>
              <w:jc w:val="right"/>
              <w:spacing w:after="0" w:line="142" w:lineRule="exact"/>
              <w:rPr>
                <w:sz w:val="20"/>
                <w:szCs w:val="20"/>
                <w:color w:val="auto"/>
              </w:rPr>
            </w:pPr>
            <w:r>
              <w:rPr>
                <w:rFonts w:ascii="Arial" w:cs="Arial" w:eastAsia="Arial" w:hAnsi="Arial"/>
                <w:sz w:val="13"/>
                <w:szCs w:val="13"/>
                <w:color w:val="auto"/>
              </w:rPr>
              <w:t>614,923</w:t>
            </w:r>
          </w:p>
        </w:tc>
        <w:tc>
          <w:tcPr>
            <w:tcW w:w="520" w:type="dxa"/>
            <w:vAlign w:val="bottom"/>
            <w:shd w:val="clear" w:color="auto" w:fill="EDEDEE"/>
          </w:tcPr>
          <w:p>
            <w:pPr>
              <w:ind w:left="220"/>
              <w:spacing w:after="0" w:line="142" w:lineRule="exact"/>
              <w:rPr>
                <w:sz w:val="20"/>
                <w:szCs w:val="20"/>
                <w:color w:val="auto"/>
              </w:rPr>
            </w:pPr>
            <w:r>
              <w:rPr>
                <w:rFonts w:ascii="Arial" w:cs="Arial" w:eastAsia="Arial" w:hAnsi="Arial"/>
                <w:sz w:val="13"/>
                <w:szCs w:val="13"/>
                <w:color w:val="auto"/>
              </w:rPr>
              <w:t>—</w:t>
            </w:r>
          </w:p>
        </w:tc>
        <w:tc>
          <w:tcPr>
            <w:tcW w:w="740" w:type="dxa"/>
            <w:vAlign w:val="bottom"/>
            <w:shd w:val="clear" w:color="auto" w:fill="EDEDEE"/>
          </w:tcPr>
          <w:p>
            <w:pPr>
              <w:jc w:val="right"/>
              <w:ind w:right="13"/>
              <w:spacing w:after="0" w:line="142" w:lineRule="exact"/>
              <w:rPr>
                <w:sz w:val="20"/>
                <w:szCs w:val="20"/>
                <w:color w:val="auto"/>
              </w:rPr>
            </w:pPr>
            <w:r>
              <w:rPr>
                <w:rFonts w:ascii="Arial" w:cs="Arial" w:eastAsia="Arial" w:hAnsi="Arial"/>
                <w:sz w:val="13"/>
                <w:szCs w:val="13"/>
                <w:color w:val="auto"/>
              </w:rPr>
              <w:t>1,865,066</w:t>
            </w:r>
          </w:p>
        </w:tc>
        <w:tc>
          <w:tcPr>
            <w:tcW w:w="700" w:type="dxa"/>
            <w:vAlign w:val="bottom"/>
            <w:shd w:val="clear" w:color="auto" w:fill="EDEDEE"/>
          </w:tcPr>
          <w:p>
            <w:pPr>
              <w:jc w:val="center"/>
              <w:spacing w:after="0" w:line="142" w:lineRule="exact"/>
              <w:rPr>
                <w:sz w:val="20"/>
                <w:szCs w:val="20"/>
                <w:color w:val="auto"/>
              </w:rPr>
            </w:pPr>
            <w:r>
              <w:rPr>
                <w:rFonts w:ascii="Arial" w:cs="Arial" w:eastAsia="Arial" w:hAnsi="Arial"/>
                <w:sz w:val="13"/>
                <w:szCs w:val="13"/>
                <w:color w:val="auto"/>
              </w:rPr>
              <w:t>—</w:t>
            </w:r>
          </w:p>
        </w:tc>
        <w:tc>
          <w:tcPr>
            <w:tcW w:w="1140" w:type="dxa"/>
            <w:vAlign w:val="bottom"/>
            <w:shd w:val="clear" w:color="auto" w:fill="EDEDEE"/>
          </w:tcPr>
          <w:p>
            <w:pPr>
              <w:jc w:val="right"/>
              <w:spacing w:after="0" w:line="142" w:lineRule="exact"/>
              <w:rPr>
                <w:sz w:val="20"/>
                <w:szCs w:val="20"/>
                <w:color w:val="auto"/>
              </w:rPr>
            </w:pPr>
            <w:r>
              <w:rPr>
                <w:rFonts w:ascii="Arial" w:cs="Arial" w:eastAsia="Arial" w:hAnsi="Arial"/>
                <w:sz w:val="13"/>
                <w:szCs w:val="13"/>
                <w:color w:val="auto"/>
              </w:rPr>
              <w:t>457,312    </w:t>
            </w:r>
          </w:p>
        </w:tc>
        <w:tc>
          <w:tcPr>
            <w:tcW w:w="920" w:type="dxa"/>
            <w:vAlign w:val="bottom"/>
            <w:shd w:val="clear" w:color="auto" w:fill="EDEDEE"/>
          </w:tcPr>
          <w:p>
            <w:pPr>
              <w:ind w:left="420"/>
              <w:spacing w:after="0" w:line="142" w:lineRule="exact"/>
              <w:rPr>
                <w:sz w:val="20"/>
                <w:szCs w:val="20"/>
                <w:color w:val="auto"/>
              </w:rPr>
            </w:pPr>
            <w:r>
              <w:rPr>
                <w:rFonts w:ascii="Arial" w:cs="Arial" w:eastAsia="Arial" w:hAnsi="Arial"/>
                <w:sz w:val="13"/>
                <w:szCs w:val="13"/>
                <w:color w:val="auto"/>
              </w:rPr>
              <w:t>—</w:t>
            </w:r>
          </w:p>
        </w:tc>
        <w:tc>
          <w:tcPr>
            <w:tcW w:w="660" w:type="dxa"/>
            <w:vAlign w:val="bottom"/>
            <w:shd w:val="clear" w:color="auto" w:fill="EDEDEE"/>
          </w:tcPr>
          <w:p>
            <w:pPr>
              <w:jc w:val="right"/>
              <w:spacing w:after="0" w:line="142" w:lineRule="exact"/>
              <w:rPr>
                <w:sz w:val="20"/>
                <w:szCs w:val="20"/>
                <w:color w:val="auto"/>
              </w:rPr>
            </w:pPr>
            <w:r>
              <w:rPr>
                <w:rFonts w:ascii="Arial" w:cs="Arial" w:eastAsia="Arial" w:hAnsi="Arial"/>
                <w:sz w:val="13"/>
                <w:szCs w:val="13"/>
                <w:color w:val="auto"/>
              </w:rPr>
              <w:t>89,240</w:t>
            </w:r>
          </w:p>
        </w:tc>
        <w:tc>
          <w:tcPr>
            <w:tcW w:w="740" w:type="dxa"/>
            <w:vAlign w:val="bottom"/>
            <w:shd w:val="clear" w:color="auto" w:fill="EDEDEE"/>
          </w:tcPr>
          <w:p>
            <w:pPr>
              <w:jc w:val="right"/>
              <w:spacing w:after="0" w:line="142" w:lineRule="exact"/>
              <w:rPr>
                <w:sz w:val="20"/>
                <w:szCs w:val="20"/>
                <w:color w:val="auto"/>
              </w:rPr>
            </w:pPr>
            <w:r>
              <w:rPr>
                <w:rFonts w:ascii="Arial" w:cs="Arial" w:eastAsia="Arial" w:hAnsi="Arial"/>
                <w:sz w:val="13"/>
                <w:szCs w:val="13"/>
                <w:color w:val="auto"/>
              </w:rPr>
              <w:t>3,026,542</w:t>
            </w:r>
          </w:p>
        </w:tc>
        <w:tc>
          <w:tcPr>
            <w:tcW w:w="40" w:type="dxa"/>
            <w:vAlign w:val="bottom"/>
            <w:shd w:val="clear" w:color="auto" w:fill="EDEDEE"/>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080" w:type="dxa"/>
            <w:vAlign w:val="bottom"/>
          </w:tcPr>
          <w:p>
            <w:pPr>
              <w:ind w:left="180"/>
              <w:spacing w:after="0" w:line="136" w:lineRule="exact"/>
              <w:rPr>
                <w:sz w:val="20"/>
                <w:szCs w:val="20"/>
                <w:color w:val="auto"/>
              </w:rPr>
            </w:pPr>
            <w:r>
              <w:rPr>
                <w:rFonts w:ascii="Arial" w:cs="Arial" w:eastAsia="Arial" w:hAnsi="Arial"/>
                <w:sz w:val="13"/>
                <w:szCs w:val="13"/>
                <w:color w:val="auto"/>
              </w:rPr>
              <w:t>Former  Executive Vice President, Strategy and Business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080" w:type="dxa"/>
            <w:vAlign w:val="bottom"/>
          </w:tcPr>
          <w:p>
            <w:pPr>
              <w:ind w:left="180"/>
              <w:spacing w:after="0"/>
              <w:rPr>
                <w:sz w:val="20"/>
                <w:szCs w:val="20"/>
                <w:color w:val="auto"/>
              </w:rPr>
            </w:pPr>
            <w:r>
              <w:rPr>
                <w:rFonts w:ascii="Arial" w:cs="Arial" w:eastAsia="Arial" w:hAnsi="Arial"/>
                <w:sz w:val="13"/>
                <w:szCs w:val="13"/>
                <w:color w:val="auto"/>
              </w:rPr>
              <w:t>Development</w:t>
            </w:r>
          </w:p>
        </w:tc>
        <w:tc>
          <w:tcPr>
            <w:tcW w:w="760" w:type="dxa"/>
            <w:vAlign w:val="bottom"/>
          </w:tcPr>
          <w:p>
            <w:pPr>
              <w:jc w:val="right"/>
              <w:spacing w:after="0"/>
              <w:rPr>
                <w:sz w:val="20"/>
                <w:szCs w:val="20"/>
                <w:color w:val="auto"/>
              </w:rPr>
            </w:pPr>
            <w:r>
              <w:rPr>
                <w:rFonts w:ascii="Arial" w:cs="Arial" w:eastAsia="Arial" w:hAnsi="Arial"/>
                <w:sz w:val="13"/>
                <w:szCs w:val="13"/>
                <w:color w:val="auto"/>
              </w:rPr>
              <w:t>2024</w:t>
            </w:r>
          </w:p>
        </w:tc>
        <w:tc>
          <w:tcPr>
            <w:tcW w:w="720" w:type="dxa"/>
            <w:vAlign w:val="bottom"/>
          </w:tcPr>
          <w:p>
            <w:pPr>
              <w:jc w:val="right"/>
              <w:spacing w:after="0"/>
              <w:rPr>
                <w:sz w:val="20"/>
                <w:szCs w:val="20"/>
                <w:color w:val="auto"/>
              </w:rPr>
            </w:pPr>
            <w:r>
              <w:rPr>
                <w:rFonts w:ascii="Arial" w:cs="Arial" w:eastAsia="Arial" w:hAnsi="Arial"/>
                <w:sz w:val="13"/>
                <w:szCs w:val="13"/>
                <w:color w:val="auto"/>
              </w:rPr>
              <w:t>594,750</w:t>
            </w:r>
          </w:p>
        </w:tc>
        <w:tc>
          <w:tcPr>
            <w:tcW w:w="520" w:type="dxa"/>
            <w:vAlign w:val="bottom"/>
          </w:tcPr>
          <w:p>
            <w:pPr>
              <w:ind w:left="22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2,380,427</w:t>
            </w:r>
          </w:p>
        </w:tc>
        <w:tc>
          <w:tcPr>
            <w:tcW w:w="700" w:type="dxa"/>
            <w:vAlign w:val="bottom"/>
          </w:tcPr>
          <w:p>
            <w:pPr>
              <w:jc w:val="center"/>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438,480    </w:t>
            </w:r>
          </w:p>
        </w:tc>
        <w:tc>
          <w:tcPr>
            <w:tcW w:w="920" w:type="dxa"/>
            <w:vAlign w:val="bottom"/>
          </w:tcPr>
          <w:p>
            <w:pPr>
              <w:ind w:left="4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98,094</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3,511,751</w:t>
            </w:r>
          </w:p>
        </w:tc>
        <w:tc>
          <w:tcPr>
            <w:tcW w:w="0" w:type="dxa"/>
            <w:vAlign w:val="bottom"/>
          </w:tcPr>
          <w:p>
            <w:pPr>
              <w:spacing w:after="0"/>
              <w:rPr>
                <w:sz w:val="1"/>
                <w:szCs w:val="1"/>
                <w:color w:val="auto"/>
              </w:rPr>
            </w:pPr>
          </w:p>
        </w:tc>
      </w:tr>
      <w:tr>
        <w:trPr>
          <w:trHeight w:val="148"/>
        </w:trPr>
        <w:tc>
          <w:tcPr>
            <w:tcW w:w="4080" w:type="dxa"/>
            <w:vAlign w:val="bottom"/>
            <w:tcBorders>
              <w:bottom w:val="single" w:sz="8" w:color="auto"/>
            </w:tcBorders>
            <w:shd w:val="clear" w:color="auto" w:fill="EDEDEE"/>
          </w:tcPr>
          <w:p>
            <w:pPr>
              <w:spacing w:after="0"/>
              <w:rPr>
                <w:sz w:val="12"/>
                <w:szCs w:val="12"/>
                <w:color w:val="auto"/>
              </w:rPr>
            </w:pPr>
          </w:p>
        </w:tc>
        <w:tc>
          <w:tcPr>
            <w:tcW w:w="76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3"/>
                <w:szCs w:val="13"/>
                <w:color w:val="auto"/>
              </w:rPr>
              <w:t>2023</w:t>
            </w:r>
          </w:p>
        </w:tc>
        <w:tc>
          <w:tcPr>
            <w:tcW w:w="72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3"/>
                <w:szCs w:val="13"/>
                <w:color w:val="auto"/>
              </w:rPr>
              <w:t>579,000</w:t>
            </w:r>
          </w:p>
        </w:tc>
        <w:tc>
          <w:tcPr>
            <w:tcW w:w="520" w:type="dxa"/>
            <w:vAlign w:val="bottom"/>
            <w:tcBorders>
              <w:bottom w:val="single" w:sz="8" w:color="auto"/>
            </w:tcBorders>
            <w:shd w:val="clear" w:color="auto" w:fill="EDEDEE"/>
          </w:tcPr>
          <w:p>
            <w:pPr>
              <w:spacing w:after="0"/>
              <w:rPr>
                <w:sz w:val="12"/>
                <w:szCs w:val="12"/>
                <w:color w:val="auto"/>
              </w:rPr>
            </w:pPr>
          </w:p>
        </w:tc>
        <w:tc>
          <w:tcPr>
            <w:tcW w:w="740" w:type="dxa"/>
            <w:vAlign w:val="bottom"/>
            <w:tcBorders>
              <w:bottom w:val="single" w:sz="8" w:color="auto"/>
            </w:tcBorders>
            <w:shd w:val="clear" w:color="auto" w:fill="EDEDEE"/>
          </w:tcPr>
          <w:p>
            <w:pPr>
              <w:jc w:val="right"/>
              <w:ind w:right="13"/>
              <w:spacing w:after="0"/>
              <w:rPr>
                <w:sz w:val="20"/>
                <w:szCs w:val="20"/>
                <w:color w:val="auto"/>
              </w:rPr>
            </w:pPr>
            <w:r>
              <w:rPr>
                <w:rFonts w:ascii="Arial" w:cs="Arial" w:eastAsia="Arial" w:hAnsi="Arial"/>
                <w:sz w:val="13"/>
                <w:szCs w:val="13"/>
                <w:color w:val="auto"/>
              </w:rPr>
              <w:t>2,975,748</w:t>
            </w:r>
          </w:p>
        </w:tc>
        <w:tc>
          <w:tcPr>
            <w:tcW w:w="70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3"/>
                <w:szCs w:val="13"/>
                <w:color w:val="auto"/>
              </w:rPr>
              <w:t>487,488</w:t>
            </w:r>
          </w:p>
        </w:tc>
        <w:tc>
          <w:tcPr>
            <w:tcW w:w="114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3"/>
                <w:szCs w:val="13"/>
                <w:color w:val="auto"/>
              </w:rPr>
              <w:t>621,614    </w:t>
            </w:r>
          </w:p>
        </w:tc>
        <w:tc>
          <w:tcPr>
            <w:tcW w:w="920" w:type="dxa"/>
            <w:vAlign w:val="bottom"/>
            <w:tcBorders>
              <w:bottom w:val="single" w:sz="8" w:color="auto"/>
            </w:tcBorders>
            <w:shd w:val="clear" w:color="auto" w:fill="EDEDEE"/>
          </w:tcPr>
          <w:p>
            <w:pPr>
              <w:ind w:left="42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3"/>
                <w:szCs w:val="13"/>
                <w:color w:val="auto"/>
              </w:rPr>
              <w:t>89,119</w:t>
            </w:r>
          </w:p>
        </w:tc>
        <w:tc>
          <w:tcPr>
            <w:tcW w:w="74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3"/>
                <w:szCs w:val="13"/>
                <w:color w:val="auto"/>
              </w:rPr>
              <w:t>4,752,969</w:t>
            </w:r>
          </w:p>
        </w:tc>
        <w:tc>
          <w:tcPr>
            <w:tcW w:w="40" w:type="dxa"/>
            <w:vAlign w:val="bottom"/>
            <w:tcBorders>
              <w:bottom w:val="single" w:sz="8" w:color="auto"/>
            </w:tcBorders>
            <w:shd w:val="clear" w:color="auto" w:fill="EDEDE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line="142" w:lineRule="exact"/>
              <w:rPr>
                <w:sz w:val="20"/>
                <w:szCs w:val="20"/>
                <w:color w:val="auto"/>
              </w:rPr>
            </w:pPr>
            <w:r>
              <w:rPr>
                <w:rFonts w:ascii="Arial" w:cs="Arial" w:eastAsia="Arial" w:hAnsi="Arial"/>
                <w:sz w:val="13"/>
                <w:szCs w:val="13"/>
                <w:b w:val="1"/>
                <w:bCs w:val="1"/>
                <w:color w:val="auto"/>
              </w:rPr>
              <w:t>Terry Ross</w:t>
            </w:r>
          </w:p>
        </w:tc>
        <w:tc>
          <w:tcPr>
            <w:tcW w:w="760" w:type="dxa"/>
            <w:vAlign w:val="bottom"/>
          </w:tcPr>
          <w:p>
            <w:pPr>
              <w:jc w:val="right"/>
              <w:spacing w:after="0" w:line="142" w:lineRule="exact"/>
              <w:rPr>
                <w:sz w:val="20"/>
                <w:szCs w:val="20"/>
                <w:color w:val="auto"/>
              </w:rPr>
            </w:pPr>
            <w:r>
              <w:rPr>
                <w:rFonts w:ascii="Arial" w:cs="Arial" w:eastAsia="Arial" w:hAnsi="Arial"/>
                <w:sz w:val="13"/>
                <w:szCs w:val="13"/>
                <w:color w:val="auto"/>
              </w:rPr>
              <w:t>2025</w:t>
            </w:r>
          </w:p>
        </w:tc>
        <w:tc>
          <w:tcPr>
            <w:tcW w:w="720" w:type="dxa"/>
            <w:vAlign w:val="bottom"/>
          </w:tcPr>
          <w:p>
            <w:pPr>
              <w:jc w:val="right"/>
              <w:spacing w:after="0" w:line="142" w:lineRule="exact"/>
              <w:rPr>
                <w:sz w:val="20"/>
                <w:szCs w:val="20"/>
                <w:color w:val="auto"/>
              </w:rPr>
            </w:pPr>
            <w:r>
              <w:rPr>
                <w:rFonts w:ascii="Arial" w:cs="Arial" w:eastAsia="Arial" w:hAnsi="Arial"/>
                <w:sz w:val="13"/>
                <w:szCs w:val="13"/>
                <w:color w:val="auto"/>
              </w:rPr>
              <w:t>514,923</w:t>
            </w:r>
          </w:p>
        </w:tc>
        <w:tc>
          <w:tcPr>
            <w:tcW w:w="520" w:type="dxa"/>
            <w:vAlign w:val="bottom"/>
          </w:tcPr>
          <w:p>
            <w:pPr>
              <w:ind w:left="220"/>
              <w:spacing w:after="0" w:line="142"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13"/>
              <w:spacing w:after="0" w:line="142" w:lineRule="exact"/>
              <w:rPr>
                <w:sz w:val="20"/>
                <w:szCs w:val="20"/>
                <w:color w:val="auto"/>
              </w:rPr>
            </w:pPr>
            <w:r>
              <w:rPr>
                <w:rFonts w:ascii="Arial" w:cs="Arial" w:eastAsia="Arial" w:hAnsi="Arial"/>
                <w:sz w:val="13"/>
                <w:szCs w:val="13"/>
                <w:color w:val="auto"/>
              </w:rPr>
              <w:t>1,398,819</w:t>
            </w:r>
          </w:p>
        </w:tc>
        <w:tc>
          <w:tcPr>
            <w:tcW w:w="700" w:type="dxa"/>
            <w:vAlign w:val="bottom"/>
          </w:tcPr>
          <w:p>
            <w:pPr>
              <w:jc w:val="center"/>
              <w:spacing w:after="0" w:line="142"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94"/>
              <w:spacing w:after="0" w:line="142" w:lineRule="exact"/>
              <w:rPr>
                <w:sz w:val="20"/>
                <w:szCs w:val="20"/>
                <w:color w:val="auto"/>
              </w:rPr>
            </w:pPr>
            <w:r>
              <w:rPr>
                <w:rFonts w:ascii="Arial" w:cs="Arial" w:eastAsia="Arial" w:hAnsi="Arial"/>
                <w:sz w:val="13"/>
                <w:szCs w:val="13"/>
                <w:color w:val="auto"/>
              </w:rPr>
              <w:t>388,616</w:t>
            </w:r>
          </w:p>
        </w:tc>
        <w:tc>
          <w:tcPr>
            <w:tcW w:w="920" w:type="dxa"/>
            <w:vAlign w:val="bottom"/>
          </w:tcPr>
          <w:p>
            <w:pPr>
              <w:ind w:left="420"/>
              <w:spacing w:after="0" w:line="142"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42" w:lineRule="exact"/>
              <w:rPr>
                <w:sz w:val="20"/>
                <w:szCs w:val="20"/>
                <w:color w:val="auto"/>
              </w:rPr>
            </w:pPr>
            <w:r>
              <w:rPr>
                <w:rFonts w:ascii="Arial" w:cs="Arial" w:eastAsia="Arial" w:hAnsi="Arial"/>
                <w:sz w:val="13"/>
                <w:szCs w:val="13"/>
                <w:color w:val="auto"/>
              </w:rPr>
              <w:t>65,860</w:t>
            </w:r>
          </w:p>
        </w:tc>
        <w:tc>
          <w:tcPr>
            <w:tcW w:w="740" w:type="dxa"/>
            <w:vAlign w:val="bottom"/>
          </w:tcPr>
          <w:p>
            <w:pPr>
              <w:jc w:val="right"/>
              <w:spacing w:after="0" w:line="142" w:lineRule="exact"/>
              <w:rPr>
                <w:sz w:val="20"/>
                <w:szCs w:val="20"/>
                <w:color w:val="auto"/>
              </w:rPr>
            </w:pPr>
            <w:r>
              <w:rPr>
                <w:rFonts w:ascii="Arial" w:cs="Arial" w:eastAsia="Arial" w:hAnsi="Arial"/>
                <w:sz w:val="13"/>
                <w:szCs w:val="13"/>
                <w:color w:val="auto"/>
              </w:rPr>
              <w:t>2,368,218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tcBorders>
              <w:bottom w:val="single" w:sz="8" w:color="auto"/>
            </w:tcBorders>
            <w:shd w:val="clear" w:color="auto" w:fill="EDEDEE"/>
          </w:tcPr>
          <w:p>
            <w:pPr>
              <w:ind w:left="180"/>
              <w:spacing w:after="0"/>
              <w:rPr>
                <w:sz w:val="20"/>
                <w:szCs w:val="20"/>
                <w:color w:val="auto"/>
              </w:rPr>
            </w:pPr>
            <w:r>
              <w:rPr>
                <w:rFonts w:ascii="Arial" w:cs="Arial" w:eastAsia="Arial" w:hAnsi="Arial"/>
                <w:sz w:val="13"/>
                <w:szCs w:val="13"/>
                <w:color w:val="auto"/>
              </w:rPr>
              <w:t>Group President, P&amp;R</w:t>
            </w:r>
          </w:p>
        </w:tc>
        <w:tc>
          <w:tcPr>
            <w:tcW w:w="760" w:type="dxa"/>
            <w:vAlign w:val="bottom"/>
            <w:tcBorders>
              <w:bottom w:val="single" w:sz="8" w:color="auto"/>
            </w:tcBorders>
            <w:shd w:val="clear" w:color="auto" w:fill="EDEDEE"/>
          </w:tcPr>
          <w:p>
            <w:pPr>
              <w:spacing w:after="0"/>
              <w:rPr>
                <w:sz w:val="12"/>
                <w:szCs w:val="12"/>
                <w:color w:val="auto"/>
              </w:rPr>
            </w:pPr>
          </w:p>
        </w:tc>
        <w:tc>
          <w:tcPr>
            <w:tcW w:w="720" w:type="dxa"/>
            <w:vAlign w:val="bottom"/>
            <w:tcBorders>
              <w:bottom w:val="single" w:sz="8" w:color="auto"/>
            </w:tcBorders>
            <w:shd w:val="clear" w:color="auto" w:fill="EDEDEE"/>
          </w:tcPr>
          <w:p>
            <w:pPr>
              <w:spacing w:after="0"/>
              <w:rPr>
                <w:sz w:val="12"/>
                <w:szCs w:val="12"/>
                <w:color w:val="auto"/>
              </w:rPr>
            </w:pPr>
          </w:p>
        </w:tc>
        <w:tc>
          <w:tcPr>
            <w:tcW w:w="520" w:type="dxa"/>
            <w:vAlign w:val="bottom"/>
            <w:tcBorders>
              <w:bottom w:val="single" w:sz="8" w:color="auto"/>
            </w:tcBorders>
            <w:shd w:val="clear" w:color="auto" w:fill="EDEDEE"/>
          </w:tcPr>
          <w:p>
            <w:pPr>
              <w:spacing w:after="0"/>
              <w:rPr>
                <w:sz w:val="12"/>
                <w:szCs w:val="12"/>
                <w:color w:val="auto"/>
              </w:rPr>
            </w:pPr>
          </w:p>
        </w:tc>
        <w:tc>
          <w:tcPr>
            <w:tcW w:w="740" w:type="dxa"/>
            <w:vAlign w:val="bottom"/>
            <w:tcBorders>
              <w:bottom w:val="single" w:sz="8" w:color="auto"/>
            </w:tcBorders>
            <w:shd w:val="clear" w:color="auto" w:fill="EDEDEE"/>
          </w:tcPr>
          <w:p>
            <w:pPr>
              <w:spacing w:after="0"/>
              <w:rPr>
                <w:sz w:val="12"/>
                <w:szCs w:val="12"/>
                <w:color w:val="auto"/>
              </w:rPr>
            </w:pPr>
          </w:p>
        </w:tc>
        <w:tc>
          <w:tcPr>
            <w:tcW w:w="700" w:type="dxa"/>
            <w:vAlign w:val="bottom"/>
            <w:tcBorders>
              <w:bottom w:val="single" w:sz="8" w:color="auto"/>
            </w:tcBorders>
            <w:shd w:val="clear" w:color="auto" w:fill="EDEDEE"/>
          </w:tcPr>
          <w:p>
            <w:pPr>
              <w:spacing w:after="0"/>
              <w:rPr>
                <w:sz w:val="12"/>
                <w:szCs w:val="12"/>
                <w:color w:val="auto"/>
              </w:rPr>
            </w:pPr>
          </w:p>
        </w:tc>
        <w:tc>
          <w:tcPr>
            <w:tcW w:w="1140" w:type="dxa"/>
            <w:vAlign w:val="bottom"/>
            <w:tcBorders>
              <w:bottom w:val="single" w:sz="8" w:color="auto"/>
            </w:tcBorders>
            <w:shd w:val="clear" w:color="auto" w:fill="EDEDEE"/>
          </w:tcPr>
          <w:p>
            <w:pPr>
              <w:spacing w:after="0"/>
              <w:rPr>
                <w:sz w:val="12"/>
                <w:szCs w:val="12"/>
                <w:color w:val="auto"/>
              </w:rPr>
            </w:pPr>
          </w:p>
        </w:tc>
        <w:tc>
          <w:tcPr>
            <w:tcW w:w="920" w:type="dxa"/>
            <w:vAlign w:val="bottom"/>
            <w:tcBorders>
              <w:bottom w:val="single" w:sz="8" w:color="auto"/>
            </w:tcBorders>
            <w:shd w:val="clear" w:color="auto" w:fill="EDEDEE"/>
          </w:tcPr>
          <w:p>
            <w:pPr>
              <w:spacing w:after="0"/>
              <w:rPr>
                <w:sz w:val="12"/>
                <w:szCs w:val="12"/>
                <w:color w:val="auto"/>
              </w:rPr>
            </w:pPr>
          </w:p>
        </w:tc>
        <w:tc>
          <w:tcPr>
            <w:tcW w:w="660" w:type="dxa"/>
            <w:vAlign w:val="bottom"/>
            <w:tcBorders>
              <w:bottom w:val="single" w:sz="8" w:color="auto"/>
            </w:tcBorders>
            <w:shd w:val="clear" w:color="auto" w:fill="EDEDEE"/>
          </w:tcPr>
          <w:p>
            <w:pPr>
              <w:spacing w:after="0"/>
              <w:rPr>
                <w:sz w:val="12"/>
                <w:szCs w:val="12"/>
                <w:color w:val="auto"/>
              </w:rPr>
            </w:pPr>
          </w:p>
        </w:tc>
        <w:tc>
          <w:tcPr>
            <w:tcW w:w="740" w:type="dxa"/>
            <w:vAlign w:val="bottom"/>
            <w:tcBorders>
              <w:bottom w:val="single" w:sz="8" w:color="auto"/>
            </w:tcBorders>
            <w:shd w:val="clear" w:color="auto" w:fill="EDEDEE"/>
          </w:tcPr>
          <w:p>
            <w:pPr>
              <w:spacing w:after="0"/>
              <w:rPr>
                <w:sz w:val="12"/>
                <w:szCs w:val="12"/>
                <w:color w:val="auto"/>
              </w:rPr>
            </w:pPr>
          </w:p>
        </w:tc>
        <w:tc>
          <w:tcPr>
            <w:tcW w:w="40" w:type="dxa"/>
            <w:vAlign w:val="bottom"/>
            <w:tcBorders>
              <w:bottom w:val="single" w:sz="8" w:color="auto"/>
            </w:tcBorders>
            <w:shd w:val="clear" w:color="auto" w:fill="EDEDE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80" w:type="dxa"/>
            <w:vAlign w:val="bottom"/>
          </w:tcPr>
          <w:p>
            <w:pPr>
              <w:spacing w:after="0"/>
              <w:rPr>
                <w:sz w:val="20"/>
                <w:szCs w:val="20"/>
                <w:color w:val="auto"/>
              </w:rPr>
            </w:pPr>
            <w:r>
              <w:rPr>
                <w:rFonts w:ascii="Arial" w:cs="Arial" w:eastAsia="Arial" w:hAnsi="Arial"/>
                <w:sz w:val="13"/>
                <w:szCs w:val="13"/>
                <w:b w:val="1"/>
                <w:bCs w:val="1"/>
                <w:color w:val="auto"/>
              </w:rPr>
              <w:t>Patricia Lang</w:t>
            </w:r>
          </w:p>
        </w:tc>
        <w:tc>
          <w:tcPr>
            <w:tcW w:w="760" w:type="dxa"/>
            <w:vAlign w:val="bottom"/>
          </w:tcPr>
          <w:p>
            <w:pPr>
              <w:jc w:val="right"/>
              <w:spacing w:after="0"/>
              <w:rPr>
                <w:sz w:val="20"/>
                <w:szCs w:val="20"/>
                <w:color w:val="auto"/>
              </w:rPr>
            </w:pPr>
            <w:r>
              <w:rPr>
                <w:rFonts w:ascii="Arial" w:cs="Arial" w:eastAsia="Arial" w:hAnsi="Arial"/>
                <w:sz w:val="13"/>
                <w:szCs w:val="13"/>
                <w:color w:val="auto"/>
              </w:rPr>
              <w:t>2025</w:t>
            </w:r>
          </w:p>
        </w:tc>
        <w:tc>
          <w:tcPr>
            <w:tcW w:w="720" w:type="dxa"/>
            <w:vAlign w:val="bottom"/>
          </w:tcPr>
          <w:p>
            <w:pPr>
              <w:jc w:val="right"/>
              <w:spacing w:after="0"/>
              <w:rPr>
                <w:sz w:val="20"/>
                <w:szCs w:val="20"/>
                <w:color w:val="auto"/>
              </w:rPr>
            </w:pPr>
            <w:r>
              <w:rPr>
                <w:rFonts w:ascii="Arial" w:cs="Arial" w:eastAsia="Arial" w:hAnsi="Arial"/>
                <w:sz w:val="13"/>
                <w:szCs w:val="13"/>
                <w:color w:val="auto"/>
              </w:rPr>
              <w:t>502,462</w:t>
            </w:r>
          </w:p>
        </w:tc>
        <w:tc>
          <w:tcPr>
            <w:tcW w:w="520" w:type="dxa"/>
            <w:vAlign w:val="bottom"/>
          </w:tcPr>
          <w:p>
            <w:pPr>
              <w:ind w:left="22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1,151,892</w:t>
            </w:r>
          </w:p>
        </w:tc>
        <w:tc>
          <w:tcPr>
            <w:tcW w:w="700" w:type="dxa"/>
            <w:vAlign w:val="bottom"/>
          </w:tcPr>
          <w:p>
            <w:pPr>
              <w:jc w:val="center"/>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358,520    </w:t>
            </w:r>
          </w:p>
        </w:tc>
        <w:tc>
          <w:tcPr>
            <w:tcW w:w="920" w:type="dxa"/>
            <w:vAlign w:val="bottom"/>
          </w:tcPr>
          <w:p>
            <w:pPr>
              <w:ind w:left="4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67,858</w:t>
            </w:r>
          </w:p>
        </w:tc>
        <w:tc>
          <w:tcPr>
            <w:tcW w:w="740" w:type="dxa"/>
            <w:vAlign w:val="bottom"/>
          </w:tcPr>
          <w:p>
            <w:pPr>
              <w:jc w:val="right"/>
              <w:spacing w:after="0"/>
              <w:rPr>
                <w:sz w:val="20"/>
                <w:szCs w:val="20"/>
                <w:color w:val="auto"/>
              </w:rPr>
            </w:pPr>
            <w:r>
              <w:rPr>
                <w:rFonts w:ascii="Arial" w:cs="Arial" w:eastAsia="Arial" w:hAnsi="Arial"/>
                <w:sz w:val="13"/>
                <w:szCs w:val="13"/>
                <w:color w:val="auto"/>
              </w:rPr>
              <w:t>2,080,731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80" w:type="dxa"/>
            <w:vAlign w:val="bottom"/>
            <w:shd w:val="clear" w:color="auto" w:fill="EDEDEE"/>
          </w:tcPr>
          <w:p>
            <w:pPr>
              <w:ind w:left="180"/>
              <w:spacing w:after="0"/>
              <w:rPr>
                <w:sz w:val="20"/>
                <w:szCs w:val="20"/>
                <w:color w:val="auto"/>
              </w:rPr>
            </w:pPr>
            <w:r>
              <w:rPr>
                <w:rFonts w:ascii="Arial" w:cs="Arial" w:eastAsia="Arial" w:hAnsi="Arial"/>
                <w:sz w:val="13"/>
                <w:szCs w:val="13"/>
                <w:color w:val="auto"/>
              </w:rPr>
              <w:t>Senior Vice President and Chief Human Resources Officer</w:t>
            </w:r>
          </w:p>
        </w:tc>
        <w:tc>
          <w:tcPr>
            <w:tcW w:w="760" w:type="dxa"/>
            <w:vAlign w:val="bottom"/>
            <w:shd w:val="clear" w:color="auto" w:fill="EDEDEE"/>
          </w:tcPr>
          <w:p>
            <w:pPr>
              <w:jc w:val="right"/>
              <w:spacing w:after="0"/>
              <w:rPr>
                <w:sz w:val="20"/>
                <w:szCs w:val="20"/>
                <w:color w:val="auto"/>
              </w:rPr>
            </w:pPr>
            <w:r>
              <w:rPr>
                <w:rFonts w:ascii="Arial" w:cs="Arial" w:eastAsia="Arial" w:hAnsi="Arial"/>
                <w:sz w:val="13"/>
                <w:szCs w:val="13"/>
                <w:color w:val="auto"/>
              </w:rPr>
              <w:t>2024</w:t>
            </w:r>
          </w:p>
        </w:tc>
        <w:tc>
          <w:tcPr>
            <w:tcW w:w="720" w:type="dxa"/>
            <w:vAlign w:val="bottom"/>
            <w:shd w:val="clear" w:color="auto" w:fill="EDEDEE"/>
          </w:tcPr>
          <w:p>
            <w:pPr>
              <w:jc w:val="right"/>
              <w:spacing w:after="0"/>
              <w:rPr>
                <w:sz w:val="20"/>
                <w:szCs w:val="20"/>
                <w:color w:val="auto"/>
              </w:rPr>
            </w:pPr>
            <w:r>
              <w:rPr>
                <w:rFonts w:ascii="Arial" w:cs="Arial" w:eastAsia="Arial" w:hAnsi="Arial"/>
                <w:sz w:val="13"/>
                <w:szCs w:val="13"/>
                <w:color w:val="auto"/>
              </w:rPr>
              <w:t>492,500</w:t>
            </w:r>
          </w:p>
        </w:tc>
        <w:tc>
          <w:tcPr>
            <w:tcW w:w="520" w:type="dxa"/>
            <w:vAlign w:val="bottom"/>
            <w:shd w:val="clear" w:color="auto" w:fill="EDEDEE"/>
          </w:tcPr>
          <w:p>
            <w:pPr>
              <w:ind w:left="220"/>
              <w:spacing w:after="0"/>
              <w:rPr>
                <w:sz w:val="20"/>
                <w:szCs w:val="20"/>
                <w:color w:val="auto"/>
              </w:rPr>
            </w:pPr>
            <w:r>
              <w:rPr>
                <w:rFonts w:ascii="Arial" w:cs="Arial" w:eastAsia="Arial" w:hAnsi="Arial"/>
                <w:sz w:val="13"/>
                <w:szCs w:val="13"/>
                <w:color w:val="auto"/>
              </w:rPr>
              <w:t>—</w:t>
            </w:r>
          </w:p>
        </w:tc>
        <w:tc>
          <w:tcPr>
            <w:tcW w:w="740" w:type="dxa"/>
            <w:vAlign w:val="bottom"/>
            <w:shd w:val="clear" w:color="auto" w:fill="EDEDEE"/>
          </w:tcPr>
          <w:p>
            <w:pPr>
              <w:jc w:val="right"/>
              <w:ind w:right="13"/>
              <w:spacing w:after="0"/>
              <w:rPr>
                <w:sz w:val="20"/>
                <w:szCs w:val="20"/>
                <w:color w:val="auto"/>
              </w:rPr>
            </w:pPr>
            <w:r>
              <w:rPr>
                <w:rFonts w:ascii="Arial" w:cs="Arial" w:eastAsia="Arial" w:hAnsi="Arial"/>
                <w:sz w:val="13"/>
                <w:szCs w:val="13"/>
                <w:color w:val="auto"/>
              </w:rPr>
              <w:t>1,403,804</w:t>
            </w:r>
          </w:p>
        </w:tc>
        <w:tc>
          <w:tcPr>
            <w:tcW w:w="700" w:type="dxa"/>
            <w:vAlign w:val="bottom"/>
            <w:shd w:val="clear" w:color="auto" w:fill="EDEDEE"/>
          </w:tcPr>
          <w:p>
            <w:pPr>
              <w:jc w:val="center"/>
              <w:spacing w:after="0"/>
              <w:rPr>
                <w:sz w:val="20"/>
                <w:szCs w:val="20"/>
                <w:color w:val="auto"/>
              </w:rPr>
            </w:pPr>
            <w:r>
              <w:rPr>
                <w:rFonts w:ascii="Arial" w:cs="Arial" w:eastAsia="Arial" w:hAnsi="Arial"/>
                <w:sz w:val="13"/>
                <w:szCs w:val="13"/>
                <w:color w:val="auto"/>
              </w:rPr>
              <w:t>—</w:t>
            </w:r>
          </w:p>
        </w:tc>
        <w:tc>
          <w:tcPr>
            <w:tcW w:w="1140" w:type="dxa"/>
            <w:vAlign w:val="bottom"/>
            <w:shd w:val="clear" w:color="auto" w:fill="EDEDEE"/>
          </w:tcPr>
          <w:p>
            <w:pPr>
              <w:jc w:val="right"/>
              <w:spacing w:after="0"/>
              <w:rPr>
                <w:sz w:val="20"/>
                <w:szCs w:val="20"/>
                <w:color w:val="auto"/>
              </w:rPr>
            </w:pPr>
            <w:r>
              <w:rPr>
                <w:rFonts w:ascii="Arial" w:cs="Arial" w:eastAsia="Arial" w:hAnsi="Arial"/>
                <w:sz w:val="13"/>
                <w:szCs w:val="13"/>
                <w:color w:val="auto"/>
              </w:rPr>
              <w:t>331,601    </w:t>
            </w:r>
          </w:p>
        </w:tc>
        <w:tc>
          <w:tcPr>
            <w:tcW w:w="920" w:type="dxa"/>
            <w:vAlign w:val="bottom"/>
            <w:shd w:val="clear" w:color="auto" w:fill="EDEDEE"/>
          </w:tcPr>
          <w:p>
            <w:pPr>
              <w:ind w:left="420"/>
              <w:spacing w:after="0"/>
              <w:rPr>
                <w:sz w:val="20"/>
                <w:szCs w:val="20"/>
                <w:color w:val="auto"/>
              </w:rPr>
            </w:pPr>
            <w:r>
              <w:rPr>
                <w:rFonts w:ascii="Arial" w:cs="Arial" w:eastAsia="Arial" w:hAnsi="Arial"/>
                <w:sz w:val="13"/>
                <w:szCs w:val="13"/>
                <w:color w:val="auto"/>
              </w:rPr>
              <w:t>—</w:t>
            </w:r>
          </w:p>
        </w:tc>
        <w:tc>
          <w:tcPr>
            <w:tcW w:w="660" w:type="dxa"/>
            <w:vAlign w:val="bottom"/>
            <w:shd w:val="clear" w:color="auto" w:fill="EDEDEE"/>
          </w:tcPr>
          <w:p>
            <w:pPr>
              <w:jc w:val="right"/>
              <w:spacing w:after="0"/>
              <w:rPr>
                <w:sz w:val="20"/>
                <w:szCs w:val="20"/>
                <w:color w:val="auto"/>
              </w:rPr>
            </w:pPr>
            <w:r>
              <w:rPr>
                <w:rFonts w:ascii="Arial" w:cs="Arial" w:eastAsia="Arial" w:hAnsi="Arial"/>
                <w:sz w:val="13"/>
                <w:szCs w:val="13"/>
                <w:color w:val="auto"/>
              </w:rPr>
              <w:t>72,240</w:t>
            </w:r>
          </w:p>
        </w:tc>
        <w:tc>
          <w:tcPr>
            <w:tcW w:w="740" w:type="dxa"/>
            <w:vAlign w:val="bottom"/>
            <w:shd w:val="clear" w:color="auto" w:fill="EDEDEE"/>
          </w:tcPr>
          <w:p>
            <w:pPr>
              <w:jc w:val="right"/>
              <w:spacing w:after="0"/>
              <w:rPr>
                <w:sz w:val="20"/>
                <w:szCs w:val="20"/>
                <w:color w:val="auto"/>
              </w:rPr>
            </w:pPr>
            <w:r>
              <w:rPr>
                <w:rFonts w:ascii="Arial" w:cs="Arial" w:eastAsia="Arial" w:hAnsi="Arial"/>
                <w:sz w:val="13"/>
                <w:szCs w:val="13"/>
                <w:color w:val="auto"/>
              </w:rPr>
              <w:t>2,300,144</w:t>
            </w:r>
          </w:p>
        </w:tc>
        <w:tc>
          <w:tcPr>
            <w:tcW w:w="40" w:type="dxa"/>
            <w:vAlign w:val="bottom"/>
            <w:shd w:val="clear" w:color="auto" w:fill="EDEDE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2023</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485,000</w:t>
            </w:r>
          </w:p>
        </w:tc>
        <w:tc>
          <w:tcPr>
            <w:tcW w:w="52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811,247</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249,994</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455,609    </w:t>
            </w:r>
          </w:p>
        </w:tc>
        <w:tc>
          <w:tcPr>
            <w:tcW w:w="920" w:type="dxa"/>
            <w:vAlign w:val="bottom"/>
            <w:tcBorders>
              <w:bottom w:val="single" w:sz="8" w:color="auto"/>
            </w:tcBorders>
          </w:tcPr>
          <w:p>
            <w:pPr>
              <w:ind w:left="42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70,979</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2,072,829</w:t>
            </w:r>
          </w:p>
        </w:tc>
        <w:tc>
          <w:tcPr>
            <w:tcW w:w="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80" w:type="dxa"/>
            <w:vAlign w:val="bottom"/>
            <w:shd w:val="clear" w:color="auto" w:fill="EDEDEE"/>
          </w:tcPr>
          <w:p>
            <w:pPr>
              <w:spacing w:after="0" w:line="142" w:lineRule="exact"/>
              <w:rPr>
                <w:sz w:val="20"/>
                <w:szCs w:val="20"/>
                <w:color w:val="auto"/>
              </w:rPr>
            </w:pPr>
            <w:r>
              <w:rPr>
                <w:rFonts w:ascii="Arial" w:cs="Arial" w:eastAsia="Arial" w:hAnsi="Arial"/>
                <w:sz w:val="13"/>
                <w:szCs w:val="13"/>
                <w:b w:val="1"/>
                <w:bCs w:val="1"/>
                <w:color w:val="auto"/>
              </w:rPr>
              <w:t>Louis Vogt</w:t>
            </w:r>
          </w:p>
        </w:tc>
        <w:tc>
          <w:tcPr>
            <w:tcW w:w="760" w:type="dxa"/>
            <w:vAlign w:val="bottom"/>
            <w:shd w:val="clear" w:color="auto" w:fill="EDEDEE"/>
          </w:tcPr>
          <w:p>
            <w:pPr>
              <w:jc w:val="right"/>
              <w:spacing w:after="0" w:line="142" w:lineRule="exact"/>
              <w:rPr>
                <w:sz w:val="20"/>
                <w:szCs w:val="20"/>
                <w:color w:val="auto"/>
              </w:rPr>
            </w:pPr>
            <w:r>
              <w:rPr>
                <w:rFonts w:ascii="Arial" w:cs="Arial" w:eastAsia="Arial" w:hAnsi="Arial"/>
                <w:sz w:val="13"/>
                <w:szCs w:val="13"/>
                <w:color w:val="auto"/>
              </w:rPr>
              <w:t>2025</w:t>
            </w:r>
          </w:p>
        </w:tc>
        <w:tc>
          <w:tcPr>
            <w:tcW w:w="720" w:type="dxa"/>
            <w:vAlign w:val="bottom"/>
            <w:shd w:val="clear" w:color="auto" w:fill="EDEDEE"/>
          </w:tcPr>
          <w:p>
            <w:pPr>
              <w:jc w:val="right"/>
              <w:spacing w:after="0" w:line="142" w:lineRule="exact"/>
              <w:rPr>
                <w:sz w:val="20"/>
                <w:szCs w:val="20"/>
                <w:color w:val="auto"/>
              </w:rPr>
            </w:pPr>
            <w:r>
              <w:rPr>
                <w:rFonts w:ascii="Arial" w:cs="Arial" w:eastAsia="Arial" w:hAnsi="Arial"/>
                <w:sz w:val="13"/>
                <w:szCs w:val="13"/>
                <w:color w:val="auto"/>
              </w:rPr>
              <w:t>500,001</w:t>
            </w:r>
          </w:p>
        </w:tc>
        <w:tc>
          <w:tcPr>
            <w:tcW w:w="520" w:type="dxa"/>
            <w:vAlign w:val="bottom"/>
            <w:shd w:val="clear" w:color="auto" w:fill="EDEDEE"/>
          </w:tcPr>
          <w:p>
            <w:pPr>
              <w:ind w:left="220"/>
              <w:spacing w:after="0" w:line="142" w:lineRule="exact"/>
              <w:rPr>
                <w:sz w:val="20"/>
                <w:szCs w:val="20"/>
                <w:color w:val="auto"/>
              </w:rPr>
            </w:pPr>
            <w:r>
              <w:rPr>
                <w:rFonts w:ascii="Arial" w:cs="Arial" w:eastAsia="Arial" w:hAnsi="Arial"/>
                <w:sz w:val="13"/>
                <w:szCs w:val="13"/>
                <w:color w:val="auto"/>
              </w:rPr>
              <w:t>—</w:t>
            </w:r>
          </w:p>
        </w:tc>
        <w:tc>
          <w:tcPr>
            <w:tcW w:w="740" w:type="dxa"/>
            <w:vAlign w:val="bottom"/>
            <w:shd w:val="clear" w:color="auto" w:fill="EDEDEE"/>
          </w:tcPr>
          <w:p>
            <w:pPr>
              <w:jc w:val="right"/>
              <w:ind w:right="13"/>
              <w:spacing w:after="0" w:line="142" w:lineRule="exact"/>
              <w:rPr>
                <w:sz w:val="20"/>
                <w:szCs w:val="20"/>
                <w:color w:val="auto"/>
              </w:rPr>
            </w:pPr>
            <w:r>
              <w:rPr>
                <w:rFonts w:ascii="Arial" w:cs="Arial" w:eastAsia="Arial" w:hAnsi="Arial"/>
                <w:sz w:val="13"/>
                <w:szCs w:val="13"/>
                <w:color w:val="auto"/>
              </w:rPr>
              <w:t>1,165,695</w:t>
            </w:r>
          </w:p>
        </w:tc>
        <w:tc>
          <w:tcPr>
            <w:tcW w:w="700" w:type="dxa"/>
            <w:vAlign w:val="bottom"/>
            <w:shd w:val="clear" w:color="auto" w:fill="EDEDEE"/>
          </w:tcPr>
          <w:p>
            <w:pPr>
              <w:jc w:val="center"/>
              <w:spacing w:after="0" w:line="142" w:lineRule="exact"/>
              <w:rPr>
                <w:sz w:val="20"/>
                <w:szCs w:val="20"/>
                <w:color w:val="auto"/>
              </w:rPr>
            </w:pPr>
            <w:r>
              <w:rPr>
                <w:rFonts w:ascii="Arial" w:cs="Arial" w:eastAsia="Arial" w:hAnsi="Arial"/>
                <w:sz w:val="13"/>
                <w:szCs w:val="13"/>
                <w:color w:val="auto"/>
              </w:rPr>
              <w:t>—</w:t>
            </w:r>
          </w:p>
        </w:tc>
        <w:tc>
          <w:tcPr>
            <w:tcW w:w="1140" w:type="dxa"/>
            <w:vAlign w:val="bottom"/>
            <w:shd w:val="clear" w:color="auto" w:fill="EDEDEE"/>
          </w:tcPr>
          <w:p>
            <w:pPr>
              <w:jc w:val="right"/>
              <w:ind w:right="94"/>
              <w:spacing w:after="0" w:line="142" w:lineRule="exact"/>
              <w:rPr>
                <w:sz w:val="20"/>
                <w:szCs w:val="20"/>
                <w:color w:val="auto"/>
              </w:rPr>
            </w:pPr>
            <w:r>
              <w:rPr>
                <w:rFonts w:ascii="Arial" w:cs="Arial" w:eastAsia="Arial" w:hAnsi="Arial"/>
                <w:sz w:val="13"/>
                <w:szCs w:val="13"/>
                <w:color w:val="auto"/>
              </w:rPr>
              <w:t>344,625</w:t>
            </w:r>
          </w:p>
        </w:tc>
        <w:tc>
          <w:tcPr>
            <w:tcW w:w="920" w:type="dxa"/>
            <w:vAlign w:val="bottom"/>
            <w:shd w:val="clear" w:color="auto" w:fill="EDEDEE"/>
          </w:tcPr>
          <w:p>
            <w:pPr>
              <w:ind w:left="420"/>
              <w:spacing w:after="0" w:line="142" w:lineRule="exact"/>
              <w:rPr>
                <w:sz w:val="20"/>
                <w:szCs w:val="20"/>
                <w:color w:val="auto"/>
              </w:rPr>
            </w:pPr>
            <w:r>
              <w:rPr>
                <w:rFonts w:ascii="Arial" w:cs="Arial" w:eastAsia="Arial" w:hAnsi="Arial"/>
                <w:sz w:val="13"/>
                <w:szCs w:val="13"/>
                <w:color w:val="auto"/>
              </w:rPr>
              <w:t>—</w:t>
            </w:r>
          </w:p>
        </w:tc>
        <w:tc>
          <w:tcPr>
            <w:tcW w:w="660" w:type="dxa"/>
            <w:vAlign w:val="bottom"/>
            <w:shd w:val="clear" w:color="auto" w:fill="EDEDEE"/>
          </w:tcPr>
          <w:p>
            <w:pPr>
              <w:jc w:val="right"/>
              <w:spacing w:after="0" w:line="142" w:lineRule="exact"/>
              <w:rPr>
                <w:sz w:val="20"/>
                <w:szCs w:val="20"/>
                <w:color w:val="auto"/>
              </w:rPr>
            </w:pPr>
            <w:r>
              <w:rPr>
                <w:rFonts w:ascii="Arial" w:cs="Arial" w:eastAsia="Arial" w:hAnsi="Arial"/>
                <w:sz w:val="13"/>
                <w:szCs w:val="13"/>
                <w:color w:val="auto"/>
              </w:rPr>
              <w:t>22,502</w:t>
            </w:r>
          </w:p>
        </w:tc>
        <w:tc>
          <w:tcPr>
            <w:tcW w:w="740" w:type="dxa"/>
            <w:vAlign w:val="bottom"/>
            <w:shd w:val="clear" w:color="auto" w:fill="EDEDEE"/>
          </w:tcPr>
          <w:p>
            <w:pPr>
              <w:jc w:val="right"/>
              <w:spacing w:after="0" w:line="142" w:lineRule="exact"/>
              <w:rPr>
                <w:sz w:val="20"/>
                <w:szCs w:val="20"/>
                <w:color w:val="auto"/>
              </w:rPr>
            </w:pPr>
            <w:r>
              <w:rPr>
                <w:rFonts w:ascii="Arial" w:cs="Arial" w:eastAsia="Arial" w:hAnsi="Arial"/>
                <w:sz w:val="13"/>
                <w:szCs w:val="13"/>
                <w:color w:val="auto"/>
              </w:rPr>
              <w:t>2,032,823</w:t>
            </w:r>
          </w:p>
        </w:tc>
        <w:tc>
          <w:tcPr>
            <w:tcW w:w="40" w:type="dxa"/>
            <w:vAlign w:val="bottom"/>
            <w:shd w:val="clear" w:color="auto" w:fill="EDED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tcBorders>
              <w:bottom w:val="single" w:sz="8" w:color="auto"/>
            </w:tcBorders>
          </w:tcPr>
          <w:p>
            <w:pPr>
              <w:ind w:left="180"/>
              <w:spacing w:after="0"/>
              <w:rPr>
                <w:sz w:val="20"/>
                <w:szCs w:val="20"/>
                <w:color w:val="auto"/>
              </w:rPr>
            </w:pPr>
            <w:r>
              <w:rPr>
                <w:rFonts w:ascii="Arial" w:cs="Arial" w:eastAsia="Arial" w:hAnsi="Arial"/>
                <w:sz w:val="13"/>
                <w:szCs w:val="13"/>
                <w:color w:val="auto"/>
              </w:rPr>
              <w:t>Group President Recon</w:t>
            </w:r>
          </w:p>
        </w:tc>
        <w:tc>
          <w:tcPr>
            <w:tcW w:w="7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left="344" w:right="20" w:hanging="344"/>
        <w:spacing w:after="0" w:line="224" w:lineRule="auto"/>
        <w:tabs>
          <w:tab w:leader="none" w:pos="344" w:val="left"/>
        </w:tabs>
        <w:numPr>
          <w:ilvl w:val="0"/>
          <w:numId w:val="82"/>
        </w:numPr>
        <w:rPr>
          <w:rFonts w:ascii="Arial" w:cs="Arial" w:eastAsia="Arial" w:hAnsi="Arial"/>
          <w:sz w:val="14"/>
          <w:szCs w:val="14"/>
          <w:i w:val="1"/>
          <w:iCs w:val="1"/>
          <w:color w:val="auto"/>
        </w:rPr>
      </w:pPr>
      <w:r>
        <w:rPr>
          <w:rFonts w:ascii="Arial" w:cs="Arial" w:eastAsia="Arial" w:hAnsi="Arial"/>
          <w:sz w:val="14"/>
          <w:szCs w:val="14"/>
          <w:i w:val="1"/>
          <w:iCs w:val="1"/>
          <w:color w:val="auto"/>
        </w:rPr>
        <w:t>Unless otherwise indicated below, amounts represent the aggregate grant date fair value of grants made to each NEO, as computed in accordance with FASB ASC Topic 718. See Note 14 to our consolidated financial statements for the year ended December 31, 2025, included in our Annual Report on Form 10-K filed with the SEC on February 26, 2026. See “Long-Term Incentives” above on page 34. Assuming the maximum achievement of the performance goals applicable to the PRSUs, the grant date value of the PRSUs granted to the NEOs in 2025 would have been $7,043,089, $7,101,544, $1,820,895, $1,820,895, $1,365,690, $1,138,088 and $569,044 for Messrs. McDonald, Trerotola, Berry, Pryor, Ross, Vogt and Ms. Lang, respectively. Assuming the maximum achievement of the performance goals applicable to the PRSUs, the grant date value of the PRSUs granted to the NEOs in 2024 would have been $8,001,175, $2,051,539, $2,000,294,and $1,179,629 for Messrs. Trerotola, Berry, Pryor, and Ms. Lang, respectively.</w:t>
      </w:r>
    </w:p>
    <w:p>
      <w:pPr>
        <w:spacing w:after="0" w:line="203" w:lineRule="exact"/>
        <w:rPr>
          <w:rFonts w:ascii="Arial" w:cs="Arial" w:eastAsia="Arial" w:hAnsi="Arial"/>
          <w:sz w:val="14"/>
          <w:szCs w:val="14"/>
          <w:i w:val="1"/>
          <w:iCs w:val="1"/>
          <w:color w:val="auto"/>
        </w:rPr>
      </w:pPr>
    </w:p>
    <w:p>
      <w:pPr>
        <w:jc w:val="both"/>
        <w:ind w:left="344" w:right="20" w:hanging="344"/>
        <w:spacing w:after="0" w:line="231" w:lineRule="auto"/>
        <w:tabs>
          <w:tab w:leader="none" w:pos="344" w:val="left"/>
        </w:tabs>
        <w:numPr>
          <w:ilvl w:val="0"/>
          <w:numId w:val="82"/>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 the aggregate grant date fair value of grants made to each NEO, as computed in accordance with FASB ASC Topic 718. See Note 14 to our consolidated financial statements for the year ended December 31, 2025, included in our Annual Report on Form 10-K filed with the SEC on February 26, 2026. For 2023 grants, options were valued by the Black Scholes-based option value based on the closing price of our common stock on the date of grant. The exercise price for stock option awards equals the closing price of our common stock on the date of grant. See “Long-Term Incentives” above on page 34.</w:t>
      </w:r>
    </w:p>
    <w:p>
      <w:pPr>
        <w:spacing w:after="0" w:line="176" w:lineRule="exact"/>
        <w:rPr>
          <w:rFonts w:ascii="Arial" w:cs="Arial" w:eastAsia="Arial" w:hAnsi="Arial"/>
          <w:sz w:val="14"/>
          <w:szCs w:val="14"/>
          <w:i w:val="1"/>
          <w:iCs w:val="1"/>
          <w:color w:val="auto"/>
        </w:rPr>
      </w:pPr>
    </w:p>
    <w:p>
      <w:pPr>
        <w:jc w:val="both"/>
        <w:ind w:left="424" w:hanging="424"/>
        <w:spacing w:after="0" w:line="234" w:lineRule="auto"/>
        <w:tabs>
          <w:tab w:leader="none" w:pos="424" w:val="left"/>
        </w:tabs>
        <w:numPr>
          <w:ilvl w:val="0"/>
          <w:numId w:val="82"/>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 the payouts earned pursuant to our Annual Incentive Plan. For a discussion of the performance metrics on which the 2025 Annual Incentive Plan was based, including the weighting for each performance metric and the actual percentage achievement of the financial performance targets, see “Annual Incentive Plan” above on page 32.</w:t>
      </w:r>
    </w:p>
    <w:p>
      <w:pPr>
        <w:spacing w:after="0" w:line="177" w:lineRule="exact"/>
        <w:rPr>
          <w:rFonts w:ascii="Arial" w:cs="Arial" w:eastAsia="Arial" w:hAnsi="Arial"/>
          <w:sz w:val="14"/>
          <w:szCs w:val="14"/>
          <w:i w:val="1"/>
          <w:iCs w:val="1"/>
          <w:color w:val="auto"/>
        </w:rPr>
      </w:pPr>
    </w:p>
    <w:p>
      <w:pPr>
        <w:ind w:left="424" w:hanging="424"/>
        <w:spacing w:after="0"/>
        <w:tabs>
          <w:tab w:leader="none" w:pos="424" w:val="left"/>
        </w:tabs>
        <w:numPr>
          <w:ilvl w:val="0"/>
          <w:numId w:val="82"/>
        </w:numPr>
        <w:rPr>
          <w:rFonts w:ascii="Arial" w:cs="Arial" w:eastAsia="Arial" w:hAnsi="Arial"/>
          <w:sz w:val="14"/>
          <w:szCs w:val="14"/>
          <w:i w:val="1"/>
          <w:iCs w:val="1"/>
          <w:color w:val="auto"/>
        </w:rPr>
      </w:pPr>
      <w:r>
        <w:rPr>
          <w:rFonts w:ascii="Arial" w:cs="Arial" w:eastAsia="Arial" w:hAnsi="Arial"/>
          <w:sz w:val="14"/>
          <w:szCs w:val="14"/>
          <w:i w:val="1"/>
          <w:iCs w:val="1"/>
          <w:color w:val="auto"/>
        </w:rPr>
        <w:t>Amounts set forth in this column for 2025 consist of the following:</w:t>
      </w:r>
    </w:p>
    <w:p>
      <w:pPr>
        <w:spacing w:after="0" w:line="184" w:lineRule="exact"/>
        <w:rPr>
          <w:sz w:val="20"/>
          <w:szCs w:val="20"/>
          <w:color w:val="auto"/>
        </w:rPr>
      </w:pPr>
    </w:p>
    <w:p>
      <w:pPr>
        <w:ind w:left="7524"/>
        <w:spacing w:after="0"/>
        <w:tabs>
          <w:tab w:leader="none" w:pos="10804" w:val="left"/>
        </w:tabs>
        <w:rPr>
          <w:sz w:val="20"/>
          <w:szCs w:val="20"/>
          <w:color w:val="auto"/>
        </w:rPr>
      </w:pPr>
      <w:r>
        <w:rPr>
          <w:sz w:val="1"/>
          <w:szCs w:val="1"/>
          <w:color w:val="auto"/>
        </w:rPr>
        <w:drawing>
          <wp:inline distT="0" distB="0" distL="0" distR="0">
            <wp:extent cx="685800" cy="163195"/>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0" cy="163195"/>
                    </a:xfrm>
                    <a:prstGeom prst="rect">
                      <a:avLst/>
                    </a:prstGeom>
                    <a:noFill/>
                    <a:ln>
                      <a:noFill/>
                    </a:ln>
                  </pic:spPr>
                </pic:pic>
              </a:graphicData>
            </a:graphic>
          </wp:inline>
        </w:drawing>
      </w:r>
      <w:r>
        <w:rPr>
          <w:rFonts w:ascii="Arial" w:cs="Arial" w:eastAsia="Arial" w:hAnsi="Arial"/>
          <w:sz w:val="18"/>
          <w:szCs w:val="18"/>
          <w:color w:val="auto"/>
        </w:rPr>
        <w:t xml:space="preserve"> - 2026 Proxy Statement</w:t>
      </w:r>
      <w:r>
        <w:rPr>
          <w:sz w:val="20"/>
          <w:szCs w:val="20"/>
          <w:color w:val="auto"/>
        </w:rPr>
        <w:tab/>
      </w: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-186690</wp:posOffset>
            </wp:positionV>
            <wp:extent cx="6995160" cy="3346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5160" cy="334645"/>
                    </a:xfrm>
                    <a:prstGeom prst="rect">
                      <a:avLst/>
                    </a:prstGeom>
                    <a:noFill/>
                  </pic:spPr>
                </pic:pic>
              </a:graphicData>
            </a:graphic>
          </wp:anchor>
        </w:drawing>
      </w:r>
    </w:p>
    <w:p>
      <w:pPr>
        <w:sectPr>
          <w:pgSz w:w="11900" w:h="16838" w:orient="portrait"/>
          <w:cols w:equalWidth="0" w:num="1">
            <w:col w:w="11024"/>
          </w:cols>
          <w:pgMar w:left="436" w:top="588" w:right="439" w:bottom="1440" w:gutter="0" w:footer="0" w:header="0"/>
        </w:sectPr>
      </w:pPr>
    </w:p>
    <w:bookmarkStart w:id="47" w:name="page48"/>
    <w:bookmarkEnd w:id="47"/>
    <w:tbl>
      <w:tblPr>
        <w:tblLayout w:type="fixed"/>
        <w:tblInd w:w="4" w:type="dxa"/>
        <w:tblCellMar>
          <w:top w:w="0" w:type="dxa"/>
          <w:left w:w="0" w:type="dxa"/>
          <w:bottom w:w="0" w:type="dxa"/>
          <w:right w:w="0" w:type="dxa"/>
        </w:tblCellMar>
      </w:tblPr>
      <w:tr>
        <w:trPr>
          <w:trHeight w:val="184"/>
        </w:trPr>
        <w:tc>
          <w:tcPr>
            <w:tcW w:w="12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6"/>
                <w:szCs w:val="16"/>
                <w:b w:val="1"/>
                <w:bCs w:val="1"/>
                <w:color w:val="C8102E"/>
              </w:rPr>
              <w:t>Company</w:t>
            </w:r>
          </w:p>
        </w:tc>
        <w:tc>
          <w:tcPr>
            <w:tcW w:w="1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1680" w:type="dxa"/>
            <w:vAlign w:val="bottom"/>
          </w:tcPr>
          <w:p>
            <w:pPr>
              <w:jc w:val="right"/>
              <w:spacing w:after="0" w:line="162" w:lineRule="exact"/>
              <w:rPr>
                <w:sz w:val="20"/>
                <w:szCs w:val="20"/>
                <w:color w:val="auto"/>
              </w:rPr>
            </w:pPr>
            <w:r>
              <w:rPr>
                <w:rFonts w:ascii="Arial" w:cs="Arial" w:eastAsia="Arial" w:hAnsi="Arial"/>
                <w:sz w:val="16"/>
                <w:szCs w:val="16"/>
                <w:b w:val="1"/>
                <w:bCs w:val="1"/>
                <w:color w:val="C8102E"/>
              </w:rPr>
              <w:t>401(k)/Deferred</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b w:val="1"/>
                <w:bCs w:val="1"/>
                <w:color w:val="C8102E"/>
              </w:rPr>
              <w:t>Supplemental</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1680" w:type="dxa"/>
            <w:vAlign w:val="bottom"/>
          </w:tcPr>
          <w:p>
            <w:pPr>
              <w:jc w:val="right"/>
              <w:spacing w:after="0" w:line="162" w:lineRule="exact"/>
              <w:rPr>
                <w:sz w:val="20"/>
                <w:szCs w:val="20"/>
                <w:color w:val="auto"/>
              </w:rPr>
            </w:pPr>
            <w:r>
              <w:rPr>
                <w:rFonts w:ascii="Arial" w:cs="Arial" w:eastAsia="Arial" w:hAnsi="Arial"/>
                <w:sz w:val="16"/>
                <w:szCs w:val="16"/>
                <w:b w:val="1"/>
                <w:bCs w:val="1"/>
                <w:color w:val="C8102E"/>
              </w:rPr>
              <w:t>Compensation</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9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C8102E"/>
              </w:rPr>
              <w:t>Group</w:t>
            </w: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1680" w:type="dxa"/>
            <w:vAlign w:val="bottom"/>
          </w:tcPr>
          <w:p>
            <w:pPr>
              <w:jc w:val="right"/>
              <w:spacing w:after="0" w:line="162" w:lineRule="exact"/>
              <w:rPr>
                <w:sz w:val="20"/>
                <w:szCs w:val="20"/>
                <w:color w:val="auto"/>
              </w:rPr>
            </w:pPr>
            <w:r>
              <w:rPr>
                <w:rFonts w:ascii="Arial" w:cs="Arial" w:eastAsia="Arial" w:hAnsi="Arial"/>
                <w:sz w:val="16"/>
                <w:szCs w:val="16"/>
                <w:b w:val="1"/>
                <w:bCs w:val="1"/>
                <w:color w:val="C8102E"/>
              </w:rPr>
              <w:t>Plan</w:t>
            </w:r>
          </w:p>
        </w:tc>
        <w:tc>
          <w:tcPr>
            <w:tcW w:w="10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C8102E"/>
              </w:rPr>
              <w:t>Auto</w:t>
            </w:r>
          </w:p>
        </w:tc>
        <w:tc>
          <w:tcPr>
            <w:tcW w:w="9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C8102E"/>
              </w:rPr>
              <w:t>Financial</w:t>
            </w:r>
          </w:p>
        </w:tc>
        <w:tc>
          <w:tcPr>
            <w:tcW w:w="720" w:type="dxa"/>
            <w:vAlign w:val="bottom"/>
            <w:vMerge w:val="restart"/>
          </w:tcPr>
          <w:p>
            <w:pPr>
              <w:jc w:val="center"/>
              <w:spacing w:after="0"/>
              <w:rPr>
                <w:sz w:val="20"/>
                <w:szCs w:val="20"/>
                <w:color w:val="auto"/>
              </w:rPr>
            </w:pPr>
            <w:r>
              <w:rPr>
                <w:rFonts w:ascii="Arial" w:cs="Arial" w:eastAsia="Arial" w:hAnsi="Arial"/>
                <w:sz w:val="16"/>
                <w:szCs w:val="16"/>
                <w:b w:val="1"/>
                <w:bCs w:val="1"/>
                <w:color w:val="C8102E"/>
                <w:w w:val="98"/>
              </w:rPr>
              <w:t>Aircraft</w:t>
            </w:r>
          </w:p>
        </w:tc>
        <w:tc>
          <w:tcPr>
            <w:tcW w:w="1180" w:type="dxa"/>
            <w:vAlign w:val="bottom"/>
          </w:tcPr>
          <w:p>
            <w:pPr>
              <w:jc w:val="right"/>
              <w:spacing w:after="0" w:line="162" w:lineRule="exact"/>
              <w:rPr>
                <w:sz w:val="20"/>
                <w:szCs w:val="20"/>
                <w:color w:val="auto"/>
              </w:rPr>
            </w:pPr>
            <w:r>
              <w:rPr>
                <w:rFonts w:ascii="Arial" w:cs="Arial" w:eastAsia="Arial" w:hAnsi="Arial"/>
                <w:sz w:val="16"/>
                <w:szCs w:val="16"/>
                <w:b w:val="1"/>
                <w:bCs w:val="1"/>
                <w:color w:val="C8102E"/>
              </w:rPr>
              <w:t>Long-Term</w:t>
            </w:r>
          </w:p>
        </w:tc>
        <w:tc>
          <w:tcPr>
            <w:tcW w:w="96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C8102E"/>
              </w:rPr>
              <w:t>Executive</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1680" w:type="dxa"/>
            <w:vAlign w:val="bottom"/>
          </w:tcPr>
          <w:p>
            <w:pPr>
              <w:jc w:val="right"/>
              <w:spacing w:after="0" w:line="162" w:lineRule="exact"/>
              <w:rPr>
                <w:sz w:val="20"/>
                <w:szCs w:val="20"/>
                <w:color w:val="auto"/>
              </w:rPr>
            </w:pPr>
            <w:r>
              <w:rPr>
                <w:rFonts w:ascii="Arial" w:cs="Arial" w:eastAsia="Arial" w:hAnsi="Arial"/>
                <w:sz w:val="16"/>
                <w:szCs w:val="16"/>
                <w:b w:val="1"/>
                <w:bCs w:val="1"/>
                <w:color w:val="C8102E"/>
              </w:rPr>
              <w:t>Match and</w:t>
            </w:r>
          </w:p>
        </w:tc>
        <w:tc>
          <w:tcPr>
            <w:tcW w:w="106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Arial" w:cs="Arial" w:eastAsia="Arial" w:hAnsi="Arial"/>
                <w:sz w:val="16"/>
                <w:szCs w:val="16"/>
                <w:b w:val="1"/>
                <w:bCs w:val="1"/>
                <w:color w:val="C8102E"/>
              </w:rPr>
              <w:t>Disability</w:t>
            </w:r>
          </w:p>
        </w:tc>
        <w:tc>
          <w:tcPr>
            <w:tcW w:w="960" w:type="dxa"/>
            <w:vAlign w:val="bottom"/>
          </w:tcPr>
          <w:p>
            <w:pPr>
              <w:jc w:val="right"/>
              <w:ind w:right="59"/>
              <w:spacing w:after="0" w:line="162" w:lineRule="exact"/>
              <w:rPr>
                <w:sz w:val="20"/>
                <w:szCs w:val="20"/>
                <w:color w:val="auto"/>
              </w:rPr>
            </w:pPr>
            <w:r>
              <w:rPr>
                <w:rFonts w:ascii="Arial" w:cs="Arial" w:eastAsia="Arial" w:hAnsi="Arial"/>
                <w:sz w:val="16"/>
                <w:szCs w:val="16"/>
                <w:b w:val="1"/>
                <w:bCs w:val="1"/>
                <w:color w:val="C8102E"/>
              </w:rPr>
              <w:t>Term Life</w:t>
            </w:r>
          </w:p>
        </w:tc>
        <w:tc>
          <w:tcPr>
            <w:tcW w:w="9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200" w:type="dxa"/>
            <w:vAlign w:val="bottom"/>
          </w:tcPr>
          <w:p>
            <w:pPr>
              <w:spacing w:after="0"/>
              <w:rPr>
                <w:sz w:val="16"/>
                <w:szCs w:val="16"/>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b w:val="1"/>
                <w:bCs w:val="1"/>
                <w:color w:val="C8102E"/>
              </w:rPr>
              <w:t>Contribution</w:t>
            </w:r>
          </w:p>
        </w:tc>
        <w:tc>
          <w:tcPr>
            <w:tcW w:w="1060" w:type="dxa"/>
            <w:vAlign w:val="bottom"/>
          </w:tcPr>
          <w:p>
            <w:pPr>
              <w:jc w:val="right"/>
              <w:ind w:right="119"/>
              <w:spacing w:after="0"/>
              <w:rPr>
                <w:sz w:val="20"/>
                <w:szCs w:val="20"/>
                <w:color w:val="auto"/>
              </w:rPr>
            </w:pPr>
            <w:r>
              <w:rPr>
                <w:rFonts w:ascii="Arial" w:cs="Arial" w:eastAsia="Arial" w:hAnsi="Arial"/>
                <w:sz w:val="16"/>
                <w:szCs w:val="16"/>
                <w:b w:val="1"/>
                <w:bCs w:val="1"/>
                <w:color w:val="C8102E"/>
              </w:rPr>
              <w:t>Allowance</w:t>
            </w:r>
          </w:p>
        </w:tc>
        <w:tc>
          <w:tcPr>
            <w:tcW w:w="1760" w:type="dxa"/>
            <w:vAlign w:val="bottom"/>
            <w:gridSpan w:val="2"/>
          </w:tcPr>
          <w:p>
            <w:pPr>
              <w:jc w:val="right"/>
              <w:spacing w:after="0" w:line="189" w:lineRule="exact"/>
              <w:rPr>
                <w:sz w:val="20"/>
                <w:szCs w:val="20"/>
                <w:color w:val="auto"/>
              </w:rPr>
            </w:pPr>
            <w:r>
              <w:rPr>
                <w:rFonts w:ascii="Arial" w:cs="Arial" w:eastAsia="Arial" w:hAnsi="Arial"/>
                <w:sz w:val="21"/>
                <w:szCs w:val="21"/>
                <w:b w:val="1"/>
                <w:bCs w:val="1"/>
                <w:color w:val="C8102E"/>
                <w:vertAlign w:val="subscript"/>
              </w:rPr>
              <w:t>Legal</w:t>
            </w:r>
            <w:r>
              <w:rPr>
                <w:rFonts w:ascii="Arial" w:cs="Arial" w:eastAsia="Arial" w:hAnsi="Arial"/>
                <w:sz w:val="12"/>
                <w:szCs w:val="12"/>
                <w:b w:val="1"/>
                <w:bCs w:val="1"/>
                <w:color w:val="C8102E"/>
              </w:rPr>
              <w:t xml:space="preserve"> Services</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C8102E"/>
              </w:rPr>
              <w:t>Usage</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C8102E"/>
              </w:rPr>
              <w:t>Premiums</w:t>
            </w:r>
          </w:p>
        </w:tc>
        <w:tc>
          <w:tcPr>
            <w:tcW w:w="960" w:type="dxa"/>
            <w:vAlign w:val="bottom"/>
          </w:tcPr>
          <w:p>
            <w:pPr>
              <w:jc w:val="right"/>
              <w:ind w:right="59"/>
              <w:spacing w:after="0"/>
              <w:rPr>
                <w:sz w:val="20"/>
                <w:szCs w:val="20"/>
                <w:color w:val="auto"/>
              </w:rPr>
            </w:pPr>
            <w:r>
              <w:rPr>
                <w:rFonts w:ascii="Arial" w:cs="Arial" w:eastAsia="Arial" w:hAnsi="Arial"/>
                <w:sz w:val="16"/>
                <w:szCs w:val="16"/>
                <w:b w:val="1"/>
                <w:bCs w:val="1"/>
                <w:color w:val="C8102E"/>
              </w:rPr>
              <w:t>Insurance</w:t>
            </w:r>
          </w:p>
        </w:tc>
        <w:tc>
          <w:tcPr>
            <w:tcW w:w="9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C8102E"/>
              </w:rPr>
              <w:t>Physical</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C8102E"/>
              </w:rPr>
              <w:t>Total</w:t>
            </w:r>
          </w:p>
        </w:tc>
        <w:tc>
          <w:tcPr>
            <w:tcW w:w="0" w:type="dxa"/>
            <w:vAlign w:val="bottom"/>
          </w:tcPr>
          <w:p>
            <w:pPr>
              <w:spacing w:after="0"/>
              <w:rPr>
                <w:sz w:val="1"/>
                <w:szCs w:val="1"/>
                <w:color w:val="auto"/>
              </w:rPr>
            </w:pPr>
          </w:p>
        </w:tc>
      </w:tr>
      <w:tr>
        <w:trPr>
          <w:trHeight w:val="217"/>
        </w:trPr>
        <w:tc>
          <w:tcPr>
            <w:tcW w:w="1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C8102E"/>
              </w:rPr>
              <w:t>  Name</w:t>
            </w:r>
          </w:p>
        </w:tc>
        <w:tc>
          <w:tcPr>
            <w:tcW w:w="16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6"/>
                <w:szCs w:val="16"/>
                <w:b w:val="1"/>
                <w:bCs w:val="1"/>
                <w:color w:val="C8102E"/>
              </w:rPr>
              <w:t>($)</w:t>
            </w:r>
            <w:r>
              <w:rPr>
                <w:rFonts w:ascii="Arial" w:cs="Arial" w:eastAsia="Arial" w:hAnsi="Arial"/>
                <w:sz w:val="25"/>
                <w:szCs w:val="25"/>
                <w:b w:val="1"/>
                <w:bCs w:val="1"/>
                <w:color w:val="C8102E"/>
                <w:vertAlign w:val="superscript"/>
              </w:rPr>
              <w:t>(a)</w:t>
            </w:r>
          </w:p>
        </w:tc>
        <w:tc>
          <w:tcPr>
            <w:tcW w:w="1060" w:type="dxa"/>
            <w:vAlign w:val="bottom"/>
            <w:tcBorders>
              <w:bottom w:val="single" w:sz="8" w:color="auto"/>
            </w:tcBorders>
          </w:tcPr>
          <w:p>
            <w:pPr>
              <w:jc w:val="right"/>
              <w:ind w:right="119"/>
              <w:spacing w:after="0" w:line="216" w:lineRule="exact"/>
              <w:rPr>
                <w:sz w:val="20"/>
                <w:szCs w:val="20"/>
                <w:color w:val="auto"/>
              </w:rPr>
            </w:pPr>
            <w:r>
              <w:rPr>
                <w:rFonts w:ascii="Arial" w:cs="Arial" w:eastAsia="Arial" w:hAnsi="Arial"/>
                <w:sz w:val="16"/>
                <w:szCs w:val="16"/>
                <w:b w:val="1"/>
                <w:bCs w:val="1"/>
                <w:color w:val="C8102E"/>
              </w:rPr>
              <w:t>($)</w:t>
            </w:r>
            <w:r>
              <w:rPr>
                <w:rFonts w:ascii="Arial" w:cs="Arial" w:eastAsia="Arial" w:hAnsi="Arial"/>
                <w:sz w:val="25"/>
                <w:szCs w:val="25"/>
                <w:b w:val="1"/>
                <w:bCs w:val="1"/>
                <w:color w:val="C8102E"/>
                <w:vertAlign w:val="superscript"/>
              </w:rPr>
              <w:t>(b)</w:t>
            </w:r>
          </w:p>
        </w:tc>
        <w:tc>
          <w:tcPr>
            <w:tcW w:w="96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C8102E"/>
                <w:w w:val="97"/>
              </w:rPr>
              <w:t>Services</w:t>
            </w:r>
          </w:p>
        </w:tc>
        <w:tc>
          <w:tcPr>
            <w:tcW w:w="8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6"/>
                <w:szCs w:val="16"/>
                <w:b w:val="1"/>
                <w:bCs w:val="1"/>
                <w:color w:val="C8102E"/>
              </w:rPr>
              <w:t>($)</w:t>
            </w:r>
            <w:r>
              <w:rPr>
                <w:rFonts w:ascii="Arial" w:cs="Arial" w:eastAsia="Arial" w:hAnsi="Arial"/>
                <w:sz w:val="25"/>
                <w:szCs w:val="25"/>
                <w:b w:val="1"/>
                <w:bCs w:val="1"/>
                <w:color w:val="C8102E"/>
                <w:vertAlign w:val="superscript"/>
              </w:rPr>
              <w:t>(c)</w:t>
            </w:r>
          </w:p>
        </w:tc>
        <w:tc>
          <w:tcPr>
            <w:tcW w:w="72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6"/>
                <w:szCs w:val="16"/>
                <w:b w:val="1"/>
                <w:bCs w:val="1"/>
                <w:color w:val="C8102E"/>
              </w:rPr>
              <w:t>($)</w:t>
            </w:r>
            <w:r>
              <w:rPr>
                <w:rFonts w:ascii="Arial" w:cs="Arial" w:eastAsia="Arial" w:hAnsi="Arial"/>
                <w:sz w:val="25"/>
                <w:szCs w:val="25"/>
                <w:b w:val="1"/>
                <w:bCs w:val="1"/>
                <w:color w:val="C8102E"/>
                <w:vertAlign w:val="superscript"/>
              </w:rPr>
              <w:t>(d)</w:t>
            </w:r>
          </w:p>
        </w:tc>
        <w:tc>
          <w:tcPr>
            <w:tcW w:w="11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6"/>
                <w:szCs w:val="16"/>
                <w:b w:val="1"/>
                <w:bCs w:val="1"/>
                <w:color w:val="C8102E"/>
              </w:rPr>
              <w:t>($)</w:t>
            </w:r>
            <w:r>
              <w:rPr>
                <w:rFonts w:ascii="Arial" w:cs="Arial" w:eastAsia="Arial" w:hAnsi="Arial"/>
                <w:sz w:val="25"/>
                <w:szCs w:val="25"/>
                <w:b w:val="1"/>
                <w:bCs w:val="1"/>
                <w:color w:val="C8102E"/>
                <w:vertAlign w:val="superscript"/>
              </w:rPr>
              <w:t>(e)</w:t>
            </w:r>
          </w:p>
        </w:tc>
        <w:tc>
          <w:tcPr>
            <w:tcW w:w="1920" w:type="dxa"/>
            <w:vAlign w:val="bottom"/>
            <w:tcBorders>
              <w:bottom w:val="single" w:sz="8" w:color="auto"/>
            </w:tcBorders>
            <w:gridSpan w:val="2"/>
          </w:tcPr>
          <w:p>
            <w:pPr>
              <w:ind w:left="480"/>
              <w:spacing w:after="0" w:line="216" w:lineRule="exact"/>
              <w:rPr>
                <w:sz w:val="20"/>
                <w:szCs w:val="20"/>
                <w:color w:val="auto"/>
              </w:rPr>
            </w:pPr>
            <w:r>
              <w:rPr>
                <w:rFonts w:ascii="Arial" w:cs="Arial" w:eastAsia="Arial" w:hAnsi="Arial"/>
                <w:sz w:val="16"/>
                <w:szCs w:val="16"/>
                <w:b w:val="1"/>
                <w:bCs w:val="1"/>
                <w:color w:val="C8102E"/>
                <w:w w:val="98"/>
              </w:rPr>
              <w:t>($)</w:t>
            </w:r>
            <w:r>
              <w:rPr>
                <w:rFonts w:ascii="Arial" w:cs="Arial" w:eastAsia="Arial" w:hAnsi="Arial"/>
                <w:sz w:val="25"/>
                <w:szCs w:val="25"/>
                <w:b w:val="1"/>
                <w:bCs w:val="1"/>
                <w:color w:val="C8102E"/>
                <w:w w:val="98"/>
                <w:vertAlign w:val="superscript"/>
              </w:rPr>
              <w:t>(f)</w:t>
            </w:r>
            <w:r>
              <w:rPr>
                <w:rFonts w:ascii="Arial" w:cs="Arial" w:eastAsia="Arial" w:hAnsi="Arial"/>
                <w:sz w:val="16"/>
                <w:szCs w:val="16"/>
                <w:b w:val="1"/>
                <w:bCs w:val="1"/>
                <w:color w:val="C8102E"/>
                <w:w w:val="98"/>
              </w:rPr>
              <w:t xml:space="preserve"> Relocation</w:t>
            </w:r>
            <w:r>
              <w:rPr>
                <w:rFonts w:ascii="Arial" w:cs="Arial" w:eastAsia="Arial" w:hAnsi="Arial"/>
                <w:sz w:val="25"/>
                <w:szCs w:val="25"/>
                <w:b w:val="1"/>
                <w:bCs w:val="1"/>
                <w:color w:val="C8102E"/>
                <w:w w:val="98"/>
                <w:vertAlign w:val="superscript"/>
              </w:rPr>
              <w:t>(g)</w:t>
            </w:r>
          </w:p>
        </w:tc>
        <w:tc>
          <w:tcPr>
            <w:tcW w:w="8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6"/>
                <w:szCs w:val="16"/>
                <w:b w:val="1"/>
                <w:bCs w:val="1"/>
                <w:color w:val="C8102E"/>
              </w:rPr>
              <w:t>($)</w:t>
            </w:r>
            <w:r>
              <w:rPr>
                <w:rFonts w:ascii="Arial" w:cs="Arial" w:eastAsia="Arial" w:hAnsi="Arial"/>
                <w:sz w:val="25"/>
                <w:szCs w:val="25"/>
                <w:b w:val="1"/>
                <w:bCs w:val="1"/>
                <w:color w:val="C8102E"/>
                <w:vertAlign w:val="superscript"/>
              </w:rPr>
              <w:t>(h)</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C8102E"/>
              </w:rPr>
              <w:t>($)</w:t>
            </w:r>
          </w:p>
        </w:tc>
        <w:tc>
          <w:tcPr>
            <w:tcW w:w="60" w:type="dxa"/>
            <w:vAlign w:val="bottom"/>
            <w:tcBorders>
              <w:bottom w:val="single" w:sz="8" w:color="EDEDEE"/>
            </w:tcBorders>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1200" w:type="dxa"/>
            <w:vAlign w:val="bottom"/>
            <w:shd w:val="clear" w:color="auto" w:fill="EDEDEE"/>
          </w:tcPr>
          <w:p>
            <w:pPr>
              <w:spacing w:after="0" w:line="129" w:lineRule="exact"/>
              <w:rPr>
                <w:sz w:val="20"/>
                <w:szCs w:val="20"/>
                <w:color w:val="auto"/>
              </w:rPr>
            </w:pPr>
            <w:r>
              <w:rPr>
                <w:rFonts w:ascii="Arial" w:cs="Arial" w:eastAsia="Arial" w:hAnsi="Arial"/>
                <w:sz w:val="14"/>
                <w:szCs w:val="14"/>
                <w:color w:val="auto"/>
              </w:rPr>
              <w:t>  Mr.  </w:t>
            </w:r>
          </w:p>
        </w:tc>
        <w:tc>
          <w:tcPr>
            <w:tcW w:w="1680" w:type="dxa"/>
            <w:vAlign w:val="bottom"/>
            <w:vMerge w:val="restart"/>
            <w:shd w:val="clear" w:color="auto" w:fill="EDEDEE"/>
          </w:tcPr>
          <w:p>
            <w:pPr>
              <w:jc w:val="right"/>
              <w:spacing w:after="0"/>
              <w:rPr>
                <w:sz w:val="20"/>
                <w:szCs w:val="20"/>
                <w:color w:val="auto"/>
              </w:rPr>
            </w:pPr>
            <w:r>
              <w:rPr>
                <w:rFonts w:ascii="Arial" w:cs="Arial" w:eastAsia="Arial" w:hAnsi="Arial"/>
                <w:sz w:val="16"/>
                <w:szCs w:val="16"/>
                <w:color w:val="auto"/>
              </w:rPr>
              <w:t>11,692</w:t>
            </w:r>
          </w:p>
        </w:tc>
        <w:tc>
          <w:tcPr>
            <w:tcW w:w="1060" w:type="dxa"/>
            <w:vAlign w:val="bottom"/>
            <w:vMerge w:val="restart"/>
            <w:shd w:val="clear" w:color="auto" w:fill="EDEDEE"/>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shd w:val="clear" w:color="auto" w:fill="EDEDEE"/>
          </w:tcPr>
          <w:p>
            <w:pPr>
              <w:jc w:val="center"/>
              <w:ind w:right="21"/>
              <w:spacing w:after="0"/>
              <w:rPr>
                <w:sz w:val="20"/>
                <w:szCs w:val="20"/>
                <w:color w:val="auto"/>
              </w:rPr>
            </w:pPr>
            <w:r>
              <w:rPr>
                <w:rFonts w:ascii="Arial" w:cs="Arial" w:eastAsia="Arial" w:hAnsi="Arial"/>
                <w:sz w:val="16"/>
                <w:szCs w:val="16"/>
                <w:color w:val="auto"/>
              </w:rPr>
              <w:t>20,000</w:t>
            </w:r>
          </w:p>
        </w:tc>
        <w:tc>
          <w:tcPr>
            <w:tcW w:w="800" w:type="dxa"/>
            <w:vAlign w:val="bottom"/>
            <w:vMerge w:val="restart"/>
            <w:shd w:val="clear" w:color="auto" w:fill="EDEDEE"/>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shd w:val="clear" w:color="auto" w:fill="EDEDEE"/>
          </w:tcPr>
          <w:p>
            <w:pPr>
              <w:jc w:val="center"/>
              <w:spacing w:after="0"/>
              <w:rPr>
                <w:sz w:val="20"/>
                <w:szCs w:val="20"/>
                <w:color w:val="auto"/>
              </w:rPr>
            </w:pPr>
            <w:r>
              <w:rPr>
                <w:rFonts w:ascii="Arial" w:cs="Arial" w:eastAsia="Arial" w:hAnsi="Arial"/>
                <w:sz w:val="16"/>
                <w:szCs w:val="16"/>
                <w:color w:val="auto"/>
              </w:rPr>
              <w:t>151,399</w:t>
            </w:r>
          </w:p>
        </w:tc>
        <w:tc>
          <w:tcPr>
            <w:tcW w:w="1180" w:type="dxa"/>
            <w:vAlign w:val="bottom"/>
            <w:vMerge w:val="restart"/>
            <w:shd w:val="clear" w:color="auto" w:fill="EDEDEE"/>
          </w:tcPr>
          <w:p>
            <w:pPr>
              <w:jc w:val="right"/>
              <w:spacing w:after="0"/>
              <w:rPr>
                <w:sz w:val="20"/>
                <w:szCs w:val="20"/>
                <w:color w:val="auto"/>
              </w:rPr>
            </w:pPr>
            <w:r>
              <w:rPr>
                <w:rFonts w:ascii="Arial" w:cs="Arial" w:eastAsia="Arial" w:hAnsi="Arial"/>
                <w:sz w:val="16"/>
                <w:szCs w:val="16"/>
                <w:color w:val="auto"/>
              </w:rPr>
              <w:t>5,090</w:t>
            </w:r>
          </w:p>
        </w:tc>
        <w:tc>
          <w:tcPr>
            <w:tcW w:w="960" w:type="dxa"/>
            <w:vAlign w:val="bottom"/>
            <w:vMerge w:val="restart"/>
            <w:shd w:val="clear" w:color="auto" w:fill="EDEDEE"/>
          </w:tcPr>
          <w:p>
            <w:pPr>
              <w:jc w:val="right"/>
              <w:ind w:right="59"/>
              <w:spacing w:after="0"/>
              <w:rPr>
                <w:sz w:val="20"/>
                <w:szCs w:val="20"/>
                <w:color w:val="auto"/>
              </w:rPr>
            </w:pPr>
            <w:r>
              <w:rPr>
                <w:rFonts w:ascii="Arial" w:cs="Arial" w:eastAsia="Arial" w:hAnsi="Arial"/>
                <w:sz w:val="16"/>
                <w:szCs w:val="16"/>
                <w:color w:val="auto"/>
              </w:rPr>
              <w:t>729</w:t>
            </w:r>
          </w:p>
        </w:tc>
        <w:tc>
          <w:tcPr>
            <w:tcW w:w="960" w:type="dxa"/>
            <w:vAlign w:val="bottom"/>
            <w:vMerge w:val="restart"/>
            <w:shd w:val="clear" w:color="auto" w:fill="EDEDEE"/>
          </w:tcPr>
          <w:p>
            <w:pPr>
              <w:jc w:val="center"/>
              <w:ind w:right="39"/>
              <w:spacing w:after="0"/>
              <w:rPr>
                <w:sz w:val="20"/>
                <w:szCs w:val="20"/>
                <w:color w:val="auto"/>
              </w:rPr>
            </w:pPr>
            <w:r>
              <w:rPr>
                <w:rFonts w:ascii="Arial" w:cs="Arial" w:eastAsia="Arial" w:hAnsi="Arial"/>
                <w:sz w:val="16"/>
                <w:szCs w:val="16"/>
                <w:color w:val="auto"/>
              </w:rPr>
              <w:t>343,242</w:t>
            </w:r>
          </w:p>
        </w:tc>
        <w:tc>
          <w:tcPr>
            <w:tcW w:w="800" w:type="dxa"/>
            <w:vAlign w:val="bottom"/>
            <w:vMerge w:val="restart"/>
            <w:shd w:val="clear" w:color="auto" w:fill="EDEDEE"/>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vMerge w:val="restart"/>
            <w:shd w:val="clear" w:color="auto" w:fill="EDEDEE"/>
          </w:tcPr>
          <w:p>
            <w:pPr>
              <w:jc w:val="right"/>
              <w:ind w:right="60"/>
              <w:spacing w:after="0"/>
              <w:rPr>
                <w:sz w:val="20"/>
                <w:szCs w:val="20"/>
                <w:color w:val="auto"/>
              </w:rPr>
            </w:pPr>
            <w:r>
              <w:rPr>
                <w:rFonts w:ascii="Arial" w:cs="Arial" w:eastAsia="Arial" w:hAnsi="Arial"/>
                <w:sz w:val="16"/>
                <w:szCs w:val="16"/>
                <w:color w:val="auto"/>
              </w:rPr>
              <w:t>532,152</w:t>
            </w:r>
          </w:p>
        </w:tc>
        <w:tc>
          <w:tcPr>
            <w:tcW w:w="0" w:type="dxa"/>
            <w:vAlign w:val="bottom"/>
          </w:tcPr>
          <w:p>
            <w:pPr>
              <w:spacing w:after="0"/>
              <w:rPr>
                <w:sz w:val="1"/>
                <w:szCs w:val="1"/>
                <w:color w:val="auto"/>
              </w:rPr>
            </w:pPr>
          </w:p>
        </w:tc>
      </w:tr>
      <w:tr>
        <w:trPr>
          <w:trHeight w:val="189"/>
        </w:trPr>
        <w:tc>
          <w:tcPr>
            <w:tcW w:w="1200" w:type="dxa"/>
            <w:vAlign w:val="bottom"/>
            <w:shd w:val="clear" w:color="auto" w:fill="EDEDEE"/>
          </w:tcPr>
          <w:p>
            <w:pPr>
              <w:spacing w:after="0"/>
              <w:rPr>
                <w:sz w:val="20"/>
                <w:szCs w:val="20"/>
                <w:color w:val="auto"/>
              </w:rPr>
            </w:pPr>
            <w:r>
              <w:rPr>
                <w:rFonts w:ascii="Arial" w:cs="Arial" w:eastAsia="Arial" w:hAnsi="Arial"/>
                <w:sz w:val="16"/>
                <w:szCs w:val="16"/>
                <w:color w:val="auto"/>
              </w:rPr>
              <w:t>McDonald</w:t>
            </w:r>
          </w:p>
        </w:tc>
        <w:tc>
          <w:tcPr>
            <w:tcW w:w="1680" w:type="dxa"/>
            <w:vAlign w:val="bottom"/>
            <w:vMerge w:val="continue"/>
            <w:shd w:val="clear" w:color="auto" w:fill="EDEDEE"/>
          </w:tcPr>
          <w:p>
            <w:pPr>
              <w:spacing w:after="0"/>
              <w:rPr>
                <w:sz w:val="16"/>
                <w:szCs w:val="16"/>
                <w:color w:val="auto"/>
              </w:rPr>
            </w:pPr>
          </w:p>
        </w:tc>
        <w:tc>
          <w:tcPr>
            <w:tcW w:w="1060" w:type="dxa"/>
            <w:vAlign w:val="bottom"/>
            <w:vMerge w:val="continue"/>
            <w:shd w:val="clear" w:color="auto" w:fill="EDEDEE"/>
          </w:tcPr>
          <w:p>
            <w:pPr>
              <w:spacing w:after="0"/>
              <w:rPr>
                <w:sz w:val="16"/>
                <w:szCs w:val="16"/>
                <w:color w:val="auto"/>
              </w:rPr>
            </w:pPr>
          </w:p>
        </w:tc>
        <w:tc>
          <w:tcPr>
            <w:tcW w:w="960" w:type="dxa"/>
            <w:vAlign w:val="bottom"/>
            <w:vMerge w:val="continue"/>
            <w:shd w:val="clear" w:color="auto" w:fill="EDEDEE"/>
          </w:tcPr>
          <w:p>
            <w:pPr>
              <w:spacing w:after="0"/>
              <w:rPr>
                <w:sz w:val="16"/>
                <w:szCs w:val="16"/>
                <w:color w:val="auto"/>
              </w:rPr>
            </w:pPr>
          </w:p>
        </w:tc>
        <w:tc>
          <w:tcPr>
            <w:tcW w:w="800" w:type="dxa"/>
            <w:vAlign w:val="bottom"/>
            <w:vMerge w:val="continue"/>
            <w:shd w:val="clear" w:color="auto" w:fill="EDEDEE"/>
          </w:tcPr>
          <w:p>
            <w:pPr>
              <w:spacing w:after="0"/>
              <w:rPr>
                <w:sz w:val="16"/>
                <w:szCs w:val="16"/>
                <w:color w:val="auto"/>
              </w:rPr>
            </w:pPr>
          </w:p>
        </w:tc>
        <w:tc>
          <w:tcPr>
            <w:tcW w:w="720" w:type="dxa"/>
            <w:vAlign w:val="bottom"/>
            <w:vMerge w:val="continue"/>
            <w:shd w:val="clear" w:color="auto" w:fill="EDEDEE"/>
          </w:tcPr>
          <w:p>
            <w:pPr>
              <w:spacing w:after="0"/>
              <w:rPr>
                <w:sz w:val="16"/>
                <w:szCs w:val="16"/>
                <w:color w:val="auto"/>
              </w:rPr>
            </w:pPr>
          </w:p>
        </w:tc>
        <w:tc>
          <w:tcPr>
            <w:tcW w:w="1180" w:type="dxa"/>
            <w:vAlign w:val="bottom"/>
            <w:vMerge w:val="continue"/>
            <w:shd w:val="clear" w:color="auto" w:fill="EDEDEE"/>
          </w:tcPr>
          <w:p>
            <w:pPr>
              <w:spacing w:after="0"/>
              <w:rPr>
                <w:sz w:val="16"/>
                <w:szCs w:val="16"/>
                <w:color w:val="auto"/>
              </w:rPr>
            </w:pPr>
          </w:p>
        </w:tc>
        <w:tc>
          <w:tcPr>
            <w:tcW w:w="960" w:type="dxa"/>
            <w:vAlign w:val="bottom"/>
            <w:vMerge w:val="continue"/>
            <w:shd w:val="clear" w:color="auto" w:fill="EDEDEE"/>
          </w:tcPr>
          <w:p>
            <w:pPr>
              <w:spacing w:after="0"/>
              <w:rPr>
                <w:sz w:val="16"/>
                <w:szCs w:val="16"/>
                <w:color w:val="auto"/>
              </w:rPr>
            </w:pPr>
          </w:p>
        </w:tc>
        <w:tc>
          <w:tcPr>
            <w:tcW w:w="960" w:type="dxa"/>
            <w:vAlign w:val="bottom"/>
            <w:vMerge w:val="continue"/>
            <w:shd w:val="clear" w:color="auto" w:fill="EDEDEE"/>
          </w:tcPr>
          <w:p>
            <w:pPr>
              <w:spacing w:after="0"/>
              <w:rPr>
                <w:sz w:val="16"/>
                <w:szCs w:val="16"/>
                <w:color w:val="auto"/>
              </w:rPr>
            </w:pPr>
          </w:p>
        </w:tc>
        <w:tc>
          <w:tcPr>
            <w:tcW w:w="800" w:type="dxa"/>
            <w:vAlign w:val="bottom"/>
            <w:vMerge w:val="continue"/>
            <w:shd w:val="clear" w:color="auto" w:fill="EDEDEE"/>
          </w:tcPr>
          <w:p>
            <w:pPr>
              <w:spacing w:after="0"/>
              <w:rPr>
                <w:sz w:val="16"/>
                <w:szCs w:val="16"/>
                <w:color w:val="auto"/>
              </w:rPr>
            </w:pPr>
          </w:p>
        </w:tc>
        <w:tc>
          <w:tcPr>
            <w:tcW w:w="700" w:type="dxa"/>
            <w:vAlign w:val="bottom"/>
            <w:gridSpan w:val="2"/>
            <w:vMerge w:val="continue"/>
            <w:shd w:val="clear" w:color="auto" w:fill="EDEDE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line="135" w:lineRule="exact"/>
              <w:rPr>
                <w:sz w:val="20"/>
                <w:szCs w:val="20"/>
                <w:color w:val="auto"/>
              </w:rPr>
            </w:pPr>
            <w:r>
              <w:rPr>
                <w:rFonts w:ascii="Arial" w:cs="Arial" w:eastAsia="Arial" w:hAnsi="Arial"/>
                <w:sz w:val="15"/>
                <w:szCs w:val="15"/>
                <w:color w:val="auto"/>
              </w:rPr>
              <w:t>  Mr.  </w:t>
            </w: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121,722</w:t>
            </w:r>
          </w:p>
        </w:tc>
        <w:tc>
          <w:tcPr>
            <w:tcW w:w="1060" w:type="dxa"/>
            <w:vAlign w:val="bottom"/>
            <w:vMerge w:val="restart"/>
          </w:tcPr>
          <w:p>
            <w:pPr>
              <w:ind w:left="380"/>
              <w:spacing w:after="0"/>
              <w:rPr>
                <w:sz w:val="20"/>
                <w:szCs w:val="20"/>
                <w:color w:val="auto"/>
              </w:rPr>
            </w:pPr>
            <w:r>
              <w:rPr>
                <w:rFonts w:ascii="Arial" w:cs="Arial" w:eastAsia="Arial" w:hAnsi="Arial"/>
                <w:sz w:val="16"/>
                <w:szCs w:val="16"/>
                <w:color w:val="auto"/>
              </w:rPr>
              <w:t>20,000</w:t>
            </w:r>
          </w:p>
        </w:tc>
        <w:tc>
          <w:tcPr>
            <w:tcW w:w="960" w:type="dxa"/>
            <w:vAlign w:val="bottom"/>
            <w:vMerge w:val="restart"/>
          </w:tcPr>
          <w:p>
            <w:pPr>
              <w:jc w:val="center"/>
              <w:ind w:right="1"/>
              <w:spacing w:after="0"/>
              <w:rPr>
                <w:sz w:val="20"/>
                <w:szCs w:val="20"/>
                <w:color w:val="auto"/>
              </w:rPr>
            </w:pPr>
            <w:r>
              <w:rPr>
                <w:rFonts w:ascii="Arial" w:cs="Arial" w:eastAsia="Arial" w:hAnsi="Arial"/>
                <w:sz w:val="16"/>
                <w:szCs w:val="16"/>
                <w:color w:val="auto"/>
                <w:w w:val="99"/>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17,005</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auto"/>
              </w:rPr>
              <w:t>139,292</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6,472</w:t>
            </w:r>
          </w:p>
        </w:tc>
        <w:tc>
          <w:tcPr>
            <w:tcW w:w="960" w:type="dxa"/>
            <w:vAlign w:val="bottom"/>
            <w:vMerge w:val="restart"/>
          </w:tcPr>
          <w:p>
            <w:pPr>
              <w:jc w:val="right"/>
              <w:ind w:right="59"/>
              <w:spacing w:after="0"/>
              <w:rPr>
                <w:sz w:val="20"/>
                <w:szCs w:val="20"/>
                <w:color w:val="auto"/>
              </w:rPr>
            </w:pPr>
            <w:r>
              <w:rPr>
                <w:rFonts w:ascii="Arial" w:cs="Arial" w:eastAsia="Arial" w:hAnsi="Arial"/>
                <w:sz w:val="16"/>
                <w:szCs w:val="16"/>
                <w:color w:val="auto"/>
              </w:rPr>
              <w:t>965</w:t>
            </w:r>
          </w:p>
        </w:tc>
        <w:tc>
          <w:tcPr>
            <w:tcW w:w="960" w:type="dxa"/>
            <w:vAlign w:val="bottom"/>
            <w:vMerge w:val="restart"/>
          </w:tcPr>
          <w:p>
            <w:pPr>
              <w:jc w:val="center"/>
              <w:ind w:right="39"/>
              <w:spacing w:after="0"/>
              <w:rPr>
                <w:sz w:val="20"/>
                <w:szCs w:val="20"/>
                <w:color w:val="auto"/>
              </w:rPr>
            </w:pPr>
            <w:r>
              <w:rPr>
                <w:rFonts w:ascii="Arial" w:cs="Arial" w:eastAsia="Arial" w:hAnsi="Arial"/>
                <w:sz w:val="16"/>
                <w:szCs w:val="16"/>
                <w:color w:val="auto"/>
                <w:w w:val="99"/>
              </w:rPr>
              <w:t>—</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305,456</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20"/>
                <w:szCs w:val="20"/>
                <w:color w:val="auto"/>
              </w:rPr>
            </w:pPr>
            <w:r>
              <w:rPr>
                <w:rFonts w:ascii="Arial" w:cs="Arial" w:eastAsia="Arial" w:hAnsi="Arial"/>
                <w:sz w:val="16"/>
                <w:szCs w:val="16"/>
                <w:color w:val="auto"/>
              </w:rPr>
              <w:t>Trerotola</w:t>
            </w:r>
          </w:p>
        </w:tc>
        <w:tc>
          <w:tcPr>
            <w:tcW w:w="168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200" w:type="dxa"/>
            <w:vAlign w:val="bottom"/>
            <w:shd w:val="clear" w:color="auto" w:fill="EDEDEE"/>
          </w:tcPr>
          <w:p>
            <w:pPr>
              <w:spacing w:after="0" w:line="162" w:lineRule="exact"/>
              <w:rPr>
                <w:sz w:val="20"/>
                <w:szCs w:val="20"/>
                <w:color w:val="auto"/>
              </w:rPr>
            </w:pPr>
            <w:r>
              <w:rPr>
                <w:rFonts w:ascii="Arial" w:cs="Arial" w:eastAsia="Arial" w:hAnsi="Arial"/>
                <w:sz w:val="16"/>
                <w:szCs w:val="16"/>
                <w:color w:val="auto"/>
              </w:rPr>
              <w:t>  Mr. Berry</w:t>
            </w:r>
          </w:p>
        </w:tc>
        <w:tc>
          <w:tcPr>
            <w:tcW w:w="1680" w:type="dxa"/>
            <w:vAlign w:val="bottom"/>
            <w:shd w:val="clear" w:color="auto" w:fill="EDEDEE"/>
          </w:tcPr>
          <w:p>
            <w:pPr>
              <w:jc w:val="right"/>
              <w:spacing w:after="0" w:line="162" w:lineRule="exact"/>
              <w:rPr>
                <w:sz w:val="20"/>
                <w:szCs w:val="20"/>
                <w:color w:val="auto"/>
              </w:rPr>
            </w:pPr>
            <w:r>
              <w:rPr>
                <w:rFonts w:ascii="Arial" w:cs="Arial" w:eastAsia="Arial" w:hAnsi="Arial"/>
                <w:sz w:val="16"/>
                <w:szCs w:val="16"/>
                <w:color w:val="auto"/>
              </w:rPr>
              <w:t>14,000</w:t>
            </w:r>
          </w:p>
        </w:tc>
        <w:tc>
          <w:tcPr>
            <w:tcW w:w="1060" w:type="dxa"/>
            <w:vAlign w:val="bottom"/>
            <w:shd w:val="clear" w:color="auto" w:fill="EDEDEE"/>
          </w:tcPr>
          <w:p>
            <w:pPr>
              <w:ind w:left="420"/>
              <w:spacing w:after="0" w:line="162" w:lineRule="exact"/>
              <w:rPr>
                <w:sz w:val="20"/>
                <w:szCs w:val="20"/>
                <w:color w:val="auto"/>
              </w:rPr>
            </w:pPr>
            <w:r>
              <w:rPr>
                <w:rFonts w:ascii="Arial" w:cs="Arial" w:eastAsia="Arial" w:hAnsi="Arial"/>
                <w:sz w:val="16"/>
                <w:szCs w:val="16"/>
                <w:color w:val="auto"/>
              </w:rPr>
              <w:t>—</w:t>
            </w:r>
          </w:p>
        </w:tc>
        <w:tc>
          <w:tcPr>
            <w:tcW w:w="960" w:type="dxa"/>
            <w:vAlign w:val="bottom"/>
            <w:shd w:val="clear" w:color="auto" w:fill="EDEDEE"/>
          </w:tcPr>
          <w:p>
            <w:pPr>
              <w:jc w:val="center"/>
              <w:ind w:right="1"/>
              <w:spacing w:after="0" w:line="162" w:lineRule="exact"/>
              <w:rPr>
                <w:sz w:val="20"/>
                <w:szCs w:val="20"/>
                <w:color w:val="auto"/>
              </w:rPr>
            </w:pPr>
            <w:r>
              <w:rPr>
                <w:rFonts w:ascii="Arial" w:cs="Arial" w:eastAsia="Arial" w:hAnsi="Arial"/>
                <w:sz w:val="16"/>
                <w:szCs w:val="16"/>
                <w:color w:val="auto"/>
                <w:w w:val="99"/>
              </w:rPr>
              <w:t>—</w:t>
            </w:r>
          </w:p>
        </w:tc>
        <w:tc>
          <w:tcPr>
            <w:tcW w:w="800" w:type="dxa"/>
            <w:vAlign w:val="bottom"/>
            <w:shd w:val="clear" w:color="auto" w:fill="EDEDEE"/>
          </w:tcPr>
          <w:p>
            <w:pPr>
              <w:jc w:val="right"/>
              <w:spacing w:after="0" w:line="162" w:lineRule="exact"/>
              <w:rPr>
                <w:sz w:val="20"/>
                <w:szCs w:val="20"/>
                <w:color w:val="auto"/>
              </w:rPr>
            </w:pPr>
            <w:r>
              <w:rPr>
                <w:rFonts w:ascii="Arial" w:cs="Arial" w:eastAsia="Arial" w:hAnsi="Arial"/>
                <w:sz w:val="16"/>
                <w:szCs w:val="16"/>
                <w:color w:val="auto"/>
              </w:rPr>
              <w:t>10,000</w:t>
            </w:r>
          </w:p>
        </w:tc>
        <w:tc>
          <w:tcPr>
            <w:tcW w:w="720" w:type="dxa"/>
            <w:vAlign w:val="bottom"/>
            <w:shd w:val="clear" w:color="auto" w:fill="EDEDEE"/>
          </w:tcPr>
          <w:p>
            <w:pPr>
              <w:jc w:val="center"/>
              <w:spacing w:after="0" w:line="162" w:lineRule="exact"/>
              <w:rPr>
                <w:sz w:val="20"/>
                <w:szCs w:val="20"/>
                <w:color w:val="auto"/>
              </w:rPr>
            </w:pPr>
            <w:r>
              <w:rPr>
                <w:rFonts w:ascii="Arial" w:cs="Arial" w:eastAsia="Arial" w:hAnsi="Arial"/>
                <w:sz w:val="16"/>
                <w:szCs w:val="16"/>
                <w:color w:val="auto"/>
                <w:w w:val="99"/>
              </w:rPr>
              <w:t>—</w:t>
            </w:r>
          </w:p>
        </w:tc>
        <w:tc>
          <w:tcPr>
            <w:tcW w:w="1180" w:type="dxa"/>
            <w:vAlign w:val="bottom"/>
            <w:shd w:val="clear" w:color="auto" w:fill="EDEDEE"/>
          </w:tcPr>
          <w:p>
            <w:pPr>
              <w:jc w:val="right"/>
              <w:spacing w:after="0" w:line="162" w:lineRule="exact"/>
              <w:rPr>
                <w:sz w:val="20"/>
                <w:szCs w:val="20"/>
                <w:color w:val="auto"/>
              </w:rPr>
            </w:pPr>
            <w:r>
              <w:rPr>
                <w:rFonts w:ascii="Arial" w:cs="Arial" w:eastAsia="Arial" w:hAnsi="Arial"/>
                <w:sz w:val="16"/>
                <w:szCs w:val="16"/>
                <w:color w:val="auto"/>
              </w:rPr>
              <w:t>4,693</w:t>
            </w:r>
          </w:p>
        </w:tc>
        <w:tc>
          <w:tcPr>
            <w:tcW w:w="960" w:type="dxa"/>
            <w:vAlign w:val="bottom"/>
            <w:shd w:val="clear" w:color="auto" w:fill="EDEDEE"/>
          </w:tcPr>
          <w:p>
            <w:pPr>
              <w:jc w:val="right"/>
              <w:ind w:right="59"/>
              <w:spacing w:after="0" w:line="162" w:lineRule="exact"/>
              <w:rPr>
                <w:sz w:val="20"/>
                <w:szCs w:val="20"/>
                <w:color w:val="auto"/>
              </w:rPr>
            </w:pPr>
            <w:r>
              <w:rPr>
                <w:rFonts w:ascii="Arial" w:cs="Arial" w:eastAsia="Arial" w:hAnsi="Arial"/>
                <w:sz w:val="16"/>
                <w:szCs w:val="16"/>
                <w:color w:val="auto"/>
              </w:rPr>
              <w:t>861</w:t>
            </w:r>
          </w:p>
        </w:tc>
        <w:tc>
          <w:tcPr>
            <w:tcW w:w="960" w:type="dxa"/>
            <w:vAlign w:val="bottom"/>
            <w:shd w:val="clear" w:color="auto" w:fill="EDEDEE"/>
          </w:tcPr>
          <w:p>
            <w:pPr>
              <w:jc w:val="center"/>
              <w:ind w:right="39"/>
              <w:spacing w:after="0" w:line="162" w:lineRule="exact"/>
              <w:rPr>
                <w:sz w:val="20"/>
                <w:szCs w:val="20"/>
                <w:color w:val="auto"/>
              </w:rPr>
            </w:pPr>
            <w:r>
              <w:rPr>
                <w:rFonts w:ascii="Arial" w:cs="Arial" w:eastAsia="Arial" w:hAnsi="Arial"/>
                <w:sz w:val="16"/>
                <w:szCs w:val="16"/>
                <w:color w:val="auto"/>
                <w:w w:val="99"/>
              </w:rPr>
              <w:t>—</w:t>
            </w:r>
          </w:p>
        </w:tc>
        <w:tc>
          <w:tcPr>
            <w:tcW w:w="800" w:type="dxa"/>
            <w:vAlign w:val="bottom"/>
            <w:shd w:val="clear" w:color="auto" w:fill="EDEDEE"/>
          </w:tcPr>
          <w:p>
            <w:pPr>
              <w:jc w:val="center"/>
              <w:spacing w:after="0" w:line="162" w:lineRule="exact"/>
              <w:rPr>
                <w:sz w:val="20"/>
                <w:szCs w:val="20"/>
                <w:color w:val="auto"/>
              </w:rPr>
            </w:pPr>
            <w:r>
              <w:rPr>
                <w:rFonts w:ascii="Arial" w:cs="Arial" w:eastAsia="Arial" w:hAnsi="Arial"/>
                <w:sz w:val="16"/>
                <w:szCs w:val="16"/>
                <w:color w:val="auto"/>
              </w:rPr>
              <w:t>7,300</w:t>
            </w:r>
          </w:p>
        </w:tc>
        <w:tc>
          <w:tcPr>
            <w:tcW w:w="700" w:type="dxa"/>
            <w:vAlign w:val="bottom"/>
            <w:gridSpan w:val="2"/>
            <w:shd w:val="clear" w:color="auto" w:fill="EDEDEE"/>
          </w:tcPr>
          <w:p>
            <w:pPr>
              <w:jc w:val="right"/>
              <w:ind w:right="60"/>
              <w:spacing w:after="0" w:line="162" w:lineRule="exact"/>
              <w:rPr>
                <w:sz w:val="20"/>
                <w:szCs w:val="20"/>
                <w:color w:val="auto"/>
              </w:rPr>
            </w:pPr>
            <w:r>
              <w:rPr>
                <w:rFonts w:ascii="Arial" w:cs="Arial" w:eastAsia="Arial" w:hAnsi="Arial"/>
                <w:sz w:val="16"/>
                <w:szCs w:val="16"/>
                <w:color w:val="auto"/>
              </w:rPr>
              <w:t>  36,854</w:t>
            </w:r>
          </w:p>
        </w:tc>
        <w:tc>
          <w:tcPr>
            <w:tcW w:w="0" w:type="dxa"/>
            <w:vAlign w:val="bottom"/>
          </w:tcPr>
          <w:p>
            <w:pPr>
              <w:spacing w:after="0"/>
              <w:rPr>
                <w:sz w:val="1"/>
                <w:szCs w:val="1"/>
                <w:color w:val="auto"/>
              </w:rPr>
            </w:pPr>
          </w:p>
        </w:tc>
      </w:tr>
      <w:tr>
        <w:trPr>
          <w:trHeight w:val="162"/>
        </w:trPr>
        <w:tc>
          <w:tcPr>
            <w:tcW w:w="1200" w:type="dxa"/>
            <w:vAlign w:val="bottom"/>
          </w:tcPr>
          <w:p>
            <w:pPr>
              <w:spacing w:after="0" w:line="162" w:lineRule="exact"/>
              <w:rPr>
                <w:sz w:val="20"/>
                <w:szCs w:val="20"/>
                <w:color w:val="auto"/>
              </w:rPr>
            </w:pPr>
            <w:r>
              <w:rPr>
                <w:rFonts w:ascii="Arial" w:cs="Arial" w:eastAsia="Arial" w:hAnsi="Arial"/>
                <w:sz w:val="16"/>
                <w:szCs w:val="16"/>
                <w:color w:val="auto"/>
              </w:rPr>
              <w:t>  Mr. Pryor</w:t>
            </w:r>
          </w:p>
        </w:tc>
        <w:tc>
          <w:tcPr>
            <w:tcW w:w="1680" w:type="dxa"/>
            <w:vAlign w:val="bottom"/>
          </w:tcPr>
          <w:p>
            <w:pPr>
              <w:jc w:val="right"/>
              <w:spacing w:after="0" w:line="162" w:lineRule="exact"/>
              <w:rPr>
                <w:sz w:val="20"/>
                <w:szCs w:val="20"/>
                <w:color w:val="auto"/>
              </w:rPr>
            </w:pPr>
            <w:r>
              <w:rPr>
                <w:rFonts w:ascii="Arial" w:cs="Arial" w:eastAsia="Arial" w:hAnsi="Arial"/>
                <w:sz w:val="16"/>
                <w:szCs w:val="16"/>
                <w:color w:val="auto"/>
              </w:rPr>
              <w:t>63,204</w:t>
            </w:r>
          </w:p>
        </w:tc>
        <w:tc>
          <w:tcPr>
            <w:tcW w:w="1060" w:type="dxa"/>
            <w:vAlign w:val="bottom"/>
          </w:tcPr>
          <w:p>
            <w:pPr>
              <w:ind w:left="420"/>
              <w:spacing w:after="0" w:line="162" w:lineRule="exact"/>
              <w:rPr>
                <w:sz w:val="20"/>
                <w:szCs w:val="20"/>
                <w:color w:val="auto"/>
              </w:rPr>
            </w:pPr>
            <w:r>
              <w:rPr>
                <w:rFonts w:ascii="Arial" w:cs="Arial" w:eastAsia="Arial" w:hAnsi="Arial"/>
                <w:sz w:val="16"/>
                <w:szCs w:val="16"/>
                <w:color w:val="auto"/>
              </w:rPr>
              <w:t>—</w:t>
            </w:r>
          </w:p>
        </w:tc>
        <w:tc>
          <w:tcPr>
            <w:tcW w:w="960" w:type="dxa"/>
            <w:vAlign w:val="bottom"/>
          </w:tcPr>
          <w:p>
            <w:pPr>
              <w:jc w:val="center"/>
              <w:ind w:right="1"/>
              <w:spacing w:after="0" w:line="162" w:lineRule="exact"/>
              <w:rPr>
                <w:sz w:val="20"/>
                <w:szCs w:val="20"/>
                <w:color w:val="auto"/>
              </w:rPr>
            </w:pPr>
            <w:r>
              <w:rPr>
                <w:rFonts w:ascii="Arial" w:cs="Arial" w:eastAsia="Arial" w:hAnsi="Arial"/>
                <w:sz w:val="16"/>
                <w:szCs w:val="16"/>
                <w:color w:val="auto"/>
                <w:w w:val="99"/>
              </w:rPr>
              <w:t>—</w:t>
            </w: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10,000</w:t>
            </w:r>
          </w:p>
        </w:tc>
        <w:tc>
          <w:tcPr>
            <w:tcW w:w="720" w:type="dxa"/>
            <w:vAlign w:val="bottom"/>
          </w:tcPr>
          <w:p>
            <w:pPr>
              <w:jc w:val="center"/>
              <w:spacing w:after="0" w:line="162" w:lineRule="exact"/>
              <w:rPr>
                <w:sz w:val="20"/>
                <w:szCs w:val="20"/>
                <w:color w:val="auto"/>
              </w:rPr>
            </w:pPr>
            <w:r>
              <w:rPr>
                <w:rFonts w:ascii="Arial" w:cs="Arial" w:eastAsia="Arial" w:hAnsi="Arial"/>
                <w:sz w:val="16"/>
                <w:szCs w:val="16"/>
                <w:color w:val="auto"/>
                <w:w w:val="99"/>
              </w:rPr>
              <w:t>—</w:t>
            </w:r>
          </w:p>
        </w:tc>
        <w:tc>
          <w:tcPr>
            <w:tcW w:w="1180" w:type="dxa"/>
            <w:vAlign w:val="bottom"/>
          </w:tcPr>
          <w:p>
            <w:pPr>
              <w:jc w:val="right"/>
              <w:spacing w:after="0" w:line="162" w:lineRule="exact"/>
              <w:rPr>
                <w:sz w:val="20"/>
                <w:szCs w:val="20"/>
                <w:color w:val="auto"/>
              </w:rPr>
            </w:pPr>
            <w:r>
              <w:rPr>
                <w:rFonts w:ascii="Arial" w:cs="Arial" w:eastAsia="Arial" w:hAnsi="Arial"/>
                <w:sz w:val="16"/>
                <w:szCs w:val="16"/>
                <w:color w:val="auto"/>
              </w:rPr>
              <w:t>6,248</w:t>
            </w:r>
          </w:p>
        </w:tc>
        <w:tc>
          <w:tcPr>
            <w:tcW w:w="960" w:type="dxa"/>
            <w:vAlign w:val="bottom"/>
          </w:tcPr>
          <w:p>
            <w:pPr>
              <w:jc w:val="right"/>
              <w:ind w:right="59"/>
              <w:spacing w:after="0" w:line="162" w:lineRule="exact"/>
              <w:rPr>
                <w:sz w:val="20"/>
                <w:szCs w:val="20"/>
                <w:color w:val="auto"/>
              </w:rPr>
            </w:pPr>
            <w:r>
              <w:rPr>
                <w:rFonts w:ascii="Arial" w:cs="Arial" w:eastAsia="Arial" w:hAnsi="Arial"/>
                <w:sz w:val="16"/>
                <w:szCs w:val="16"/>
                <w:color w:val="auto"/>
              </w:rPr>
              <w:t>890</w:t>
            </w:r>
          </w:p>
        </w:tc>
        <w:tc>
          <w:tcPr>
            <w:tcW w:w="960" w:type="dxa"/>
            <w:vAlign w:val="bottom"/>
          </w:tcPr>
          <w:p>
            <w:pPr>
              <w:jc w:val="center"/>
              <w:ind w:right="39"/>
              <w:spacing w:after="0" w:line="162" w:lineRule="exact"/>
              <w:rPr>
                <w:sz w:val="20"/>
                <w:szCs w:val="20"/>
                <w:color w:val="auto"/>
              </w:rPr>
            </w:pPr>
            <w:r>
              <w:rPr>
                <w:rFonts w:ascii="Arial" w:cs="Arial" w:eastAsia="Arial" w:hAnsi="Arial"/>
                <w:sz w:val="16"/>
                <w:szCs w:val="16"/>
                <w:color w:val="auto"/>
                <w:w w:val="99"/>
              </w:rPr>
              <w:t>—</w:t>
            </w:r>
          </w:p>
        </w:tc>
        <w:tc>
          <w:tcPr>
            <w:tcW w:w="800" w:type="dxa"/>
            <w:vAlign w:val="bottom"/>
          </w:tcPr>
          <w:p>
            <w:pPr>
              <w:jc w:val="center"/>
              <w:spacing w:after="0" w:line="162" w:lineRule="exact"/>
              <w:rPr>
                <w:sz w:val="20"/>
                <w:szCs w:val="20"/>
                <w:color w:val="auto"/>
              </w:rPr>
            </w:pPr>
            <w:r>
              <w:rPr>
                <w:rFonts w:ascii="Arial" w:cs="Arial" w:eastAsia="Arial" w:hAnsi="Arial"/>
                <w:sz w:val="16"/>
                <w:szCs w:val="16"/>
                <w:color w:val="auto"/>
              </w:rPr>
              <w:t>8,898</w:t>
            </w:r>
          </w:p>
        </w:tc>
        <w:tc>
          <w:tcPr>
            <w:tcW w:w="70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89,240</w:t>
            </w:r>
          </w:p>
        </w:tc>
        <w:tc>
          <w:tcPr>
            <w:tcW w:w="0" w:type="dxa"/>
            <w:vAlign w:val="bottom"/>
          </w:tcPr>
          <w:p>
            <w:pPr>
              <w:spacing w:after="0"/>
              <w:rPr>
                <w:sz w:val="1"/>
                <w:szCs w:val="1"/>
                <w:color w:val="auto"/>
              </w:rPr>
            </w:pPr>
          </w:p>
        </w:tc>
      </w:tr>
      <w:tr>
        <w:trPr>
          <w:trHeight w:val="162"/>
        </w:trPr>
        <w:tc>
          <w:tcPr>
            <w:tcW w:w="1200" w:type="dxa"/>
            <w:vAlign w:val="bottom"/>
            <w:shd w:val="clear" w:color="auto" w:fill="EDEDEE"/>
          </w:tcPr>
          <w:p>
            <w:pPr>
              <w:spacing w:after="0" w:line="162" w:lineRule="exact"/>
              <w:rPr>
                <w:sz w:val="20"/>
                <w:szCs w:val="20"/>
                <w:color w:val="auto"/>
              </w:rPr>
            </w:pPr>
            <w:r>
              <w:rPr>
                <w:rFonts w:ascii="Arial" w:cs="Arial" w:eastAsia="Arial" w:hAnsi="Arial"/>
                <w:sz w:val="16"/>
                <w:szCs w:val="16"/>
                <w:color w:val="auto"/>
              </w:rPr>
              <w:t>  Mr. Ross</w:t>
            </w:r>
          </w:p>
        </w:tc>
        <w:tc>
          <w:tcPr>
            <w:tcW w:w="1680" w:type="dxa"/>
            <w:vAlign w:val="bottom"/>
            <w:shd w:val="clear" w:color="auto" w:fill="EDEDEE"/>
          </w:tcPr>
          <w:p>
            <w:pPr>
              <w:jc w:val="right"/>
              <w:spacing w:after="0" w:line="162" w:lineRule="exact"/>
              <w:rPr>
                <w:sz w:val="20"/>
                <w:szCs w:val="20"/>
                <w:color w:val="auto"/>
              </w:rPr>
            </w:pPr>
            <w:r>
              <w:rPr>
                <w:rFonts w:ascii="Arial" w:cs="Arial" w:eastAsia="Arial" w:hAnsi="Arial"/>
                <w:sz w:val="16"/>
                <w:szCs w:val="16"/>
                <w:color w:val="auto"/>
              </w:rPr>
              <w:t>50,943</w:t>
            </w:r>
          </w:p>
        </w:tc>
        <w:tc>
          <w:tcPr>
            <w:tcW w:w="1060" w:type="dxa"/>
            <w:vAlign w:val="bottom"/>
            <w:shd w:val="clear" w:color="auto" w:fill="EDEDEE"/>
          </w:tcPr>
          <w:p>
            <w:pPr>
              <w:ind w:left="420"/>
              <w:spacing w:after="0" w:line="162" w:lineRule="exact"/>
              <w:rPr>
                <w:sz w:val="20"/>
                <w:szCs w:val="20"/>
                <w:color w:val="auto"/>
              </w:rPr>
            </w:pPr>
            <w:r>
              <w:rPr>
                <w:rFonts w:ascii="Arial" w:cs="Arial" w:eastAsia="Arial" w:hAnsi="Arial"/>
                <w:sz w:val="16"/>
                <w:szCs w:val="16"/>
                <w:color w:val="auto"/>
              </w:rPr>
              <w:t>—</w:t>
            </w:r>
          </w:p>
        </w:tc>
        <w:tc>
          <w:tcPr>
            <w:tcW w:w="960" w:type="dxa"/>
            <w:vAlign w:val="bottom"/>
            <w:shd w:val="clear" w:color="auto" w:fill="EDEDEE"/>
          </w:tcPr>
          <w:p>
            <w:pPr>
              <w:jc w:val="center"/>
              <w:ind w:right="1"/>
              <w:spacing w:after="0" w:line="162" w:lineRule="exact"/>
              <w:rPr>
                <w:sz w:val="20"/>
                <w:szCs w:val="20"/>
                <w:color w:val="auto"/>
              </w:rPr>
            </w:pPr>
            <w:r>
              <w:rPr>
                <w:rFonts w:ascii="Arial" w:cs="Arial" w:eastAsia="Arial" w:hAnsi="Arial"/>
                <w:sz w:val="16"/>
                <w:szCs w:val="16"/>
                <w:color w:val="auto"/>
                <w:w w:val="99"/>
              </w:rPr>
              <w:t>—</w:t>
            </w:r>
          </w:p>
        </w:tc>
        <w:tc>
          <w:tcPr>
            <w:tcW w:w="800" w:type="dxa"/>
            <w:vAlign w:val="bottom"/>
            <w:shd w:val="clear" w:color="auto" w:fill="EDEDEE"/>
          </w:tcPr>
          <w:p>
            <w:pPr>
              <w:jc w:val="right"/>
              <w:spacing w:after="0" w:line="162" w:lineRule="exact"/>
              <w:rPr>
                <w:sz w:val="20"/>
                <w:szCs w:val="20"/>
                <w:color w:val="auto"/>
              </w:rPr>
            </w:pPr>
            <w:r>
              <w:rPr>
                <w:rFonts w:ascii="Arial" w:cs="Arial" w:eastAsia="Arial" w:hAnsi="Arial"/>
                <w:sz w:val="16"/>
                <w:szCs w:val="16"/>
                <w:color w:val="auto"/>
              </w:rPr>
              <w:t>7,687</w:t>
            </w:r>
          </w:p>
        </w:tc>
        <w:tc>
          <w:tcPr>
            <w:tcW w:w="720" w:type="dxa"/>
            <w:vAlign w:val="bottom"/>
            <w:shd w:val="clear" w:color="auto" w:fill="EDEDEE"/>
          </w:tcPr>
          <w:p>
            <w:pPr>
              <w:jc w:val="center"/>
              <w:spacing w:after="0" w:line="162" w:lineRule="exact"/>
              <w:rPr>
                <w:sz w:val="20"/>
                <w:szCs w:val="20"/>
                <w:color w:val="auto"/>
              </w:rPr>
            </w:pPr>
            <w:r>
              <w:rPr>
                <w:rFonts w:ascii="Arial" w:cs="Arial" w:eastAsia="Arial" w:hAnsi="Arial"/>
                <w:sz w:val="16"/>
                <w:szCs w:val="16"/>
                <w:color w:val="auto"/>
                <w:w w:val="99"/>
              </w:rPr>
              <w:t>—</w:t>
            </w:r>
          </w:p>
        </w:tc>
        <w:tc>
          <w:tcPr>
            <w:tcW w:w="1180" w:type="dxa"/>
            <w:vAlign w:val="bottom"/>
            <w:shd w:val="clear" w:color="auto" w:fill="EDEDEE"/>
          </w:tcPr>
          <w:p>
            <w:pPr>
              <w:jc w:val="right"/>
              <w:spacing w:after="0" w:line="162" w:lineRule="exact"/>
              <w:rPr>
                <w:sz w:val="20"/>
                <w:szCs w:val="20"/>
                <w:color w:val="auto"/>
              </w:rPr>
            </w:pPr>
            <w:r>
              <w:rPr>
                <w:rFonts w:ascii="Arial" w:cs="Arial" w:eastAsia="Arial" w:hAnsi="Arial"/>
                <w:sz w:val="16"/>
                <w:szCs w:val="16"/>
                <w:color w:val="auto"/>
              </w:rPr>
              <w:t>6,472</w:t>
            </w:r>
          </w:p>
        </w:tc>
        <w:tc>
          <w:tcPr>
            <w:tcW w:w="960" w:type="dxa"/>
            <w:vAlign w:val="bottom"/>
            <w:shd w:val="clear" w:color="auto" w:fill="EDEDEE"/>
          </w:tcPr>
          <w:p>
            <w:pPr>
              <w:jc w:val="right"/>
              <w:ind w:right="59"/>
              <w:spacing w:after="0" w:line="162" w:lineRule="exact"/>
              <w:rPr>
                <w:sz w:val="20"/>
                <w:szCs w:val="20"/>
                <w:color w:val="auto"/>
              </w:rPr>
            </w:pPr>
            <w:r>
              <w:rPr>
                <w:rFonts w:ascii="Arial" w:cs="Arial" w:eastAsia="Arial" w:hAnsi="Arial"/>
                <w:sz w:val="16"/>
                <w:szCs w:val="16"/>
                <w:color w:val="auto"/>
              </w:rPr>
              <w:t>758</w:t>
            </w:r>
          </w:p>
        </w:tc>
        <w:tc>
          <w:tcPr>
            <w:tcW w:w="960" w:type="dxa"/>
            <w:vAlign w:val="bottom"/>
            <w:shd w:val="clear" w:color="auto" w:fill="EDEDEE"/>
          </w:tcPr>
          <w:p>
            <w:pPr>
              <w:jc w:val="center"/>
              <w:ind w:right="39"/>
              <w:spacing w:after="0" w:line="162" w:lineRule="exact"/>
              <w:rPr>
                <w:sz w:val="20"/>
                <w:szCs w:val="20"/>
                <w:color w:val="auto"/>
              </w:rPr>
            </w:pPr>
            <w:r>
              <w:rPr>
                <w:rFonts w:ascii="Arial" w:cs="Arial" w:eastAsia="Arial" w:hAnsi="Arial"/>
                <w:sz w:val="16"/>
                <w:szCs w:val="16"/>
                <w:color w:val="auto"/>
                <w:w w:val="99"/>
              </w:rPr>
              <w:t>—</w:t>
            </w:r>
          </w:p>
        </w:tc>
        <w:tc>
          <w:tcPr>
            <w:tcW w:w="800" w:type="dxa"/>
            <w:vAlign w:val="bottom"/>
            <w:shd w:val="clear" w:color="auto" w:fill="EDEDEE"/>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shd w:val="clear" w:color="auto" w:fill="EDEDEE"/>
          </w:tcPr>
          <w:p>
            <w:pPr>
              <w:jc w:val="right"/>
              <w:ind w:right="60"/>
              <w:spacing w:after="0" w:line="162" w:lineRule="exact"/>
              <w:rPr>
                <w:sz w:val="20"/>
                <w:szCs w:val="20"/>
                <w:color w:val="auto"/>
              </w:rPr>
            </w:pPr>
            <w:r>
              <w:rPr>
                <w:rFonts w:ascii="Arial" w:cs="Arial" w:eastAsia="Arial" w:hAnsi="Arial"/>
                <w:sz w:val="16"/>
                <w:szCs w:val="16"/>
                <w:color w:val="auto"/>
              </w:rPr>
              <w:t>65,860</w:t>
            </w:r>
          </w:p>
        </w:tc>
        <w:tc>
          <w:tcPr>
            <w:tcW w:w="0" w:type="dxa"/>
            <w:vAlign w:val="bottom"/>
          </w:tcPr>
          <w:p>
            <w:pPr>
              <w:spacing w:after="0"/>
              <w:rPr>
                <w:sz w:val="1"/>
                <w:szCs w:val="1"/>
                <w:color w:val="auto"/>
              </w:rPr>
            </w:pPr>
          </w:p>
        </w:tc>
      </w:tr>
      <w:tr>
        <w:trPr>
          <w:trHeight w:val="162"/>
        </w:trPr>
        <w:tc>
          <w:tcPr>
            <w:tcW w:w="1200" w:type="dxa"/>
            <w:vAlign w:val="bottom"/>
          </w:tcPr>
          <w:p>
            <w:pPr>
              <w:spacing w:after="0" w:line="162" w:lineRule="exact"/>
              <w:rPr>
                <w:sz w:val="20"/>
                <w:szCs w:val="20"/>
                <w:color w:val="auto"/>
              </w:rPr>
            </w:pPr>
            <w:r>
              <w:rPr>
                <w:rFonts w:ascii="Arial" w:cs="Arial" w:eastAsia="Arial" w:hAnsi="Arial"/>
                <w:sz w:val="16"/>
                <w:szCs w:val="16"/>
                <w:color w:val="auto"/>
              </w:rPr>
              <w:t>  Ms. Lang</w:t>
            </w:r>
          </w:p>
        </w:tc>
        <w:tc>
          <w:tcPr>
            <w:tcW w:w="1680" w:type="dxa"/>
            <w:vAlign w:val="bottom"/>
          </w:tcPr>
          <w:p>
            <w:pPr>
              <w:jc w:val="right"/>
              <w:spacing w:after="0" w:line="162" w:lineRule="exact"/>
              <w:rPr>
                <w:sz w:val="20"/>
                <w:szCs w:val="20"/>
                <w:color w:val="auto"/>
              </w:rPr>
            </w:pPr>
            <w:r>
              <w:rPr>
                <w:rFonts w:ascii="Arial" w:cs="Arial" w:eastAsia="Arial" w:hAnsi="Arial"/>
                <w:sz w:val="16"/>
                <w:szCs w:val="16"/>
                <w:color w:val="auto"/>
              </w:rPr>
              <w:t>50,044</w:t>
            </w:r>
          </w:p>
        </w:tc>
        <w:tc>
          <w:tcPr>
            <w:tcW w:w="1060" w:type="dxa"/>
            <w:vAlign w:val="bottom"/>
          </w:tcPr>
          <w:p>
            <w:pPr>
              <w:ind w:left="420"/>
              <w:spacing w:after="0" w:line="162" w:lineRule="exact"/>
              <w:rPr>
                <w:sz w:val="20"/>
                <w:szCs w:val="20"/>
                <w:color w:val="auto"/>
              </w:rPr>
            </w:pPr>
            <w:r>
              <w:rPr>
                <w:rFonts w:ascii="Arial" w:cs="Arial" w:eastAsia="Arial" w:hAnsi="Arial"/>
                <w:sz w:val="16"/>
                <w:szCs w:val="16"/>
                <w:color w:val="auto"/>
              </w:rPr>
              <w:t>—</w:t>
            </w:r>
          </w:p>
        </w:tc>
        <w:tc>
          <w:tcPr>
            <w:tcW w:w="960" w:type="dxa"/>
            <w:vAlign w:val="bottom"/>
          </w:tcPr>
          <w:p>
            <w:pPr>
              <w:jc w:val="center"/>
              <w:ind w:right="1"/>
              <w:spacing w:after="0" w:line="162" w:lineRule="exact"/>
              <w:rPr>
                <w:sz w:val="20"/>
                <w:szCs w:val="20"/>
                <w:color w:val="auto"/>
              </w:rPr>
            </w:pPr>
            <w:r>
              <w:rPr>
                <w:rFonts w:ascii="Arial" w:cs="Arial" w:eastAsia="Arial" w:hAnsi="Arial"/>
                <w:sz w:val="16"/>
                <w:szCs w:val="16"/>
                <w:color w:val="auto"/>
                <w:w w:val="99"/>
              </w:rPr>
              <w:t>—</w:t>
            </w: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10,000</w:t>
            </w:r>
          </w:p>
        </w:tc>
        <w:tc>
          <w:tcPr>
            <w:tcW w:w="720" w:type="dxa"/>
            <w:vAlign w:val="bottom"/>
          </w:tcPr>
          <w:p>
            <w:pPr>
              <w:jc w:val="center"/>
              <w:spacing w:after="0" w:line="162" w:lineRule="exact"/>
              <w:rPr>
                <w:sz w:val="20"/>
                <w:szCs w:val="20"/>
                <w:color w:val="auto"/>
              </w:rPr>
            </w:pPr>
            <w:r>
              <w:rPr>
                <w:rFonts w:ascii="Arial" w:cs="Arial" w:eastAsia="Arial" w:hAnsi="Arial"/>
                <w:sz w:val="16"/>
                <w:szCs w:val="16"/>
                <w:color w:val="auto"/>
                <w:w w:val="99"/>
              </w:rPr>
              <w:t>—</w:t>
            </w:r>
          </w:p>
        </w:tc>
        <w:tc>
          <w:tcPr>
            <w:tcW w:w="1180" w:type="dxa"/>
            <w:vAlign w:val="bottom"/>
          </w:tcPr>
          <w:p>
            <w:pPr>
              <w:jc w:val="right"/>
              <w:spacing w:after="0" w:line="162" w:lineRule="exact"/>
              <w:rPr>
                <w:sz w:val="20"/>
                <w:szCs w:val="20"/>
                <w:color w:val="auto"/>
              </w:rPr>
            </w:pPr>
            <w:r>
              <w:rPr>
                <w:rFonts w:ascii="Arial" w:cs="Arial" w:eastAsia="Arial" w:hAnsi="Arial"/>
                <w:sz w:val="16"/>
                <w:szCs w:val="16"/>
                <w:color w:val="auto"/>
              </w:rPr>
              <w:t>7,077</w:t>
            </w:r>
          </w:p>
        </w:tc>
        <w:tc>
          <w:tcPr>
            <w:tcW w:w="960" w:type="dxa"/>
            <w:vAlign w:val="bottom"/>
          </w:tcPr>
          <w:p>
            <w:pPr>
              <w:jc w:val="right"/>
              <w:ind w:right="59"/>
              <w:spacing w:after="0" w:line="162" w:lineRule="exact"/>
              <w:rPr>
                <w:sz w:val="20"/>
                <w:szCs w:val="20"/>
                <w:color w:val="auto"/>
              </w:rPr>
            </w:pPr>
            <w:r>
              <w:rPr>
                <w:rFonts w:ascii="Arial" w:cs="Arial" w:eastAsia="Arial" w:hAnsi="Arial"/>
                <w:sz w:val="16"/>
                <w:szCs w:val="16"/>
                <w:color w:val="auto"/>
              </w:rPr>
              <w:t>737</w:t>
            </w:r>
          </w:p>
        </w:tc>
        <w:tc>
          <w:tcPr>
            <w:tcW w:w="960" w:type="dxa"/>
            <w:vAlign w:val="bottom"/>
          </w:tcPr>
          <w:p>
            <w:pPr>
              <w:jc w:val="center"/>
              <w:ind w:right="39"/>
              <w:spacing w:after="0" w:line="162" w:lineRule="exact"/>
              <w:rPr>
                <w:sz w:val="20"/>
                <w:szCs w:val="20"/>
                <w:color w:val="auto"/>
              </w:rPr>
            </w:pPr>
            <w:r>
              <w:rPr>
                <w:rFonts w:ascii="Arial" w:cs="Arial" w:eastAsia="Arial" w:hAnsi="Arial"/>
                <w:sz w:val="16"/>
                <w:szCs w:val="16"/>
                <w:color w:val="auto"/>
                <w:w w:val="99"/>
              </w:rPr>
              <w:t>—</w:t>
            </w:r>
          </w:p>
        </w:tc>
        <w:tc>
          <w:tcPr>
            <w:tcW w:w="800" w:type="dxa"/>
            <w:vAlign w:val="bottom"/>
          </w:tcPr>
          <w:p>
            <w:pPr>
              <w:jc w:val="center"/>
              <w:spacing w:after="0" w:line="162" w:lineRule="exact"/>
              <w:rPr>
                <w:sz w:val="20"/>
                <w:szCs w:val="20"/>
                <w:color w:val="auto"/>
              </w:rPr>
            </w:pPr>
            <w:r>
              <w:rPr>
                <w:rFonts w:ascii="Arial" w:cs="Arial" w:eastAsia="Arial" w:hAnsi="Arial"/>
                <w:sz w:val="16"/>
                <w:szCs w:val="16"/>
                <w:color w:val="auto"/>
                <w:w w:val="99"/>
              </w:rPr>
              <w:t>—</w:t>
            </w:r>
          </w:p>
        </w:tc>
        <w:tc>
          <w:tcPr>
            <w:tcW w:w="700" w:type="dxa"/>
            <w:vAlign w:val="bottom"/>
            <w:gridSpan w:val="2"/>
          </w:tcPr>
          <w:p>
            <w:pPr>
              <w:jc w:val="right"/>
              <w:ind w:right="60"/>
              <w:spacing w:after="0" w:line="162" w:lineRule="exact"/>
              <w:rPr>
                <w:sz w:val="20"/>
                <w:szCs w:val="20"/>
                <w:color w:val="auto"/>
              </w:rPr>
            </w:pPr>
            <w:r>
              <w:rPr>
                <w:rFonts w:ascii="Arial" w:cs="Arial" w:eastAsia="Arial" w:hAnsi="Arial"/>
                <w:sz w:val="16"/>
                <w:szCs w:val="16"/>
                <w:color w:val="auto"/>
              </w:rPr>
              <w:t>67,858</w:t>
            </w:r>
          </w:p>
        </w:tc>
        <w:tc>
          <w:tcPr>
            <w:tcW w:w="0" w:type="dxa"/>
            <w:vAlign w:val="bottom"/>
          </w:tcPr>
          <w:p>
            <w:pPr>
              <w:spacing w:after="0"/>
              <w:rPr>
                <w:sz w:val="1"/>
                <w:szCs w:val="1"/>
                <w:color w:val="auto"/>
              </w:rPr>
            </w:pPr>
          </w:p>
        </w:tc>
      </w:tr>
      <w:tr>
        <w:trPr>
          <w:trHeight w:val="162"/>
        </w:trPr>
        <w:tc>
          <w:tcPr>
            <w:tcW w:w="1200" w:type="dxa"/>
            <w:vAlign w:val="bottom"/>
            <w:shd w:val="clear" w:color="auto" w:fill="EDEDEE"/>
          </w:tcPr>
          <w:p>
            <w:pPr>
              <w:spacing w:after="0" w:line="162" w:lineRule="exact"/>
              <w:rPr>
                <w:sz w:val="20"/>
                <w:szCs w:val="20"/>
                <w:color w:val="auto"/>
              </w:rPr>
            </w:pPr>
            <w:r>
              <w:rPr>
                <w:rFonts w:ascii="Arial" w:cs="Arial" w:eastAsia="Arial" w:hAnsi="Arial"/>
                <w:sz w:val="16"/>
                <w:szCs w:val="16"/>
                <w:color w:val="auto"/>
              </w:rPr>
              <w:t>  Mr. Vogt</w:t>
            </w:r>
          </w:p>
        </w:tc>
        <w:tc>
          <w:tcPr>
            <w:tcW w:w="1680" w:type="dxa"/>
            <w:vAlign w:val="bottom"/>
            <w:shd w:val="clear" w:color="auto" w:fill="EDEDEE"/>
          </w:tcPr>
          <w:p>
            <w:pPr>
              <w:jc w:val="right"/>
              <w:spacing w:after="0" w:line="162" w:lineRule="exact"/>
              <w:rPr>
                <w:sz w:val="20"/>
                <w:szCs w:val="20"/>
                <w:color w:val="auto"/>
              </w:rPr>
            </w:pPr>
            <w:r>
              <w:rPr>
                <w:rFonts w:ascii="Arial" w:cs="Arial" w:eastAsia="Arial" w:hAnsi="Arial"/>
                <w:sz w:val="16"/>
                <w:szCs w:val="16"/>
                <w:color w:val="auto"/>
              </w:rPr>
              <w:t>14,000</w:t>
            </w:r>
          </w:p>
        </w:tc>
        <w:tc>
          <w:tcPr>
            <w:tcW w:w="1060" w:type="dxa"/>
            <w:vAlign w:val="bottom"/>
            <w:shd w:val="clear" w:color="auto" w:fill="EDEDEE"/>
          </w:tcPr>
          <w:p>
            <w:pPr>
              <w:ind w:left="420"/>
              <w:spacing w:after="0" w:line="162" w:lineRule="exact"/>
              <w:rPr>
                <w:sz w:val="20"/>
                <w:szCs w:val="20"/>
                <w:color w:val="auto"/>
              </w:rPr>
            </w:pPr>
            <w:r>
              <w:rPr>
                <w:rFonts w:ascii="Arial" w:cs="Arial" w:eastAsia="Arial" w:hAnsi="Arial"/>
                <w:sz w:val="16"/>
                <w:szCs w:val="16"/>
                <w:color w:val="auto"/>
              </w:rPr>
              <w:t>—</w:t>
            </w:r>
          </w:p>
        </w:tc>
        <w:tc>
          <w:tcPr>
            <w:tcW w:w="960" w:type="dxa"/>
            <w:vAlign w:val="bottom"/>
            <w:shd w:val="clear" w:color="auto" w:fill="EDEDEE"/>
          </w:tcPr>
          <w:p>
            <w:pPr>
              <w:jc w:val="center"/>
              <w:ind w:right="1"/>
              <w:spacing w:after="0" w:line="162" w:lineRule="exact"/>
              <w:rPr>
                <w:sz w:val="20"/>
                <w:szCs w:val="20"/>
                <w:color w:val="auto"/>
              </w:rPr>
            </w:pPr>
            <w:r>
              <w:rPr>
                <w:rFonts w:ascii="Arial" w:cs="Arial" w:eastAsia="Arial" w:hAnsi="Arial"/>
                <w:sz w:val="16"/>
                <w:szCs w:val="16"/>
                <w:color w:val="auto"/>
                <w:w w:val="99"/>
              </w:rPr>
              <w:t>—</w:t>
            </w:r>
          </w:p>
        </w:tc>
        <w:tc>
          <w:tcPr>
            <w:tcW w:w="800" w:type="dxa"/>
            <w:vAlign w:val="bottom"/>
            <w:shd w:val="clear" w:color="auto" w:fill="EDEDEE"/>
          </w:tcPr>
          <w:p>
            <w:pPr>
              <w:jc w:val="right"/>
              <w:spacing w:after="0" w:line="162" w:lineRule="exact"/>
              <w:rPr>
                <w:sz w:val="20"/>
                <w:szCs w:val="20"/>
                <w:color w:val="auto"/>
              </w:rPr>
            </w:pPr>
            <w:r>
              <w:rPr>
                <w:rFonts w:ascii="Arial" w:cs="Arial" w:eastAsia="Arial" w:hAnsi="Arial"/>
                <w:sz w:val="16"/>
                <w:szCs w:val="16"/>
                <w:color w:val="auto"/>
              </w:rPr>
              <w:t>5,665</w:t>
            </w:r>
          </w:p>
        </w:tc>
        <w:tc>
          <w:tcPr>
            <w:tcW w:w="720" w:type="dxa"/>
            <w:vAlign w:val="bottom"/>
            <w:shd w:val="clear" w:color="auto" w:fill="EDEDEE"/>
          </w:tcPr>
          <w:p>
            <w:pPr>
              <w:jc w:val="center"/>
              <w:spacing w:after="0" w:line="162" w:lineRule="exact"/>
              <w:rPr>
                <w:sz w:val="20"/>
                <w:szCs w:val="20"/>
                <w:color w:val="auto"/>
              </w:rPr>
            </w:pPr>
            <w:r>
              <w:rPr>
                <w:rFonts w:ascii="Arial" w:cs="Arial" w:eastAsia="Arial" w:hAnsi="Arial"/>
                <w:sz w:val="16"/>
                <w:szCs w:val="16"/>
                <w:color w:val="auto"/>
                <w:w w:val="99"/>
              </w:rPr>
              <w:t>—</w:t>
            </w:r>
          </w:p>
        </w:tc>
        <w:tc>
          <w:tcPr>
            <w:tcW w:w="1180" w:type="dxa"/>
            <w:vAlign w:val="bottom"/>
            <w:shd w:val="clear" w:color="auto" w:fill="EDEDEE"/>
          </w:tcPr>
          <w:p>
            <w:pPr>
              <w:jc w:val="right"/>
              <w:spacing w:after="0" w:line="162" w:lineRule="exact"/>
              <w:rPr>
                <w:sz w:val="20"/>
                <w:szCs w:val="20"/>
                <w:color w:val="auto"/>
              </w:rPr>
            </w:pPr>
            <w:r>
              <w:rPr>
                <w:rFonts w:ascii="Arial" w:cs="Arial" w:eastAsia="Arial" w:hAnsi="Arial"/>
                <w:sz w:val="16"/>
                <w:szCs w:val="16"/>
                <w:color w:val="auto"/>
              </w:rPr>
              <w:t>2,108</w:t>
            </w:r>
          </w:p>
        </w:tc>
        <w:tc>
          <w:tcPr>
            <w:tcW w:w="960" w:type="dxa"/>
            <w:vAlign w:val="bottom"/>
            <w:shd w:val="clear" w:color="auto" w:fill="EDEDEE"/>
          </w:tcPr>
          <w:p>
            <w:pPr>
              <w:jc w:val="right"/>
              <w:ind w:right="59"/>
              <w:spacing w:after="0" w:line="162" w:lineRule="exact"/>
              <w:rPr>
                <w:sz w:val="20"/>
                <w:szCs w:val="20"/>
                <w:color w:val="auto"/>
              </w:rPr>
            </w:pPr>
            <w:r>
              <w:rPr>
                <w:rFonts w:ascii="Arial" w:cs="Arial" w:eastAsia="Arial" w:hAnsi="Arial"/>
                <w:sz w:val="16"/>
                <w:szCs w:val="16"/>
                <w:color w:val="auto"/>
              </w:rPr>
              <w:t>729</w:t>
            </w:r>
          </w:p>
        </w:tc>
        <w:tc>
          <w:tcPr>
            <w:tcW w:w="960" w:type="dxa"/>
            <w:vAlign w:val="bottom"/>
            <w:shd w:val="clear" w:color="auto" w:fill="EDEDEE"/>
          </w:tcPr>
          <w:p>
            <w:pPr>
              <w:jc w:val="center"/>
              <w:ind w:right="39"/>
              <w:spacing w:after="0" w:line="162" w:lineRule="exact"/>
              <w:rPr>
                <w:sz w:val="20"/>
                <w:szCs w:val="20"/>
                <w:color w:val="auto"/>
              </w:rPr>
            </w:pPr>
            <w:r>
              <w:rPr>
                <w:rFonts w:ascii="Arial" w:cs="Arial" w:eastAsia="Arial" w:hAnsi="Arial"/>
                <w:sz w:val="16"/>
                <w:szCs w:val="16"/>
                <w:color w:val="auto"/>
                <w:w w:val="99"/>
              </w:rPr>
              <w:t>—</w:t>
            </w:r>
          </w:p>
        </w:tc>
        <w:tc>
          <w:tcPr>
            <w:tcW w:w="800" w:type="dxa"/>
            <w:vAlign w:val="bottom"/>
            <w:shd w:val="clear" w:color="auto" w:fill="EDEDEE"/>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shd w:val="clear" w:color="auto" w:fill="EDEDEE"/>
          </w:tcPr>
          <w:p>
            <w:pPr>
              <w:jc w:val="right"/>
              <w:ind w:right="60"/>
              <w:spacing w:after="0" w:line="162" w:lineRule="exact"/>
              <w:rPr>
                <w:sz w:val="20"/>
                <w:szCs w:val="20"/>
                <w:color w:val="auto"/>
              </w:rPr>
            </w:pPr>
            <w:r>
              <w:rPr>
                <w:rFonts w:ascii="Arial" w:cs="Arial" w:eastAsia="Arial" w:hAnsi="Arial"/>
                <w:sz w:val="16"/>
                <w:szCs w:val="16"/>
                <w:color w:val="auto"/>
              </w:rPr>
              <w:t>22,502</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left="424" w:right="20" w:hanging="424"/>
        <w:spacing w:after="0" w:line="241" w:lineRule="auto"/>
        <w:tabs>
          <w:tab w:leader="none" w:pos="424" w:val="left"/>
        </w:tabs>
        <w:numPr>
          <w:ilvl w:val="0"/>
          <w:numId w:val="83"/>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 the aggregate Company match and Company contribution made by the Company during 2025 to such NEO’s 401(k) plan account and Non-Qualified Deferred Compensation Plan account. See the Nonqualified Deferred Compensation table and accompanying narrative for additional information on the Non-Qualified Deferred Compensation Plan.</w:t>
      </w:r>
    </w:p>
    <w:p>
      <w:pPr>
        <w:spacing w:after="0" w:line="163" w:lineRule="exact"/>
        <w:rPr>
          <w:rFonts w:ascii="Arial" w:cs="Arial" w:eastAsia="Arial" w:hAnsi="Arial"/>
          <w:sz w:val="14"/>
          <w:szCs w:val="14"/>
          <w:i w:val="1"/>
          <w:iCs w:val="1"/>
          <w:color w:val="auto"/>
        </w:rPr>
      </w:pPr>
    </w:p>
    <w:p>
      <w:pPr>
        <w:ind w:left="424" w:hanging="424"/>
        <w:spacing w:after="0"/>
        <w:tabs>
          <w:tab w:leader="none" w:pos="424" w:val="left"/>
        </w:tabs>
        <w:numPr>
          <w:ilvl w:val="0"/>
          <w:numId w:val="83"/>
        </w:numPr>
        <w:rPr>
          <w:rFonts w:ascii="Arial" w:cs="Arial" w:eastAsia="Arial" w:hAnsi="Arial"/>
          <w:sz w:val="14"/>
          <w:szCs w:val="14"/>
          <w:i w:val="1"/>
          <w:iCs w:val="1"/>
          <w:color w:val="auto"/>
        </w:rPr>
      </w:pPr>
      <w:r>
        <w:rPr>
          <w:rFonts w:ascii="Arial" w:cs="Arial" w:eastAsia="Arial" w:hAnsi="Arial"/>
          <w:sz w:val="14"/>
          <w:szCs w:val="14"/>
          <w:i w:val="1"/>
          <w:iCs w:val="1"/>
          <w:color w:val="auto"/>
        </w:rPr>
        <w:t>For Mr. Trerotola, amount represents an annual cash allowance for car-related expenses pursuant to his employment contract.</w:t>
      </w:r>
    </w:p>
    <w:p>
      <w:pPr>
        <w:spacing w:after="0" w:line="203" w:lineRule="exact"/>
        <w:rPr>
          <w:rFonts w:ascii="Arial" w:cs="Arial" w:eastAsia="Arial" w:hAnsi="Arial"/>
          <w:sz w:val="14"/>
          <w:szCs w:val="14"/>
          <w:i w:val="1"/>
          <w:iCs w:val="1"/>
          <w:color w:val="auto"/>
        </w:rPr>
      </w:pPr>
    </w:p>
    <w:p>
      <w:pPr>
        <w:ind w:left="424" w:hanging="424"/>
        <w:spacing w:after="0"/>
        <w:tabs>
          <w:tab w:leader="none" w:pos="424" w:val="left"/>
        </w:tabs>
        <w:numPr>
          <w:ilvl w:val="0"/>
          <w:numId w:val="83"/>
        </w:numPr>
        <w:rPr>
          <w:rFonts w:ascii="Arial" w:cs="Arial" w:eastAsia="Arial" w:hAnsi="Arial"/>
          <w:sz w:val="14"/>
          <w:szCs w:val="14"/>
          <w:i w:val="1"/>
          <w:iCs w:val="1"/>
          <w:color w:val="auto"/>
        </w:rPr>
      </w:pPr>
      <w:r>
        <w:rPr>
          <w:rFonts w:ascii="Arial" w:cs="Arial" w:eastAsia="Arial" w:hAnsi="Arial"/>
          <w:sz w:val="14"/>
          <w:szCs w:val="14"/>
          <w:i w:val="1"/>
          <w:iCs w:val="1"/>
          <w:color w:val="auto"/>
        </w:rPr>
        <w:t>Amount represents amounts for financial planning services as reimbursed by the Company during 2025.</w:t>
      </w:r>
    </w:p>
    <w:p>
      <w:pPr>
        <w:spacing w:after="0" w:line="203" w:lineRule="exact"/>
        <w:rPr>
          <w:rFonts w:ascii="Arial" w:cs="Arial" w:eastAsia="Arial" w:hAnsi="Arial"/>
          <w:sz w:val="14"/>
          <w:szCs w:val="14"/>
          <w:i w:val="1"/>
          <w:iCs w:val="1"/>
          <w:color w:val="auto"/>
        </w:rPr>
      </w:pPr>
    </w:p>
    <w:p>
      <w:pPr>
        <w:jc w:val="both"/>
        <w:ind w:left="424" w:right="20" w:hanging="424"/>
        <w:spacing w:after="0"/>
        <w:tabs>
          <w:tab w:leader="none" w:pos="424" w:val="left"/>
        </w:tabs>
        <w:numPr>
          <w:ilvl w:val="0"/>
          <w:numId w:val="83"/>
        </w:numPr>
        <w:rPr>
          <w:rFonts w:ascii="Arial" w:cs="Arial" w:eastAsia="Arial" w:hAnsi="Arial"/>
          <w:sz w:val="14"/>
          <w:szCs w:val="14"/>
          <w:i w:val="1"/>
          <w:iCs w:val="1"/>
          <w:color w:val="auto"/>
        </w:rPr>
      </w:pPr>
      <w:r>
        <w:rPr>
          <w:rFonts w:ascii="Arial" w:cs="Arial" w:eastAsia="Arial" w:hAnsi="Arial"/>
          <w:sz w:val="14"/>
          <w:szCs w:val="14"/>
          <w:i w:val="1"/>
          <w:iCs w:val="1"/>
          <w:color w:val="auto"/>
        </w:rPr>
        <w:t>Amount represents Company expenses incurred for private plane usage in 2025. The Company is billed directly for the charter flight services used for Mr. McDonald and Mr. Trerotola’s personal travel. The imputed income to Mr. McDonald for these flights as calculated under the tax rules was $20,013. The imputed income to Mr. Trerotola for these flights as calculated under the tax rules was $7,574, based on the SIFL rates promulgated by the Internal Revenue Service. The Company does not gross-up or make whole Mr. McDonald or Mr. Trerotola for the income imputed to his personal use of chartered flights. Please see page 35 for additional information.</w:t>
      </w:r>
    </w:p>
    <w:p>
      <w:pPr>
        <w:spacing w:after="0" w:line="287" w:lineRule="exact"/>
        <w:rPr>
          <w:rFonts w:ascii="Arial" w:cs="Arial" w:eastAsia="Arial" w:hAnsi="Arial"/>
          <w:sz w:val="14"/>
          <w:szCs w:val="14"/>
          <w:i w:val="1"/>
          <w:iCs w:val="1"/>
          <w:color w:val="auto"/>
        </w:rPr>
      </w:pPr>
    </w:p>
    <w:p>
      <w:pPr>
        <w:ind w:left="424" w:hanging="424"/>
        <w:spacing w:after="0"/>
        <w:tabs>
          <w:tab w:leader="none" w:pos="424" w:val="left"/>
        </w:tabs>
        <w:numPr>
          <w:ilvl w:val="0"/>
          <w:numId w:val="83"/>
        </w:numPr>
        <w:rPr>
          <w:rFonts w:ascii="Arial" w:cs="Arial" w:eastAsia="Arial" w:hAnsi="Arial"/>
          <w:sz w:val="14"/>
          <w:szCs w:val="14"/>
          <w:i w:val="1"/>
          <w:iCs w:val="1"/>
          <w:color w:val="auto"/>
        </w:rPr>
      </w:pPr>
      <w:r>
        <w:rPr>
          <w:rFonts w:ascii="Arial" w:cs="Arial" w:eastAsia="Arial" w:hAnsi="Arial"/>
          <w:sz w:val="14"/>
          <w:szCs w:val="14"/>
          <w:i w:val="1"/>
          <w:iCs w:val="1"/>
          <w:color w:val="auto"/>
        </w:rPr>
        <w:t>Amount represents premiums for supplemental long-term disability insurance.</w:t>
      </w:r>
    </w:p>
    <w:p>
      <w:pPr>
        <w:spacing w:after="0" w:line="203" w:lineRule="exact"/>
        <w:rPr>
          <w:rFonts w:ascii="Arial" w:cs="Arial" w:eastAsia="Arial" w:hAnsi="Arial"/>
          <w:sz w:val="14"/>
          <w:szCs w:val="14"/>
          <w:i w:val="1"/>
          <w:iCs w:val="1"/>
          <w:color w:val="auto"/>
        </w:rPr>
      </w:pPr>
    </w:p>
    <w:p>
      <w:pPr>
        <w:ind w:left="424" w:hanging="424"/>
        <w:spacing w:after="0"/>
        <w:tabs>
          <w:tab w:leader="none" w:pos="424" w:val="left"/>
        </w:tabs>
        <w:numPr>
          <w:ilvl w:val="0"/>
          <w:numId w:val="83"/>
        </w:numPr>
        <w:rPr>
          <w:rFonts w:ascii="Arial" w:cs="Arial" w:eastAsia="Arial" w:hAnsi="Arial"/>
          <w:sz w:val="14"/>
          <w:szCs w:val="14"/>
          <w:i w:val="1"/>
          <w:iCs w:val="1"/>
          <w:color w:val="auto"/>
        </w:rPr>
      </w:pPr>
      <w:r>
        <w:rPr>
          <w:rFonts w:ascii="Arial" w:cs="Arial" w:eastAsia="Arial" w:hAnsi="Arial"/>
          <w:sz w:val="14"/>
          <w:szCs w:val="14"/>
          <w:i w:val="1"/>
          <w:iCs w:val="1"/>
          <w:color w:val="auto"/>
        </w:rPr>
        <w:t>Amount represents premiums for a life insurance benefit equal to 1.5 times salary, capped at $1,125,000.</w:t>
      </w:r>
    </w:p>
    <w:p>
      <w:pPr>
        <w:spacing w:after="0" w:line="203" w:lineRule="exact"/>
        <w:rPr>
          <w:rFonts w:ascii="Arial" w:cs="Arial" w:eastAsia="Arial" w:hAnsi="Arial"/>
          <w:sz w:val="14"/>
          <w:szCs w:val="14"/>
          <w:i w:val="1"/>
          <w:iCs w:val="1"/>
          <w:color w:val="auto"/>
        </w:rPr>
      </w:pPr>
    </w:p>
    <w:p>
      <w:pPr>
        <w:ind w:left="424" w:hanging="424"/>
        <w:spacing w:after="0"/>
        <w:tabs>
          <w:tab w:leader="none" w:pos="424" w:val="left"/>
        </w:tabs>
        <w:numPr>
          <w:ilvl w:val="0"/>
          <w:numId w:val="83"/>
        </w:numPr>
        <w:rPr>
          <w:rFonts w:ascii="Arial" w:cs="Arial" w:eastAsia="Arial" w:hAnsi="Arial"/>
          <w:sz w:val="14"/>
          <w:szCs w:val="14"/>
          <w:i w:val="1"/>
          <w:iCs w:val="1"/>
          <w:color w:val="auto"/>
        </w:rPr>
      </w:pPr>
      <w:r>
        <w:rPr>
          <w:rFonts w:ascii="Arial" w:cs="Arial" w:eastAsia="Arial" w:hAnsi="Arial"/>
          <w:sz w:val="14"/>
          <w:szCs w:val="14"/>
          <w:i w:val="1"/>
          <w:iCs w:val="1"/>
          <w:color w:val="auto"/>
        </w:rPr>
        <w:t>Amount represents relocation benefits provided under our Global Relocation Policy.</w:t>
      </w:r>
    </w:p>
    <w:p>
      <w:pPr>
        <w:spacing w:after="0" w:line="230" w:lineRule="exact"/>
        <w:rPr>
          <w:rFonts w:ascii="Arial" w:cs="Arial" w:eastAsia="Arial" w:hAnsi="Arial"/>
          <w:sz w:val="14"/>
          <w:szCs w:val="14"/>
          <w:i w:val="1"/>
          <w:iCs w:val="1"/>
          <w:color w:val="auto"/>
        </w:rPr>
      </w:pPr>
    </w:p>
    <w:p>
      <w:pPr>
        <w:ind w:left="424" w:hanging="424"/>
        <w:spacing w:after="0"/>
        <w:tabs>
          <w:tab w:leader="none" w:pos="424" w:val="left"/>
        </w:tabs>
        <w:numPr>
          <w:ilvl w:val="0"/>
          <w:numId w:val="83"/>
        </w:numPr>
        <w:rPr>
          <w:rFonts w:ascii="Arial" w:cs="Arial" w:eastAsia="Arial" w:hAnsi="Arial"/>
          <w:sz w:val="14"/>
          <w:szCs w:val="14"/>
          <w:i w:val="1"/>
          <w:iCs w:val="1"/>
          <w:color w:val="auto"/>
        </w:rPr>
      </w:pPr>
      <w:r>
        <w:rPr>
          <w:rFonts w:ascii="Arial" w:cs="Arial" w:eastAsia="Arial" w:hAnsi="Arial"/>
          <w:sz w:val="14"/>
          <w:szCs w:val="14"/>
          <w:i w:val="1"/>
          <w:iCs w:val="1"/>
          <w:color w:val="auto"/>
        </w:rPr>
        <w:t>Amount represents reimbursement for physical examinations.</w:t>
      </w:r>
    </w:p>
    <w:p>
      <w:pPr>
        <w:spacing w:after="0" w:line="217" w:lineRule="exact"/>
        <w:rPr>
          <w:sz w:val="20"/>
          <w:szCs w:val="20"/>
          <w:color w:val="auto"/>
        </w:rPr>
      </w:pPr>
    </w:p>
    <w:p>
      <w:pPr>
        <w:ind w:left="424" w:hanging="424"/>
        <w:spacing w:after="0"/>
        <w:tabs>
          <w:tab w:leader="none" w:pos="424" w:val="left"/>
        </w:tabs>
        <w:numPr>
          <w:ilvl w:val="0"/>
          <w:numId w:val="84"/>
        </w:numPr>
        <w:rPr>
          <w:rFonts w:ascii="Arial" w:cs="Arial" w:eastAsia="Arial" w:hAnsi="Arial"/>
          <w:sz w:val="14"/>
          <w:szCs w:val="14"/>
          <w:i w:val="1"/>
          <w:iCs w:val="1"/>
          <w:color w:val="auto"/>
        </w:rPr>
      </w:pPr>
      <w:r>
        <w:rPr>
          <w:rFonts w:ascii="Arial" w:cs="Arial" w:eastAsia="Arial" w:hAnsi="Arial"/>
          <w:sz w:val="14"/>
          <w:szCs w:val="14"/>
          <w:i w:val="1"/>
          <w:iCs w:val="1"/>
          <w:color w:val="auto"/>
        </w:rPr>
        <w:t>Mr. McDonald joined the Company on May 12, 2025. Messrs. Ross and Vogt became NEOs in fiscal year 2025.</w:t>
      </w:r>
    </w:p>
    <w:p>
      <w:pPr>
        <w:spacing w:after="0" w:line="178" w:lineRule="exact"/>
        <w:rPr>
          <w:sz w:val="20"/>
          <w:szCs w:val="20"/>
          <w:color w:val="auto"/>
        </w:rPr>
      </w:pPr>
    </w:p>
    <w:p>
      <w:pPr>
        <w:ind w:left="4"/>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-118745</wp:posOffset>
            </wp:positionV>
            <wp:extent cx="762635" cy="3860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2635" cy="386080"/>
                    </a:xfrm>
                    <a:prstGeom prst="rect">
                      <a:avLst/>
                    </a:prstGeom>
                    <a:noFill/>
                  </pic:spPr>
                </pic:pic>
              </a:graphicData>
            </a:graphic>
          </wp:anchor>
        </w:drawing>
      </w:r>
    </w:p>
    <w:p>
      <w:pPr>
        <w:ind w:left="1584"/>
        <w:spacing w:after="0"/>
        <w:rPr>
          <w:sz w:val="20"/>
          <w:szCs w:val="20"/>
          <w:color w:val="auto"/>
        </w:rPr>
      </w:pPr>
      <w:r>
        <w:rPr>
          <w:rFonts w:ascii="Arial" w:cs="Arial" w:eastAsia="Arial" w:hAnsi="Arial"/>
          <w:sz w:val="18"/>
          <w:szCs w:val="18"/>
          <w:color w:val="auto"/>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699516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617" w:right="439" w:bottom="1440" w:gutter="0" w:footer="0" w:header="0"/>
        </w:sectPr>
      </w:pPr>
    </w:p>
    <w:bookmarkStart w:id="48" w:name="page49"/>
    <w:bookmarkEnd w:id="48"/>
    <w:p>
      <w:pPr>
        <w:ind w:left="4"/>
        <w:spacing w:after="0"/>
        <w:rPr>
          <w:sz w:val="20"/>
          <w:szCs w:val="20"/>
          <w:color w:val="auto"/>
        </w:rPr>
      </w:pPr>
      <w:r>
        <w:rPr>
          <w:rFonts w:ascii="Arial" w:cs="Arial" w:eastAsia="Arial" w:hAnsi="Arial"/>
          <w:sz w:val="32"/>
          <w:szCs w:val="32"/>
          <w:b w:val="1"/>
          <w:bCs w:val="1"/>
          <w:color w:val="C8102E"/>
        </w:rPr>
        <w:t>Grants of Plan-Based Awards for 2025</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following table sets forth information with respect to grants of plan-based awards to our named executive officers during 2025.</w:t>
      </w:r>
    </w:p>
    <w:p>
      <w:pPr>
        <w:spacing w:after="0" w:line="135"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1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b w:val="1"/>
                <w:bCs w:val="1"/>
                <w:color w:val="C8102E"/>
                <w:w w:val="99"/>
              </w:rPr>
              <w:t>Estimated</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gridSpan w:val="3"/>
            <w:vMerge w:val="restart"/>
          </w:tcPr>
          <w:p>
            <w:pPr>
              <w:jc w:val="center"/>
              <w:ind w:right="160"/>
              <w:spacing w:after="0"/>
              <w:rPr>
                <w:sz w:val="20"/>
                <w:szCs w:val="20"/>
                <w:color w:val="auto"/>
              </w:rPr>
            </w:pPr>
            <w:r>
              <w:rPr>
                <w:rFonts w:ascii="Arial" w:cs="Arial" w:eastAsia="Arial" w:hAnsi="Arial"/>
                <w:sz w:val="13"/>
                <w:szCs w:val="13"/>
                <w:b w:val="1"/>
                <w:bCs w:val="1"/>
                <w:color w:val="C8102E"/>
                <w:w w:val="96"/>
              </w:rPr>
              <w:t>Estimated</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b w:val="1"/>
                <w:bCs w:val="1"/>
                <w:color w:val="C8102E"/>
              </w:rPr>
              <w:t>All Other</w:t>
            </w:r>
          </w:p>
        </w:tc>
        <w:tc>
          <w:tcPr>
            <w:tcW w:w="78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b w:val="1"/>
                <w:bCs w:val="1"/>
                <w:color w:val="C8102E"/>
              </w:rPr>
              <w:t>Grant</w:t>
            </w:r>
          </w:p>
        </w:tc>
        <w:tc>
          <w:tcPr>
            <w:tcW w:w="0" w:type="dxa"/>
            <w:vAlign w:val="bottom"/>
          </w:tcPr>
          <w:p>
            <w:pPr>
              <w:spacing w:after="0"/>
              <w:rPr>
                <w:sz w:val="1"/>
                <w:szCs w:val="1"/>
                <w:color w:val="auto"/>
              </w:rPr>
            </w:pPr>
          </w:p>
        </w:tc>
      </w:tr>
      <w:tr>
        <w:trPr>
          <w:trHeight w:val="126"/>
        </w:trPr>
        <w:tc>
          <w:tcPr>
            <w:tcW w:w="13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right"/>
              <w:ind w:right="57"/>
              <w:spacing w:after="0" w:line="126" w:lineRule="exact"/>
              <w:rPr>
                <w:sz w:val="20"/>
                <w:szCs w:val="20"/>
                <w:color w:val="auto"/>
              </w:rPr>
            </w:pPr>
            <w:r>
              <w:rPr>
                <w:rFonts w:ascii="Arial" w:cs="Arial" w:eastAsia="Arial" w:hAnsi="Arial"/>
                <w:sz w:val="13"/>
                <w:szCs w:val="13"/>
                <w:b w:val="1"/>
                <w:bCs w:val="1"/>
                <w:color w:val="C8102E"/>
              </w:rPr>
              <w:t>Stock</w:t>
            </w:r>
          </w:p>
        </w:tc>
        <w:tc>
          <w:tcPr>
            <w:tcW w:w="78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C8102E"/>
              </w:rPr>
              <w:t>Exercise</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60" w:type="dxa"/>
            <w:vAlign w:val="bottom"/>
            <w:gridSpan w:val="4"/>
          </w:tcPr>
          <w:p>
            <w:pPr>
              <w:jc w:val="center"/>
              <w:ind w:right="80"/>
              <w:spacing w:after="0" w:line="135" w:lineRule="exact"/>
              <w:rPr>
                <w:sz w:val="20"/>
                <w:szCs w:val="20"/>
                <w:color w:val="auto"/>
              </w:rPr>
            </w:pPr>
            <w:r>
              <w:rPr>
                <w:rFonts w:ascii="Arial" w:cs="Arial" w:eastAsia="Arial" w:hAnsi="Arial"/>
                <w:sz w:val="13"/>
                <w:szCs w:val="13"/>
                <w:b w:val="1"/>
                <w:bCs w:val="1"/>
                <w:color w:val="C8102E"/>
                <w:w w:val="98"/>
              </w:rPr>
              <w:t>Possible Payouts Under</w:t>
            </w:r>
          </w:p>
        </w:tc>
        <w:tc>
          <w:tcPr>
            <w:tcW w:w="1540" w:type="dxa"/>
            <w:vAlign w:val="bottom"/>
            <w:gridSpan w:val="4"/>
          </w:tcPr>
          <w:p>
            <w:pPr>
              <w:jc w:val="center"/>
              <w:ind w:left="517"/>
              <w:spacing w:after="0" w:line="135" w:lineRule="exact"/>
              <w:rPr>
                <w:sz w:val="20"/>
                <w:szCs w:val="20"/>
                <w:color w:val="auto"/>
              </w:rPr>
            </w:pPr>
            <w:r>
              <w:rPr>
                <w:rFonts w:ascii="Arial" w:cs="Arial" w:eastAsia="Arial" w:hAnsi="Arial"/>
                <w:sz w:val="13"/>
                <w:szCs w:val="13"/>
                <w:b w:val="1"/>
                <w:bCs w:val="1"/>
                <w:color w:val="C8102E"/>
                <w:w w:val="97"/>
              </w:rPr>
              <w:t>Future Payouts</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C8102E"/>
              </w:rPr>
              <w:t>Awards:</w:t>
            </w:r>
          </w:p>
        </w:tc>
        <w:tc>
          <w:tcPr>
            <w:tcW w:w="780" w:type="dxa"/>
            <w:vAlign w:val="bottom"/>
            <w:vMerge w:val="continue"/>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3"/>
                <w:szCs w:val="13"/>
                <w:b w:val="1"/>
                <w:bCs w:val="1"/>
                <w:color w:val="C8102E"/>
              </w:rPr>
              <w:t>Date</w:t>
            </w: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60" w:type="dxa"/>
            <w:vAlign w:val="bottom"/>
            <w:gridSpan w:val="4"/>
          </w:tcPr>
          <w:p>
            <w:pPr>
              <w:jc w:val="center"/>
              <w:ind w:right="80"/>
              <w:spacing w:after="0" w:line="135" w:lineRule="exact"/>
              <w:rPr>
                <w:sz w:val="20"/>
                <w:szCs w:val="20"/>
                <w:color w:val="auto"/>
              </w:rPr>
            </w:pPr>
            <w:r>
              <w:rPr>
                <w:rFonts w:ascii="Arial" w:cs="Arial" w:eastAsia="Arial" w:hAnsi="Arial"/>
                <w:sz w:val="13"/>
                <w:szCs w:val="13"/>
                <w:b w:val="1"/>
                <w:bCs w:val="1"/>
                <w:color w:val="C8102E"/>
                <w:w w:val="97"/>
              </w:rPr>
              <w:t>Non-Equity Incentive</w:t>
            </w:r>
          </w:p>
        </w:tc>
        <w:tc>
          <w:tcPr>
            <w:tcW w:w="2260" w:type="dxa"/>
            <w:vAlign w:val="bottom"/>
            <w:gridSpan w:val="6"/>
          </w:tcPr>
          <w:p>
            <w:pPr>
              <w:jc w:val="center"/>
              <w:ind w:right="140"/>
              <w:spacing w:after="0" w:line="135" w:lineRule="exact"/>
              <w:rPr>
                <w:sz w:val="20"/>
                <w:szCs w:val="20"/>
                <w:color w:val="auto"/>
              </w:rPr>
            </w:pPr>
            <w:r>
              <w:rPr>
                <w:rFonts w:ascii="Arial" w:cs="Arial" w:eastAsia="Arial" w:hAnsi="Arial"/>
                <w:sz w:val="13"/>
                <w:szCs w:val="13"/>
                <w:b w:val="1"/>
                <w:bCs w:val="1"/>
                <w:color w:val="C8102E"/>
                <w:w w:val="96"/>
              </w:rPr>
              <w:t>Under Equity Incentive</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C8102E"/>
              </w:rPr>
              <w:t>Number of</w:t>
            </w:r>
          </w:p>
        </w:tc>
        <w:tc>
          <w:tcPr>
            <w:tcW w:w="78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C8102E"/>
              </w:rPr>
              <w:t>or Base</w:t>
            </w:r>
          </w:p>
        </w:tc>
        <w:tc>
          <w:tcPr>
            <w:tcW w:w="980" w:type="dxa"/>
            <w:vAlign w:val="bottom"/>
          </w:tcPr>
          <w:p>
            <w:pPr>
              <w:jc w:val="right"/>
              <w:spacing w:after="0" w:line="135" w:lineRule="exact"/>
              <w:rPr>
                <w:sz w:val="20"/>
                <w:szCs w:val="20"/>
                <w:color w:val="auto"/>
              </w:rPr>
            </w:pPr>
            <w:r>
              <w:rPr>
                <w:rFonts w:ascii="Arial" w:cs="Arial" w:eastAsia="Arial" w:hAnsi="Arial"/>
                <w:sz w:val="13"/>
                <w:szCs w:val="13"/>
                <w:b w:val="1"/>
                <w:bCs w:val="1"/>
                <w:color w:val="C8102E"/>
              </w:rPr>
              <w:t>Fair Value</w:t>
            </w: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jc w:val="center"/>
              <w:spacing w:after="0" w:line="176" w:lineRule="exact"/>
              <w:rPr>
                <w:sz w:val="20"/>
                <w:szCs w:val="20"/>
                <w:color w:val="auto"/>
              </w:rPr>
            </w:pPr>
            <w:r>
              <w:rPr>
                <w:rFonts w:ascii="Arial" w:cs="Arial" w:eastAsia="Arial" w:hAnsi="Arial"/>
                <w:sz w:val="13"/>
                <w:szCs w:val="13"/>
                <w:b w:val="1"/>
                <w:bCs w:val="1"/>
                <w:color w:val="C8102E"/>
                <w:w w:val="95"/>
              </w:rPr>
              <w:t>Plan Awards</w:t>
            </w:r>
            <w:r>
              <w:rPr>
                <w:rFonts w:ascii="Arial" w:cs="Arial" w:eastAsia="Arial" w:hAnsi="Arial"/>
                <w:sz w:val="20"/>
                <w:szCs w:val="20"/>
                <w:b w:val="1"/>
                <w:bCs w:val="1"/>
                <w:color w:val="C8102E"/>
                <w:w w:val="95"/>
                <w:vertAlign w:val="superscript"/>
              </w:rPr>
              <w:t>(1)</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4"/>
          </w:tcPr>
          <w:p>
            <w:pPr>
              <w:jc w:val="center"/>
              <w:ind w:left="517"/>
              <w:spacing w:after="0" w:line="176" w:lineRule="exact"/>
              <w:rPr>
                <w:sz w:val="20"/>
                <w:szCs w:val="20"/>
                <w:color w:val="auto"/>
              </w:rPr>
            </w:pPr>
            <w:r>
              <w:rPr>
                <w:rFonts w:ascii="Arial" w:cs="Arial" w:eastAsia="Arial" w:hAnsi="Arial"/>
                <w:sz w:val="13"/>
                <w:szCs w:val="13"/>
                <w:b w:val="1"/>
                <w:bCs w:val="1"/>
                <w:color w:val="C8102E"/>
                <w:w w:val="93"/>
              </w:rPr>
              <w:t>Plan Awards</w:t>
            </w:r>
            <w:r>
              <w:rPr>
                <w:rFonts w:ascii="Arial" w:cs="Arial" w:eastAsia="Arial" w:hAnsi="Arial"/>
                <w:sz w:val="20"/>
                <w:szCs w:val="20"/>
                <w:b w:val="1"/>
                <w:bCs w:val="1"/>
                <w:color w:val="C8102E"/>
                <w:w w:val="93"/>
                <w:vertAlign w:val="superscript"/>
              </w:rPr>
              <w:t>(2)</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b w:val="1"/>
                <w:bCs w:val="1"/>
                <w:color w:val="C8102E"/>
              </w:rPr>
              <w:t>shares of</w:t>
            </w:r>
          </w:p>
        </w:tc>
        <w:tc>
          <w:tcPr>
            <w:tcW w:w="780" w:type="dxa"/>
            <w:vAlign w:val="bottom"/>
          </w:tcPr>
          <w:p>
            <w:pPr>
              <w:jc w:val="right"/>
              <w:ind w:right="77"/>
              <w:spacing w:after="0"/>
              <w:rPr>
                <w:sz w:val="20"/>
                <w:szCs w:val="20"/>
                <w:color w:val="auto"/>
              </w:rPr>
            </w:pPr>
            <w:r>
              <w:rPr>
                <w:rFonts w:ascii="Arial" w:cs="Arial" w:eastAsia="Arial" w:hAnsi="Arial"/>
                <w:sz w:val="13"/>
                <w:szCs w:val="13"/>
                <w:b w:val="1"/>
                <w:bCs w:val="1"/>
                <w:color w:val="C8102E"/>
              </w:rPr>
              <w:t>Price of</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C8102E"/>
              </w:rPr>
              <w:t>of Stock</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vMerge w:val="restart"/>
          </w:tcPr>
          <w:p>
            <w:pPr>
              <w:jc w:val="right"/>
              <w:ind w:right="57"/>
              <w:spacing w:after="0" w:line="95" w:lineRule="exact"/>
              <w:rPr>
                <w:sz w:val="20"/>
                <w:szCs w:val="20"/>
                <w:color w:val="auto"/>
              </w:rPr>
            </w:pPr>
            <w:r>
              <w:rPr>
                <w:rFonts w:ascii="Arial" w:cs="Arial" w:eastAsia="Arial" w:hAnsi="Arial"/>
                <w:sz w:val="10"/>
                <w:szCs w:val="10"/>
                <w:b w:val="1"/>
                <w:bCs w:val="1"/>
                <w:color w:val="C8102E"/>
              </w:rPr>
              <w:t>stock</w:t>
            </w:r>
          </w:p>
        </w:tc>
        <w:tc>
          <w:tcPr>
            <w:tcW w:w="780" w:type="dxa"/>
            <w:vAlign w:val="bottom"/>
            <w:vMerge w:val="restart"/>
          </w:tcPr>
          <w:p>
            <w:pPr>
              <w:jc w:val="right"/>
              <w:ind w:right="77"/>
              <w:spacing w:after="0" w:line="95" w:lineRule="exact"/>
              <w:rPr>
                <w:sz w:val="20"/>
                <w:szCs w:val="20"/>
                <w:color w:val="auto"/>
              </w:rPr>
            </w:pPr>
            <w:r>
              <w:rPr>
                <w:rFonts w:ascii="Arial" w:cs="Arial" w:eastAsia="Arial" w:hAnsi="Arial"/>
                <w:sz w:val="10"/>
                <w:szCs w:val="10"/>
                <w:b w:val="1"/>
                <w:bCs w:val="1"/>
                <w:color w:val="C8102E"/>
              </w:rPr>
              <w:t>Option</w:t>
            </w:r>
          </w:p>
        </w:tc>
        <w:tc>
          <w:tcPr>
            <w:tcW w:w="980" w:type="dxa"/>
            <w:vAlign w:val="bottom"/>
            <w:vMerge w:val="restart"/>
          </w:tcPr>
          <w:p>
            <w:pPr>
              <w:jc w:val="right"/>
              <w:spacing w:after="0" w:line="95" w:lineRule="exact"/>
              <w:rPr>
                <w:sz w:val="20"/>
                <w:szCs w:val="20"/>
                <w:color w:val="auto"/>
              </w:rPr>
            </w:pPr>
            <w:r>
              <w:rPr>
                <w:rFonts w:ascii="Arial" w:cs="Arial" w:eastAsia="Arial" w:hAnsi="Arial"/>
                <w:sz w:val="10"/>
                <w:szCs w:val="10"/>
                <w:b w:val="1"/>
                <w:bCs w:val="1"/>
                <w:color w:val="C8102E"/>
              </w:rPr>
              <w:t>and</w:t>
            </w:r>
          </w:p>
        </w:tc>
        <w:tc>
          <w:tcPr>
            <w:tcW w:w="0" w:type="dxa"/>
            <w:vAlign w:val="bottom"/>
          </w:tcPr>
          <w:p>
            <w:pPr>
              <w:spacing w:after="0"/>
              <w:rPr>
                <w:sz w:val="1"/>
                <w:szCs w:val="1"/>
                <w:color w:val="auto"/>
              </w:rPr>
            </w:pPr>
          </w:p>
        </w:tc>
      </w:tr>
      <w:tr>
        <w:trPr>
          <w:trHeight w:val="48"/>
        </w:trPr>
        <w:tc>
          <w:tcPr>
            <w:tcW w:w="13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b w:val="1"/>
                <w:bCs w:val="1"/>
                <w:color w:val="C8102E"/>
              </w:rPr>
              <w:t>Threshold</w:t>
            </w:r>
          </w:p>
        </w:tc>
        <w:tc>
          <w:tcPr>
            <w:tcW w:w="96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C8102E"/>
              </w:rPr>
              <w:t>Target</w:t>
            </w:r>
          </w:p>
        </w:tc>
        <w:tc>
          <w:tcPr>
            <w:tcW w:w="76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C8102E"/>
              </w:rPr>
              <w:t>Maximum</w:t>
            </w:r>
          </w:p>
        </w:tc>
        <w:tc>
          <w:tcPr>
            <w:tcW w:w="740" w:type="dxa"/>
            <w:vAlign w:val="bottom"/>
            <w:vMerge w:val="restart"/>
          </w:tcPr>
          <w:p>
            <w:pPr>
              <w:jc w:val="right"/>
              <w:spacing w:after="0"/>
              <w:rPr>
                <w:sz w:val="20"/>
                <w:szCs w:val="20"/>
                <w:color w:val="auto"/>
              </w:rPr>
            </w:pPr>
            <w:r>
              <w:rPr>
                <w:rFonts w:ascii="Arial" w:cs="Arial" w:eastAsia="Arial" w:hAnsi="Arial"/>
                <w:sz w:val="13"/>
                <w:szCs w:val="13"/>
                <w:b w:val="1"/>
                <w:bCs w:val="1"/>
                <w:color w:val="C8102E"/>
              </w:rPr>
              <w:t>Threshold</w:t>
            </w:r>
          </w:p>
        </w:tc>
        <w:tc>
          <w:tcPr>
            <w:tcW w:w="800" w:type="dxa"/>
            <w:vAlign w:val="bottom"/>
            <w:gridSpan w:val="3"/>
            <w:vMerge w:val="restart"/>
          </w:tcPr>
          <w:p>
            <w:pPr>
              <w:ind w:left="220"/>
              <w:spacing w:after="0"/>
              <w:rPr>
                <w:sz w:val="20"/>
                <w:szCs w:val="20"/>
                <w:color w:val="auto"/>
              </w:rPr>
            </w:pPr>
            <w:r>
              <w:rPr>
                <w:rFonts w:ascii="Arial" w:cs="Arial" w:eastAsia="Arial" w:hAnsi="Arial"/>
                <w:sz w:val="13"/>
                <w:szCs w:val="13"/>
                <w:b w:val="1"/>
                <w:bCs w:val="1"/>
                <w:color w:val="C8102E"/>
              </w:rPr>
              <w:t>Target</w:t>
            </w:r>
          </w:p>
        </w:tc>
        <w:tc>
          <w:tcPr>
            <w:tcW w:w="7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C8102E"/>
              </w:rPr>
              <w:t>Maximum</w:t>
            </w:r>
          </w:p>
        </w:tc>
        <w:tc>
          <w:tcPr>
            <w:tcW w:w="88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300" w:type="dxa"/>
            <w:vAlign w:val="bottom"/>
            <w:vMerge w:val="restart"/>
          </w:tcPr>
          <w:p>
            <w:pPr>
              <w:spacing w:after="0"/>
              <w:rPr>
                <w:sz w:val="20"/>
                <w:szCs w:val="20"/>
                <w:color w:val="auto"/>
              </w:rPr>
            </w:pPr>
            <w:r>
              <w:rPr>
                <w:rFonts w:ascii="Arial" w:cs="Arial" w:eastAsia="Arial" w:hAnsi="Arial"/>
                <w:sz w:val="13"/>
                <w:szCs w:val="13"/>
                <w:b w:val="1"/>
                <w:bCs w:val="1"/>
                <w:color w:val="C8102E"/>
              </w:rPr>
              <w:t> Name</w:t>
            </w:r>
          </w:p>
        </w:tc>
        <w:tc>
          <w:tcPr>
            <w:tcW w:w="1420" w:type="dxa"/>
            <w:vAlign w:val="bottom"/>
            <w:vMerge w:val="restart"/>
          </w:tcPr>
          <w:p>
            <w:pPr>
              <w:ind w:left="420"/>
              <w:spacing w:after="0"/>
              <w:rPr>
                <w:sz w:val="20"/>
                <w:szCs w:val="20"/>
                <w:color w:val="auto"/>
              </w:rPr>
            </w:pPr>
            <w:r>
              <w:rPr>
                <w:rFonts w:ascii="Arial" w:cs="Arial" w:eastAsia="Arial" w:hAnsi="Arial"/>
                <w:sz w:val="13"/>
                <w:szCs w:val="13"/>
                <w:b w:val="1"/>
                <w:bCs w:val="1"/>
                <w:color w:val="C8102E"/>
              </w:rPr>
              <w:t>Award Type</w:t>
            </w:r>
          </w:p>
        </w:tc>
        <w:tc>
          <w:tcPr>
            <w:tcW w:w="94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C8102E"/>
              </w:rPr>
              <w:t>Grant Date</w:t>
            </w:r>
          </w:p>
        </w:tc>
        <w:tc>
          <w:tcPr>
            <w:tcW w:w="74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C8102E"/>
              </w:rPr>
              <w:t>or units</w:t>
            </w:r>
          </w:p>
        </w:tc>
        <w:tc>
          <w:tcPr>
            <w:tcW w:w="78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C8102E"/>
              </w:rPr>
              <w:t>Awards</w:t>
            </w:r>
          </w:p>
        </w:tc>
        <w:tc>
          <w:tcPr>
            <w:tcW w:w="980" w:type="dxa"/>
            <w:vAlign w:val="bottom"/>
          </w:tcPr>
          <w:p>
            <w:pPr>
              <w:jc w:val="right"/>
              <w:spacing w:after="0" w:line="135" w:lineRule="exact"/>
              <w:rPr>
                <w:sz w:val="20"/>
                <w:szCs w:val="20"/>
                <w:color w:val="auto"/>
              </w:rPr>
            </w:pPr>
            <w:r>
              <w:rPr>
                <w:rFonts w:ascii="Arial" w:cs="Arial" w:eastAsia="Arial" w:hAnsi="Arial"/>
                <w:sz w:val="13"/>
                <w:szCs w:val="13"/>
                <w:b w:val="1"/>
                <w:bCs w:val="1"/>
                <w:color w:val="C8102E"/>
              </w:rPr>
              <w:t>Option</w:t>
            </w:r>
          </w:p>
        </w:tc>
        <w:tc>
          <w:tcPr>
            <w:tcW w:w="0" w:type="dxa"/>
            <w:vAlign w:val="bottom"/>
          </w:tcPr>
          <w:p>
            <w:pPr>
              <w:spacing w:after="0"/>
              <w:rPr>
                <w:sz w:val="1"/>
                <w:szCs w:val="1"/>
                <w:color w:val="auto"/>
              </w:rPr>
            </w:pPr>
          </w:p>
        </w:tc>
      </w:tr>
      <w:tr>
        <w:trPr>
          <w:trHeight w:val="162"/>
        </w:trPr>
        <w:tc>
          <w:tcPr>
            <w:tcW w:w="130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C8102E"/>
              </w:rPr>
              <w:t>($)</w:t>
            </w:r>
          </w:p>
        </w:tc>
        <w:tc>
          <w:tcPr>
            <w:tcW w:w="960" w:type="dxa"/>
            <w:vAlign w:val="bottom"/>
          </w:tcPr>
          <w:p>
            <w:pPr>
              <w:jc w:val="right"/>
              <w:ind w:right="77"/>
              <w:spacing w:after="0"/>
              <w:rPr>
                <w:sz w:val="20"/>
                <w:szCs w:val="20"/>
                <w:color w:val="auto"/>
              </w:rPr>
            </w:pPr>
            <w:r>
              <w:rPr>
                <w:rFonts w:ascii="Arial" w:cs="Arial" w:eastAsia="Arial" w:hAnsi="Arial"/>
                <w:sz w:val="13"/>
                <w:szCs w:val="13"/>
                <w:b w:val="1"/>
                <w:bCs w:val="1"/>
                <w:color w:val="C8102E"/>
              </w:rPr>
              <w:t>($)</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C8102E"/>
              </w:rPr>
              <w:t>($)</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C8102E"/>
              </w:rPr>
              <w:t>(#)</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C8102E"/>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C8102E"/>
              </w:rPr>
              <w:t>(#)</w:t>
            </w:r>
          </w:p>
        </w:tc>
        <w:tc>
          <w:tcPr>
            <w:tcW w:w="880" w:type="dxa"/>
            <w:vAlign w:val="bottom"/>
          </w:tcPr>
          <w:p>
            <w:pPr>
              <w:jc w:val="right"/>
              <w:ind w:right="57"/>
              <w:spacing w:after="0"/>
              <w:rPr>
                <w:sz w:val="20"/>
                <w:szCs w:val="20"/>
                <w:color w:val="auto"/>
              </w:rPr>
            </w:pPr>
            <w:r>
              <w:rPr>
                <w:rFonts w:ascii="Arial" w:cs="Arial" w:eastAsia="Arial" w:hAnsi="Arial"/>
                <w:sz w:val="13"/>
                <w:szCs w:val="13"/>
                <w:b w:val="1"/>
                <w:bCs w:val="1"/>
                <w:color w:val="C8102E"/>
              </w:rPr>
              <w:t>(#)</w:t>
            </w:r>
          </w:p>
        </w:tc>
        <w:tc>
          <w:tcPr>
            <w:tcW w:w="780" w:type="dxa"/>
            <w:vAlign w:val="bottom"/>
          </w:tcPr>
          <w:p>
            <w:pPr>
              <w:jc w:val="right"/>
              <w:ind w:right="77"/>
              <w:spacing w:after="0"/>
              <w:rPr>
                <w:sz w:val="20"/>
                <w:szCs w:val="20"/>
                <w:color w:val="auto"/>
              </w:rPr>
            </w:pPr>
            <w:r>
              <w:rPr>
                <w:rFonts w:ascii="Arial" w:cs="Arial" w:eastAsia="Arial" w:hAnsi="Arial"/>
                <w:sz w:val="13"/>
                <w:szCs w:val="13"/>
                <w:b w:val="1"/>
                <w:bCs w:val="1"/>
                <w:color w:val="C8102E"/>
              </w:rPr>
              <w:t>($/Sh)</w:t>
            </w:r>
          </w:p>
        </w:tc>
        <w:tc>
          <w:tcPr>
            <w:tcW w:w="980" w:type="dxa"/>
            <w:vAlign w:val="bottom"/>
          </w:tcPr>
          <w:p>
            <w:pPr>
              <w:jc w:val="right"/>
              <w:spacing w:after="0" w:line="162" w:lineRule="exact"/>
              <w:rPr>
                <w:sz w:val="20"/>
                <w:szCs w:val="20"/>
                <w:color w:val="auto"/>
              </w:rPr>
            </w:pPr>
            <w:r>
              <w:rPr>
                <w:rFonts w:ascii="Arial" w:cs="Arial" w:eastAsia="Arial" w:hAnsi="Arial"/>
                <w:sz w:val="12"/>
                <w:szCs w:val="12"/>
                <w:b w:val="1"/>
                <w:bCs w:val="1"/>
                <w:color w:val="C8102E"/>
              </w:rPr>
              <w:t>Awards ($)</w:t>
            </w:r>
            <w:r>
              <w:rPr>
                <w:rFonts w:ascii="Arial" w:cs="Arial" w:eastAsia="Arial" w:hAnsi="Arial"/>
                <w:sz w:val="18"/>
                <w:szCs w:val="18"/>
                <w:b w:val="1"/>
                <w:bCs w:val="1"/>
                <w:color w:val="C8102E"/>
                <w:vertAlign w:val="superscript"/>
              </w:rPr>
              <w:t>(3)</w:t>
            </w:r>
          </w:p>
        </w:tc>
        <w:tc>
          <w:tcPr>
            <w:tcW w:w="0" w:type="dxa"/>
            <w:vAlign w:val="bottom"/>
          </w:tcPr>
          <w:p>
            <w:pPr>
              <w:spacing w:after="0"/>
              <w:rPr>
                <w:sz w:val="1"/>
                <w:szCs w:val="1"/>
                <w:color w:val="auto"/>
              </w:rPr>
            </w:pPr>
          </w:p>
        </w:tc>
      </w:tr>
      <w:tr>
        <w:trPr>
          <w:trHeight w:val="148"/>
        </w:trPr>
        <w:tc>
          <w:tcPr>
            <w:tcW w:w="1300" w:type="dxa"/>
            <w:vAlign w:val="bottom"/>
            <w:shd w:val="clear" w:color="auto" w:fill="EDEDEE"/>
          </w:tcPr>
          <w:p>
            <w:pPr>
              <w:spacing w:after="0"/>
              <w:rPr>
                <w:sz w:val="20"/>
                <w:szCs w:val="20"/>
                <w:color w:val="auto"/>
              </w:rPr>
            </w:pPr>
            <w:r>
              <w:rPr>
                <w:rFonts w:ascii="Arial" w:cs="Arial" w:eastAsia="Arial" w:hAnsi="Arial"/>
                <w:sz w:val="13"/>
                <w:szCs w:val="13"/>
                <w:b w:val="1"/>
                <w:bCs w:val="1"/>
                <w:color w:val="auto"/>
              </w:rPr>
              <w:t>Damien McDonald</w:t>
            </w:r>
          </w:p>
        </w:tc>
        <w:tc>
          <w:tcPr>
            <w:tcW w:w="1420" w:type="dxa"/>
            <w:vAlign w:val="bottom"/>
            <w:shd w:val="clear" w:color="auto" w:fill="EDEDEE"/>
          </w:tcPr>
          <w:p>
            <w:pPr>
              <w:ind w:left="40"/>
              <w:spacing w:after="0"/>
              <w:rPr>
                <w:sz w:val="20"/>
                <w:szCs w:val="20"/>
                <w:color w:val="auto"/>
              </w:rPr>
            </w:pPr>
            <w:r>
              <w:rPr>
                <w:rFonts w:ascii="Arial" w:cs="Arial" w:eastAsia="Arial" w:hAnsi="Arial"/>
                <w:sz w:val="13"/>
                <w:szCs w:val="13"/>
                <w:color w:val="auto"/>
              </w:rPr>
              <w:t>Annual Incentive Plan</w:t>
            </w:r>
          </w:p>
        </w:tc>
        <w:tc>
          <w:tcPr>
            <w:tcW w:w="940" w:type="dxa"/>
            <w:vAlign w:val="bottom"/>
            <w:shd w:val="clear" w:color="auto" w:fill="EDEDEE"/>
          </w:tcPr>
          <w:p>
            <w:pPr>
              <w:jc w:val="right"/>
              <w:ind w:right="17"/>
              <w:spacing w:after="0"/>
              <w:rPr>
                <w:sz w:val="20"/>
                <w:szCs w:val="20"/>
                <w:color w:val="auto"/>
              </w:rPr>
            </w:pPr>
            <w:r>
              <w:rPr>
                <w:rFonts w:ascii="Arial" w:cs="Arial" w:eastAsia="Arial" w:hAnsi="Arial"/>
                <w:sz w:val="13"/>
                <w:szCs w:val="13"/>
                <w:color w:val="auto"/>
              </w:rPr>
              <w:t>—</w:t>
            </w:r>
          </w:p>
        </w:tc>
        <w:tc>
          <w:tcPr>
            <w:tcW w:w="740" w:type="dxa"/>
            <w:vAlign w:val="bottom"/>
            <w:shd w:val="clear" w:color="auto" w:fill="EDEDEE"/>
          </w:tcPr>
          <w:p>
            <w:pPr>
              <w:jc w:val="right"/>
              <w:spacing w:after="0"/>
              <w:rPr>
                <w:sz w:val="20"/>
                <w:szCs w:val="20"/>
                <w:color w:val="auto"/>
              </w:rPr>
            </w:pPr>
            <w:r>
              <w:rPr>
                <w:rFonts w:ascii="Arial" w:cs="Arial" w:eastAsia="Arial" w:hAnsi="Arial"/>
                <w:sz w:val="13"/>
                <w:szCs w:val="13"/>
                <w:color w:val="auto"/>
              </w:rPr>
              <w:t>400,685</w:t>
            </w:r>
          </w:p>
        </w:tc>
        <w:tc>
          <w:tcPr>
            <w:tcW w:w="960" w:type="dxa"/>
            <w:vAlign w:val="bottom"/>
            <w:shd w:val="clear" w:color="auto" w:fill="EDEDEE"/>
          </w:tcPr>
          <w:p>
            <w:pPr>
              <w:jc w:val="right"/>
              <w:ind w:right="77"/>
              <w:spacing w:after="0"/>
              <w:rPr>
                <w:sz w:val="20"/>
                <w:szCs w:val="20"/>
                <w:color w:val="auto"/>
              </w:rPr>
            </w:pPr>
            <w:r>
              <w:rPr>
                <w:rFonts w:ascii="Arial" w:cs="Arial" w:eastAsia="Arial" w:hAnsi="Arial"/>
                <w:sz w:val="13"/>
                <w:szCs w:val="13"/>
                <w:color w:val="auto"/>
              </w:rPr>
              <w:t>801,370</w:t>
            </w:r>
          </w:p>
        </w:tc>
        <w:tc>
          <w:tcPr>
            <w:tcW w:w="760" w:type="dxa"/>
            <w:vAlign w:val="bottom"/>
            <w:gridSpan w:val="2"/>
            <w:shd w:val="clear" w:color="auto" w:fill="EDEDEE"/>
          </w:tcPr>
          <w:p>
            <w:pPr>
              <w:jc w:val="right"/>
              <w:ind w:right="80"/>
              <w:spacing w:after="0"/>
              <w:rPr>
                <w:sz w:val="20"/>
                <w:szCs w:val="20"/>
                <w:color w:val="auto"/>
              </w:rPr>
            </w:pPr>
            <w:r>
              <w:rPr>
                <w:rFonts w:ascii="Arial" w:cs="Arial" w:eastAsia="Arial" w:hAnsi="Arial"/>
                <w:sz w:val="13"/>
                <w:szCs w:val="13"/>
                <w:color w:val="auto"/>
              </w:rPr>
              <w:t>2,003,425</w:t>
            </w:r>
          </w:p>
        </w:tc>
        <w:tc>
          <w:tcPr>
            <w:tcW w:w="740" w:type="dxa"/>
            <w:vAlign w:val="bottom"/>
            <w:shd w:val="clear" w:color="auto" w:fill="EDEDEE"/>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3"/>
            <w:shd w:val="clear" w:color="auto" w:fill="EDEDEE"/>
          </w:tcPr>
          <w:p>
            <w:pPr>
              <w:jc w:val="right"/>
              <w:ind w:right="22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EDEDEE"/>
          </w:tcPr>
          <w:p>
            <w:pPr>
              <w:jc w:val="right"/>
              <w:ind w:right="120"/>
              <w:spacing w:after="0"/>
              <w:rPr>
                <w:sz w:val="20"/>
                <w:szCs w:val="20"/>
                <w:color w:val="auto"/>
              </w:rPr>
            </w:pPr>
            <w:r>
              <w:rPr>
                <w:rFonts w:ascii="Arial" w:cs="Arial" w:eastAsia="Arial" w:hAnsi="Arial"/>
                <w:sz w:val="13"/>
                <w:szCs w:val="13"/>
                <w:color w:val="auto"/>
              </w:rPr>
              <w:t>—</w:t>
            </w:r>
          </w:p>
        </w:tc>
        <w:tc>
          <w:tcPr>
            <w:tcW w:w="880" w:type="dxa"/>
            <w:vAlign w:val="bottom"/>
            <w:shd w:val="clear" w:color="auto" w:fill="EDEDEE"/>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shd w:val="clear" w:color="auto" w:fill="EDEDEE"/>
          </w:tcPr>
          <w:p>
            <w:pPr>
              <w:jc w:val="right"/>
              <w:ind w:right="77"/>
              <w:spacing w:after="0"/>
              <w:rPr>
                <w:sz w:val="20"/>
                <w:szCs w:val="20"/>
                <w:color w:val="auto"/>
              </w:rPr>
            </w:pPr>
            <w:r>
              <w:rPr>
                <w:rFonts w:ascii="Arial" w:cs="Arial" w:eastAsia="Arial" w:hAnsi="Arial"/>
                <w:sz w:val="13"/>
                <w:szCs w:val="13"/>
                <w:color w:val="auto"/>
              </w:rPr>
              <w:t>—</w:t>
            </w:r>
          </w:p>
        </w:tc>
        <w:tc>
          <w:tcPr>
            <w:tcW w:w="980" w:type="dxa"/>
            <w:vAlign w:val="bottom"/>
            <w:shd w:val="clear" w:color="auto" w:fill="EDEDEE"/>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420" w:type="dxa"/>
            <w:vAlign w:val="bottom"/>
          </w:tcPr>
          <w:p>
            <w:pPr>
              <w:ind w:left="40"/>
              <w:spacing w:after="0"/>
              <w:rPr>
                <w:sz w:val="20"/>
                <w:szCs w:val="20"/>
                <w:color w:val="auto"/>
              </w:rPr>
            </w:pPr>
            <w:r>
              <w:rPr>
                <w:rFonts w:ascii="Arial" w:cs="Arial" w:eastAsia="Arial" w:hAnsi="Arial"/>
                <w:sz w:val="13"/>
                <w:szCs w:val="13"/>
                <w:color w:val="auto"/>
              </w:rPr>
              <w:t>PRSUs</w:t>
            </w: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5/12/2025</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48,148</w:t>
            </w:r>
          </w:p>
        </w:tc>
        <w:tc>
          <w:tcPr>
            <w:tcW w:w="620" w:type="dxa"/>
            <w:vAlign w:val="bottom"/>
          </w:tcPr>
          <w:p>
            <w:pPr>
              <w:jc w:val="right"/>
              <w:spacing w:after="0"/>
              <w:rPr>
                <w:sz w:val="20"/>
                <w:szCs w:val="20"/>
                <w:color w:val="auto"/>
              </w:rPr>
            </w:pPr>
            <w:r>
              <w:rPr>
                <w:rFonts w:ascii="Arial" w:cs="Arial" w:eastAsia="Arial" w:hAnsi="Arial"/>
                <w:sz w:val="13"/>
                <w:szCs w:val="13"/>
                <w:color w:val="auto"/>
              </w:rPr>
              <w:t>96,296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192,592</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3,741,100</w:t>
            </w:r>
          </w:p>
        </w:tc>
        <w:tc>
          <w:tcPr>
            <w:tcW w:w="0" w:type="dxa"/>
            <w:vAlign w:val="bottom"/>
          </w:tcPr>
          <w:p>
            <w:pPr>
              <w:spacing w:after="0"/>
              <w:rPr>
                <w:sz w:val="1"/>
                <w:szCs w:val="1"/>
                <w:color w:val="auto"/>
              </w:rPr>
            </w:pPr>
          </w:p>
        </w:tc>
      </w:tr>
      <w:tr>
        <w:trPr>
          <w:trHeight w:val="148"/>
        </w:trPr>
        <w:tc>
          <w:tcPr>
            <w:tcW w:w="1300" w:type="dxa"/>
            <w:vAlign w:val="bottom"/>
            <w:shd w:val="clear" w:color="auto" w:fill="EDEDEE"/>
          </w:tcPr>
          <w:p>
            <w:pPr>
              <w:spacing w:after="0"/>
              <w:rPr>
                <w:sz w:val="12"/>
                <w:szCs w:val="12"/>
                <w:color w:val="auto"/>
              </w:rPr>
            </w:pPr>
          </w:p>
        </w:tc>
        <w:tc>
          <w:tcPr>
            <w:tcW w:w="1420" w:type="dxa"/>
            <w:vAlign w:val="bottom"/>
            <w:shd w:val="clear" w:color="auto" w:fill="EDEDEE"/>
          </w:tcPr>
          <w:p>
            <w:pPr>
              <w:ind w:left="40"/>
              <w:spacing w:after="0"/>
              <w:rPr>
                <w:sz w:val="20"/>
                <w:szCs w:val="20"/>
                <w:color w:val="auto"/>
              </w:rPr>
            </w:pPr>
            <w:r>
              <w:rPr>
                <w:rFonts w:ascii="Arial" w:cs="Arial" w:eastAsia="Arial" w:hAnsi="Arial"/>
                <w:sz w:val="13"/>
                <w:szCs w:val="13"/>
                <w:color w:val="auto"/>
              </w:rPr>
              <w:t>RSUs</w:t>
            </w:r>
          </w:p>
        </w:tc>
        <w:tc>
          <w:tcPr>
            <w:tcW w:w="940" w:type="dxa"/>
            <w:vAlign w:val="bottom"/>
            <w:shd w:val="clear" w:color="auto" w:fill="EDEDEE"/>
          </w:tcPr>
          <w:p>
            <w:pPr>
              <w:jc w:val="right"/>
              <w:ind w:right="17"/>
              <w:spacing w:after="0"/>
              <w:rPr>
                <w:sz w:val="20"/>
                <w:szCs w:val="20"/>
                <w:color w:val="auto"/>
              </w:rPr>
            </w:pPr>
            <w:r>
              <w:rPr>
                <w:rFonts w:ascii="Arial" w:cs="Arial" w:eastAsia="Arial" w:hAnsi="Arial"/>
                <w:sz w:val="13"/>
                <w:szCs w:val="13"/>
                <w:color w:val="auto"/>
              </w:rPr>
              <w:t>5/12/2025</w:t>
            </w:r>
          </w:p>
        </w:tc>
        <w:tc>
          <w:tcPr>
            <w:tcW w:w="740" w:type="dxa"/>
            <w:vAlign w:val="bottom"/>
            <w:shd w:val="clear" w:color="auto" w:fill="EDEDEE"/>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EDEDEE"/>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EDEDEE"/>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shd w:val="clear" w:color="auto" w:fill="EDEDEE"/>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3"/>
            <w:shd w:val="clear" w:color="auto" w:fill="EDEDEE"/>
          </w:tcPr>
          <w:p>
            <w:pPr>
              <w:jc w:val="right"/>
              <w:ind w:right="22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EDEDEE"/>
          </w:tcPr>
          <w:p>
            <w:pPr>
              <w:jc w:val="right"/>
              <w:ind w:right="120"/>
              <w:spacing w:after="0"/>
              <w:rPr>
                <w:sz w:val="20"/>
                <w:szCs w:val="20"/>
                <w:color w:val="auto"/>
              </w:rPr>
            </w:pPr>
            <w:r>
              <w:rPr>
                <w:rFonts w:ascii="Arial" w:cs="Arial" w:eastAsia="Arial" w:hAnsi="Arial"/>
                <w:sz w:val="13"/>
                <w:szCs w:val="13"/>
                <w:color w:val="auto"/>
              </w:rPr>
              <w:t>—</w:t>
            </w:r>
          </w:p>
        </w:tc>
        <w:tc>
          <w:tcPr>
            <w:tcW w:w="880" w:type="dxa"/>
            <w:vAlign w:val="bottom"/>
            <w:shd w:val="clear" w:color="auto" w:fill="EDEDEE"/>
          </w:tcPr>
          <w:p>
            <w:pPr>
              <w:jc w:val="right"/>
              <w:ind w:right="57"/>
              <w:spacing w:after="0"/>
              <w:rPr>
                <w:sz w:val="20"/>
                <w:szCs w:val="20"/>
                <w:color w:val="auto"/>
              </w:rPr>
            </w:pPr>
            <w:r>
              <w:rPr>
                <w:rFonts w:ascii="Arial" w:cs="Arial" w:eastAsia="Arial" w:hAnsi="Arial"/>
                <w:sz w:val="13"/>
                <w:szCs w:val="13"/>
                <w:color w:val="auto"/>
              </w:rPr>
              <w:t>96,296</w:t>
            </w:r>
          </w:p>
        </w:tc>
        <w:tc>
          <w:tcPr>
            <w:tcW w:w="780" w:type="dxa"/>
            <w:vAlign w:val="bottom"/>
            <w:shd w:val="clear" w:color="auto" w:fill="EDEDEE"/>
          </w:tcPr>
          <w:p>
            <w:pPr>
              <w:jc w:val="right"/>
              <w:ind w:right="77"/>
              <w:spacing w:after="0"/>
              <w:rPr>
                <w:sz w:val="20"/>
                <w:szCs w:val="20"/>
                <w:color w:val="auto"/>
              </w:rPr>
            </w:pPr>
            <w:r>
              <w:rPr>
                <w:rFonts w:ascii="Arial" w:cs="Arial" w:eastAsia="Arial" w:hAnsi="Arial"/>
                <w:sz w:val="13"/>
                <w:szCs w:val="13"/>
                <w:color w:val="auto"/>
              </w:rPr>
              <w:t>$36.57</w:t>
            </w:r>
          </w:p>
        </w:tc>
        <w:tc>
          <w:tcPr>
            <w:tcW w:w="980" w:type="dxa"/>
            <w:vAlign w:val="bottom"/>
            <w:shd w:val="clear" w:color="auto" w:fill="EDEDEE"/>
          </w:tcPr>
          <w:p>
            <w:pPr>
              <w:jc w:val="right"/>
              <w:spacing w:after="0"/>
              <w:rPr>
                <w:sz w:val="20"/>
                <w:szCs w:val="20"/>
                <w:color w:val="auto"/>
              </w:rPr>
            </w:pPr>
            <w:r>
              <w:rPr>
                <w:rFonts w:ascii="Arial" w:cs="Arial" w:eastAsia="Arial" w:hAnsi="Arial"/>
                <w:sz w:val="13"/>
                <w:szCs w:val="13"/>
                <w:color w:val="auto"/>
              </w:rPr>
              <w:t>3,521,545</w:t>
            </w:r>
          </w:p>
        </w:tc>
        <w:tc>
          <w:tcPr>
            <w:tcW w:w="0" w:type="dxa"/>
            <w:vAlign w:val="bottom"/>
          </w:tcPr>
          <w:p>
            <w:pPr>
              <w:spacing w:after="0"/>
              <w:rPr>
                <w:sz w:val="1"/>
                <w:szCs w:val="1"/>
                <w:color w:val="auto"/>
              </w:rPr>
            </w:pPr>
          </w:p>
        </w:tc>
      </w:tr>
      <w:tr>
        <w:trPr>
          <w:trHeight w:val="135"/>
        </w:trPr>
        <w:tc>
          <w:tcPr>
            <w:tcW w:w="13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300" w:type="dxa"/>
            <w:vAlign w:val="bottom"/>
            <w:shd w:val="clear" w:color="auto" w:fill="EDEDEE"/>
          </w:tcPr>
          <w:p>
            <w:pPr>
              <w:spacing w:after="0" w:line="129" w:lineRule="exact"/>
              <w:rPr>
                <w:sz w:val="20"/>
                <w:szCs w:val="20"/>
                <w:color w:val="auto"/>
              </w:rPr>
            </w:pPr>
            <w:r>
              <w:rPr>
                <w:rFonts w:ascii="Arial" w:cs="Arial" w:eastAsia="Arial" w:hAnsi="Arial"/>
                <w:sz w:val="13"/>
                <w:szCs w:val="13"/>
                <w:b w:val="1"/>
                <w:bCs w:val="1"/>
                <w:color w:val="auto"/>
                <w:w w:val="98"/>
              </w:rPr>
              <w:t> Matthew L. Trerotola</w:t>
            </w:r>
          </w:p>
        </w:tc>
        <w:tc>
          <w:tcPr>
            <w:tcW w:w="1420" w:type="dxa"/>
            <w:vAlign w:val="bottom"/>
            <w:shd w:val="clear" w:color="auto" w:fill="EDEDEE"/>
          </w:tcPr>
          <w:p>
            <w:pPr>
              <w:ind w:left="40"/>
              <w:spacing w:after="0" w:line="129" w:lineRule="exact"/>
              <w:rPr>
                <w:sz w:val="20"/>
                <w:szCs w:val="20"/>
                <w:color w:val="auto"/>
              </w:rPr>
            </w:pPr>
            <w:r>
              <w:rPr>
                <w:rFonts w:ascii="Arial" w:cs="Arial" w:eastAsia="Arial" w:hAnsi="Arial"/>
                <w:sz w:val="13"/>
                <w:szCs w:val="13"/>
                <w:color w:val="auto"/>
              </w:rPr>
              <w:t>Annual Incentive Plan</w:t>
            </w:r>
          </w:p>
        </w:tc>
        <w:tc>
          <w:tcPr>
            <w:tcW w:w="940" w:type="dxa"/>
            <w:vAlign w:val="bottom"/>
            <w:shd w:val="clear" w:color="auto" w:fill="EDEDEE"/>
          </w:tcPr>
          <w:p>
            <w:pPr>
              <w:jc w:val="right"/>
              <w:ind w:right="17"/>
              <w:spacing w:after="0" w:line="129" w:lineRule="exact"/>
              <w:rPr>
                <w:sz w:val="20"/>
                <w:szCs w:val="20"/>
                <w:color w:val="auto"/>
              </w:rPr>
            </w:pPr>
            <w:r>
              <w:rPr>
                <w:rFonts w:ascii="Arial" w:cs="Arial" w:eastAsia="Arial" w:hAnsi="Arial"/>
                <w:sz w:val="13"/>
                <w:szCs w:val="13"/>
                <w:color w:val="auto"/>
              </w:rPr>
              <w:t>—</w:t>
            </w:r>
          </w:p>
        </w:tc>
        <w:tc>
          <w:tcPr>
            <w:tcW w:w="740" w:type="dxa"/>
            <w:vAlign w:val="bottom"/>
            <w:shd w:val="clear" w:color="auto" w:fill="EDEDEE"/>
          </w:tcPr>
          <w:p>
            <w:pPr>
              <w:jc w:val="right"/>
              <w:spacing w:after="0" w:line="129" w:lineRule="exact"/>
              <w:rPr>
                <w:sz w:val="20"/>
                <w:szCs w:val="20"/>
                <w:color w:val="auto"/>
              </w:rPr>
            </w:pPr>
            <w:r>
              <w:rPr>
                <w:rFonts w:ascii="Arial" w:cs="Arial" w:eastAsia="Arial" w:hAnsi="Arial"/>
                <w:sz w:val="13"/>
                <w:szCs w:val="13"/>
                <w:color w:val="auto"/>
              </w:rPr>
              <w:t>535,911</w:t>
            </w:r>
          </w:p>
        </w:tc>
        <w:tc>
          <w:tcPr>
            <w:tcW w:w="960" w:type="dxa"/>
            <w:vAlign w:val="bottom"/>
            <w:shd w:val="clear" w:color="auto" w:fill="EDEDEE"/>
          </w:tcPr>
          <w:p>
            <w:pPr>
              <w:jc w:val="right"/>
              <w:ind w:right="77"/>
              <w:spacing w:after="0" w:line="129" w:lineRule="exact"/>
              <w:rPr>
                <w:sz w:val="20"/>
                <w:szCs w:val="20"/>
                <w:color w:val="auto"/>
              </w:rPr>
            </w:pPr>
            <w:r>
              <w:rPr>
                <w:rFonts w:ascii="Arial" w:cs="Arial" w:eastAsia="Arial" w:hAnsi="Arial"/>
                <w:sz w:val="13"/>
                <w:szCs w:val="13"/>
                <w:color w:val="auto"/>
              </w:rPr>
              <w:t>1,071,823</w:t>
            </w:r>
          </w:p>
        </w:tc>
        <w:tc>
          <w:tcPr>
            <w:tcW w:w="760" w:type="dxa"/>
            <w:vAlign w:val="bottom"/>
            <w:gridSpan w:val="2"/>
            <w:shd w:val="clear" w:color="auto" w:fill="EDEDEE"/>
          </w:tcPr>
          <w:p>
            <w:pPr>
              <w:jc w:val="right"/>
              <w:ind w:right="80"/>
              <w:spacing w:after="0" w:line="129" w:lineRule="exact"/>
              <w:rPr>
                <w:sz w:val="20"/>
                <w:szCs w:val="20"/>
                <w:color w:val="auto"/>
              </w:rPr>
            </w:pPr>
            <w:r>
              <w:rPr>
                <w:rFonts w:ascii="Arial" w:cs="Arial" w:eastAsia="Arial" w:hAnsi="Arial"/>
                <w:sz w:val="13"/>
                <w:szCs w:val="13"/>
                <w:color w:val="auto"/>
              </w:rPr>
              <w:t>2,679,556</w:t>
            </w:r>
          </w:p>
        </w:tc>
        <w:tc>
          <w:tcPr>
            <w:tcW w:w="740" w:type="dxa"/>
            <w:vAlign w:val="bottom"/>
            <w:shd w:val="clear" w:color="auto" w:fill="EDEDEE"/>
          </w:tcPr>
          <w:p>
            <w:pPr>
              <w:jc w:val="right"/>
              <w:spacing w:after="0" w:line="129" w:lineRule="exact"/>
              <w:rPr>
                <w:sz w:val="20"/>
                <w:szCs w:val="20"/>
                <w:color w:val="auto"/>
              </w:rPr>
            </w:pPr>
            <w:r>
              <w:rPr>
                <w:rFonts w:ascii="Arial" w:cs="Arial" w:eastAsia="Arial" w:hAnsi="Arial"/>
                <w:sz w:val="13"/>
                <w:szCs w:val="13"/>
                <w:color w:val="auto"/>
              </w:rPr>
              <w:t>—</w:t>
            </w:r>
          </w:p>
        </w:tc>
        <w:tc>
          <w:tcPr>
            <w:tcW w:w="800" w:type="dxa"/>
            <w:vAlign w:val="bottom"/>
            <w:gridSpan w:val="3"/>
            <w:shd w:val="clear" w:color="auto" w:fill="EDEDEE"/>
          </w:tcPr>
          <w:p>
            <w:pPr>
              <w:jc w:val="right"/>
              <w:ind w:right="220"/>
              <w:spacing w:after="0" w:line="129"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EDEDEE"/>
          </w:tcPr>
          <w:p>
            <w:pPr>
              <w:jc w:val="right"/>
              <w:ind w:right="120"/>
              <w:spacing w:after="0" w:line="129" w:lineRule="exact"/>
              <w:rPr>
                <w:sz w:val="20"/>
                <w:szCs w:val="20"/>
                <w:color w:val="auto"/>
              </w:rPr>
            </w:pPr>
            <w:r>
              <w:rPr>
                <w:rFonts w:ascii="Arial" w:cs="Arial" w:eastAsia="Arial" w:hAnsi="Arial"/>
                <w:sz w:val="13"/>
                <w:szCs w:val="13"/>
                <w:color w:val="auto"/>
              </w:rPr>
              <w:t>—</w:t>
            </w:r>
          </w:p>
        </w:tc>
        <w:tc>
          <w:tcPr>
            <w:tcW w:w="880" w:type="dxa"/>
            <w:vAlign w:val="bottom"/>
            <w:shd w:val="clear" w:color="auto" w:fill="EDEDEE"/>
          </w:tcPr>
          <w:p>
            <w:pPr>
              <w:jc w:val="right"/>
              <w:ind w:right="57"/>
              <w:spacing w:after="0" w:line="129" w:lineRule="exact"/>
              <w:rPr>
                <w:sz w:val="20"/>
                <w:szCs w:val="20"/>
                <w:color w:val="auto"/>
              </w:rPr>
            </w:pPr>
            <w:r>
              <w:rPr>
                <w:rFonts w:ascii="Arial" w:cs="Arial" w:eastAsia="Arial" w:hAnsi="Arial"/>
                <w:sz w:val="13"/>
                <w:szCs w:val="13"/>
                <w:color w:val="auto"/>
              </w:rPr>
              <w:t>—</w:t>
            </w:r>
          </w:p>
        </w:tc>
        <w:tc>
          <w:tcPr>
            <w:tcW w:w="780" w:type="dxa"/>
            <w:vAlign w:val="bottom"/>
            <w:shd w:val="clear" w:color="auto" w:fill="EDEDEE"/>
          </w:tcPr>
          <w:p>
            <w:pPr>
              <w:jc w:val="right"/>
              <w:ind w:right="77"/>
              <w:spacing w:after="0" w:line="129" w:lineRule="exact"/>
              <w:rPr>
                <w:sz w:val="20"/>
                <w:szCs w:val="20"/>
                <w:color w:val="auto"/>
              </w:rPr>
            </w:pPr>
            <w:r>
              <w:rPr>
                <w:rFonts w:ascii="Arial" w:cs="Arial" w:eastAsia="Arial" w:hAnsi="Arial"/>
                <w:sz w:val="13"/>
                <w:szCs w:val="13"/>
                <w:color w:val="auto"/>
              </w:rPr>
              <w:t>—</w:t>
            </w:r>
          </w:p>
        </w:tc>
        <w:tc>
          <w:tcPr>
            <w:tcW w:w="980" w:type="dxa"/>
            <w:vAlign w:val="bottom"/>
            <w:shd w:val="clear" w:color="auto" w:fill="EDEDEE"/>
          </w:tcPr>
          <w:p>
            <w:pPr>
              <w:jc w:val="right"/>
              <w:spacing w:after="0" w:line="12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420" w:type="dxa"/>
            <w:vAlign w:val="bottom"/>
          </w:tcPr>
          <w:p>
            <w:pPr>
              <w:ind w:left="40"/>
              <w:spacing w:after="0" w:line="135" w:lineRule="exact"/>
              <w:rPr>
                <w:sz w:val="20"/>
                <w:szCs w:val="20"/>
                <w:color w:val="auto"/>
              </w:rPr>
            </w:pPr>
            <w:r>
              <w:rPr>
                <w:rFonts w:ascii="Arial" w:cs="Arial" w:eastAsia="Arial" w:hAnsi="Arial"/>
                <w:sz w:val="13"/>
                <w:szCs w:val="13"/>
                <w:color w:val="auto"/>
              </w:rPr>
              <w:t>PRSUs</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3/7/2025</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47,068</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94,135</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188,270</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980" w:type="dxa"/>
            <w:vAlign w:val="bottom"/>
          </w:tcPr>
          <w:p>
            <w:pPr>
              <w:jc w:val="right"/>
              <w:spacing w:after="0" w:line="135" w:lineRule="exact"/>
              <w:rPr>
                <w:sz w:val="20"/>
                <w:szCs w:val="20"/>
                <w:color w:val="auto"/>
              </w:rPr>
            </w:pPr>
            <w:r>
              <w:rPr>
                <w:rFonts w:ascii="Arial" w:cs="Arial" w:eastAsia="Arial" w:hAnsi="Arial"/>
                <w:sz w:val="13"/>
                <w:szCs w:val="13"/>
                <w:color w:val="auto"/>
              </w:rPr>
              <w:t>3,723,039</w:t>
            </w:r>
          </w:p>
        </w:tc>
        <w:tc>
          <w:tcPr>
            <w:tcW w:w="0" w:type="dxa"/>
            <w:vAlign w:val="bottom"/>
          </w:tcPr>
          <w:p>
            <w:pPr>
              <w:spacing w:after="0"/>
              <w:rPr>
                <w:sz w:val="1"/>
                <w:szCs w:val="1"/>
                <w:color w:val="auto"/>
              </w:rPr>
            </w:pPr>
          </w:p>
        </w:tc>
      </w:tr>
      <w:tr>
        <w:trPr>
          <w:trHeight w:val="135"/>
        </w:trPr>
        <w:tc>
          <w:tcPr>
            <w:tcW w:w="1300" w:type="dxa"/>
            <w:vAlign w:val="bottom"/>
            <w:shd w:val="clear" w:color="auto" w:fill="EDEDEE"/>
          </w:tcPr>
          <w:p>
            <w:pPr>
              <w:spacing w:after="0"/>
              <w:rPr>
                <w:sz w:val="11"/>
                <w:szCs w:val="11"/>
                <w:color w:val="auto"/>
              </w:rPr>
            </w:pPr>
          </w:p>
        </w:tc>
        <w:tc>
          <w:tcPr>
            <w:tcW w:w="1420" w:type="dxa"/>
            <w:vAlign w:val="bottom"/>
            <w:shd w:val="clear" w:color="auto" w:fill="EDEDEE"/>
          </w:tcPr>
          <w:p>
            <w:pPr>
              <w:ind w:left="40"/>
              <w:spacing w:after="0" w:line="135" w:lineRule="exact"/>
              <w:rPr>
                <w:sz w:val="20"/>
                <w:szCs w:val="20"/>
                <w:color w:val="auto"/>
              </w:rPr>
            </w:pPr>
            <w:r>
              <w:rPr>
                <w:rFonts w:ascii="Arial" w:cs="Arial" w:eastAsia="Arial" w:hAnsi="Arial"/>
                <w:sz w:val="13"/>
                <w:szCs w:val="13"/>
                <w:color w:val="auto"/>
              </w:rPr>
              <w:t>RSUs</w:t>
            </w:r>
          </w:p>
        </w:tc>
        <w:tc>
          <w:tcPr>
            <w:tcW w:w="940" w:type="dxa"/>
            <w:vAlign w:val="bottom"/>
            <w:shd w:val="clear" w:color="auto" w:fill="EDEDEE"/>
          </w:tcPr>
          <w:p>
            <w:pPr>
              <w:jc w:val="right"/>
              <w:ind w:right="17"/>
              <w:spacing w:after="0" w:line="135" w:lineRule="exact"/>
              <w:rPr>
                <w:sz w:val="20"/>
                <w:szCs w:val="20"/>
                <w:color w:val="auto"/>
              </w:rPr>
            </w:pPr>
            <w:r>
              <w:rPr>
                <w:rFonts w:ascii="Arial" w:cs="Arial" w:eastAsia="Arial" w:hAnsi="Arial"/>
                <w:sz w:val="13"/>
                <w:szCs w:val="13"/>
                <w:color w:val="auto"/>
              </w:rPr>
              <w:t>3/7/2025</w:t>
            </w:r>
          </w:p>
        </w:tc>
        <w:tc>
          <w:tcPr>
            <w:tcW w:w="740" w:type="dxa"/>
            <w:vAlign w:val="bottom"/>
            <w:shd w:val="clear" w:color="auto" w:fill="EDEDEE"/>
          </w:tcPr>
          <w:p>
            <w:pPr>
              <w:jc w:val="right"/>
              <w:spacing w:after="0" w:line="135" w:lineRule="exact"/>
              <w:rPr>
                <w:sz w:val="20"/>
                <w:szCs w:val="20"/>
                <w:color w:val="auto"/>
              </w:rPr>
            </w:pPr>
            <w:r>
              <w:rPr>
                <w:rFonts w:ascii="Arial" w:cs="Arial" w:eastAsia="Arial" w:hAnsi="Arial"/>
                <w:sz w:val="13"/>
                <w:szCs w:val="13"/>
                <w:color w:val="auto"/>
              </w:rPr>
              <w:t>—</w:t>
            </w:r>
          </w:p>
        </w:tc>
        <w:tc>
          <w:tcPr>
            <w:tcW w:w="960" w:type="dxa"/>
            <w:vAlign w:val="bottom"/>
            <w:shd w:val="clear" w:color="auto" w:fill="EDEDEE"/>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EDEDEE"/>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EDEDEE"/>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3"/>
            <w:shd w:val="clear" w:color="auto" w:fill="EDEDEE"/>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EDEDEE"/>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80" w:type="dxa"/>
            <w:vAlign w:val="bottom"/>
            <w:shd w:val="clear" w:color="auto" w:fill="EDEDEE"/>
          </w:tcPr>
          <w:p>
            <w:pPr>
              <w:jc w:val="right"/>
              <w:ind w:right="57"/>
              <w:spacing w:after="0" w:line="135" w:lineRule="exact"/>
              <w:rPr>
                <w:sz w:val="20"/>
                <w:szCs w:val="20"/>
                <w:color w:val="auto"/>
              </w:rPr>
            </w:pPr>
            <w:r>
              <w:rPr>
                <w:rFonts w:ascii="Arial" w:cs="Arial" w:eastAsia="Arial" w:hAnsi="Arial"/>
                <w:sz w:val="13"/>
                <w:szCs w:val="13"/>
                <w:color w:val="auto"/>
              </w:rPr>
              <w:t>94,135</w:t>
            </w:r>
          </w:p>
        </w:tc>
        <w:tc>
          <w:tcPr>
            <w:tcW w:w="780" w:type="dxa"/>
            <w:vAlign w:val="bottom"/>
            <w:shd w:val="clear" w:color="auto" w:fill="EDEDEE"/>
          </w:tcPr>
          <w:p>
            <w:pPr>
              <w:jc w:val="right"/>
              <w:ind w:right="77"/>
              <w:spacing w:after="0" w:line="135" w:lineRule="exact"/>
              <w:rPr>
                <w:sz w:val="20"/>
                <w:szCs w:val="20"/>
                <w:color w:val="auto"/>
              </w:rPr>
            </w:pPr>
            <w:r>
              <w:rPr>
                <w:rFonts w:ascii="Arial" w:cs="Arial" w:eastAsia="Arial" w:hAnsi="Arial"/>
                <w:sz w:val="13"/>
                <w:szCs w:val="13"/>
                <w:color w:val="auto"/>
              </w:rPr>
              <w:t>$37,72</w:t>
            </w:r>
          </w:p>
        </w:tc>
        <w:tc>
          <w:tcPr>
            <w:tcW w:w="980" w:type="dxa"/>
            <w:vAlign w:val="bottom"/>
            <w:shd w:val="clear" w:color="auto" w:fill="EDEDEE"/>
          </w:tcPr>
          <w:p>
            <w:pPr>
              <w:jc w:val="right"/>
              <w:spacing w:after="0" w:line="135" w:lineRule="exact"/>
              <w:rPr>
                <w:sz w:val="20"/>
                <w:szCs w:val="20"/>
                <w:color w:val="auto"/>
              </w:rPr>
            </w:pPr>
            <w:r>
              <w:rPr>
                <w:rFonts w:ascii="Arial" w:cs="Arial" w:eastAsia="Arial" w:hAnsi="Arial"/>
                <w:sz w:val="13"/>
                <w:szCs w:val="13"/>
                <w:color w:val="auto"/>
              </w:rPr>
              <w:t>3,550,772</w:t>
            </w:r>
          </w:p>
        </w:tc>
        <w:tc>
          <w:tcPr>
            <w:tcW w:w="0" w:type="dxa"/>
            <w:vAlign w:val="bottom"/>
          </w:tcPr>
          <w:p>
            <w:pPr>
              <w:spacing w:after="0"/>
              <w:rPr>
                <w:sz w:val="1"/>
                <w:szCs w:val="1"/>
                <w:color w:val="auto"/>
              </w:rPr>
            </w:pPr>
          </w:p>
        </w:tc>
      </w:tr>
      <w:tr>
        <w:trPr>
          <w:trHeight w:val="135"/>
        </w:trPr>
        <w:tc>
          <w:tcPr>
            <w:tcW w:w="13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300" w:type="dxa"/>
            <w:vAlign w:val="bottom"/>
            <w:shd w:val="clear" w:color="auto" w:fill="EDEDEE"/>
          </w:tcPr>
          <w:p>
            <w:pPr>
              <w:spacing w:after="0" w:line="129" w:lineRule="exact"/>
              <w:rPr>
                <w:sz w:val="20"/>
                <w:szCs w:val="20"/>
                <w:color w:val="auto"/>
              </w:rPr>
            </w:pPr>
            <w:r>
              <w:rPr>
                <w:rFonts w:ascii="Arial" w:cs="Arial" w:eastAsia="Arial" w:hAnsi="Arial"/>
                <w:sz w:val="13"/>
                <w:szCs w:val="13"/>
                <w:b w:val="1"/>
                <w:bCs w:val="1"/>
                <w:color w:val="auto"/>
              </w:rPr>
              <w:t> Phillip “Ben” Berry</w:t>
            </w:r>
          </w:p>
        </w:tc>
        <w:tc>
          <w:tcPr>
            <w:tcW w:w="1420" w:type="dxa"/>
            <w:vAlign w:val="bottom"/>
            <w:shd w:val="clear" w:color="auto" w:fill="EDEDEE"/>
          </w:tcPr>
          <w:p>
            <w:pPr>
              <w:ind w:left="40"/>
              <w:spacing w:after="0" w:line="129" w:lineRule="exact"/>
              <w:rPr>
                <w:sz w:val="20"/>
                <w:szCs w:val="20"/>
                <w:color w:val="auto"/>
              </w:rPr>
            </w:pPr>
            <w:r>
              <w:rPr>
                <w:rFonts w:ascii="Arial" w:cs="Arial" w:eastAsia="Arial" w:hAnsi="Arial"/>
                <w:sz w:val="13"/>
                <w:szCs w:val="13"/>
                <w:color w:val="auto"/>
              </w:rPr>
              <w:t>Annual Incentive Plan</w:t>
            </w:r>
          </w:p>
        </w:tc>
        <w:tc>
          <w:tcPr>
            <w:tcW w:w="940" w:type="dxa"/>
            <w:vAlign w:val="bottom"/>
            <w:shd w:val="clear" w:color="auto" w:fill="EDEDEE"/>
          </w:tcPr>
          <w:p>
            <w:pPr>
              <w:jc w:val="right"/>
              <w:ind w:right="17"/>
              <w:spacing w:after="0" w:line="129" w:lineRule="exact"/>
              <w:rPr>
                <w:sz w:val="20"/>
                <w:szCs w:val="20"/>
                <w:color w:val="auto"/>
              </w:rPr>
            </w:pPr>
            <w:r>
              <w:rPr>
                <w:rFonts w:ascii="Arial" w:cs="Arial" w:eastAsia="Arial" w:hAnsi="Arial"/>
                <w:sz w:val="13"/>
                <w:szCs w:val="13"/>
                <w:color w:val="auto"/>
              </w:rPr>
              <w:t>—</w:t>
            </w:r>
          </w:p>
        </w:tc>
        <w:tc>
          <w:tcPr>
            <w:tcW w:w="740" w:type="dxa"/>
            <w:vAlign w:val="bottom"/>
            <w:shd w:val="clear" w:color="auto" w:fill="EDEDEE"/>
          </w:tcPr>
          <w:p>
            <w:pPr>
              <w:jc w:val="right"/>
              <w:spacing w:after="0" w:line="129" w:lineRule="exact"/>
              <w:rPr>
                <w:sz w:val="20"/>
                <w:szCs w:val="20"/>
                <w:color w:val="auto"/>
              </w:rPr>
            </w:pPr>
            <w:r>
              <w:rPr>
                <w:rFonts w:ascii="Arial" w:cs="Arial" w:eastAsia="Arial" w:hAnsi="Arial"/>
                <w:sz w:val="13"/>
                <w:szCs w:val="13"/>
                <w:color w:val="auto"/>
              </w:rPr>
              <w:t>228,750</w:t>
            </w:r>
          </w:p>
        </w:tc>
        <w:tc>
          <w:tcPr>
            <w:tcW w:w="960" w:type="dxa"/>
            <w:vAlign w:val="bottom"/>
            <w:shd w:val="clear" w:color="auto" w:fill="EDEDEE"/>
          </w:tcPr>
          <w:p>
            <w:pPr>
              <w:jc w:val="right"/>
              <w:ind w:right="77"/>
              <w:spacing w:after="0" w:line="129" w:lineRule="exact"/>
              <w:rPr>
                <w:sz w:val="20"/>
                <w:szCs w:val="20"/>
                <w:color w:val="auto"/>
              </w:rPr>
            </w:pPr>
            <w:r>
              <w:rPr>
                <w:rFonts w:ascii="Arial" w:cs="Arial" w:eastAsia="Arial" w:hAnsi="Arial"/>
                <w:sz w:val="13"/>
                <w:szCs w:val="13"/>
                <w:color w:val="auto"/>
              </w:rPr>
              <w:t>457,500</w:t>
            </w:r>
          </w:p>
        </w:tc>
        <w:tc>
          <w:tcPr>
            <w:tcW w:w="760" w:type="dxa"/>
            <w:vAlign w:val="bottom"/>
            <w:gridSpan w:val="2"/>
            <w:shd w:val="clear" w:color="auto" w:fill="EDEDEE"/>
          </w:tcPr>
          <w:p>
            <w:pPr>
              <w:jc w:val="right"/>
              <w:ind w:right="80"/>
              <w:spacing w:after="0" w:line="129" w:lineRule="exact"/>
              <w:rPr>
                <w:sz w:val="20"/>
                <w:szCs w:val="20"/>
                <w:color w:val="auto"/>
              </w:rPr>
            </w:pPr>
            <w:r>
              <w:rPr>
                <w:rFonts w:ascii="Arial" w:cs="Arial" w:eastAsia="Arial" w:hAnsi="Arial"/>
                <w:sz w:val="13"/>
                <w:szCs w:val="13"/>
                <w:color w:val="auto"/>
              </w:rPr>
              <w:t>1,143,751</w:t>
            </w:r>
          </w:p>
        </w:tc>
        <w:tc>
          <w:tcPr>
            <w:tcW w:w="740" w:type="dxa"/>
            <w:vAlign w:val="bottom"/>
            <w:shd w:val="clear" w:color="auto" w:fill="EDEDEE"/>
          </w:tcPr>
          <w:p>
            <w:pPr>
              <w:jc w:val="right"/>
              <w:spacing w:after="0" w:line="129" w:lineRule="exact"/>
              <w:rPr>
                <w:sz w:val="20"/>
                <w:szCs w:val="20"/>
                <w:color w:val="auto"/>
              </w:rPr>
            </w:pPr>
            <w:r>
              <w:rPr>
                <w:rFonts w:ascii="Arial" w:cs="Arial" w:eastAsia="Arial" w:hAnsi="Arial"/>
                <w:sz w:val="13"/>
                <w:szCs w:val="13"/>
                <w:color w:val="auto"/>
              </w:rPr>
              <w:t>—</w:t>
            </w:r>
          </w:p>
        </w:tc>
        <w:tc>
          <w:tcPr>
            <w:tcW w:w="800" w:type="dxa"/>
            <w:vAlign w:val="bottom"/>
            <w:gridSpan w:val="3"/>
            <w:shd w:val="clear" w:color="auto" w:fill="EDEDEE"/>
          </w:tcPr>
          <w:p>
            <w:pPr>
              <w:jc w:val="right"/>
              <w:ind w:right="220"/>
              <w:spacing w:after="0" w:line="129"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EDEDEE"/>
          </w:tcPr>
          <w:p>
            <w:pPr>
              <w:jc w:val="right"/>
              <w:ind w:right="120"/>
              <w:spacing w:after="0" w:line="129" w:lineRule="exact"/>
              <w:rPr>
                <w:sz w:val="20"/>
                <w:szCs w:val="20"/>
                <w:color w:val="auto"/>
              </w:rPr>
            </w:pPr>
            <w:r>
              <w:rPr>
                <w:rFonts w:ascii="Arial" w:cs="Arial" w:eastAsia="Arial" w:hAnsi="Arial"/>
                <w:sz w:val="13"/>
                <w:szCs w:val="13"/>
                <w:color w:val="auto"/>
              </w:rPr>
              <w:t>—</w:t>
            </w:r>
          </w:p>
        </w:tc>
        <w:tc>
          <w:tcPr>
            <w:tcW w:w="880" w:type="dxa"/>
            <w:vAlign w:val="bottom"/>
            <w:shd w:val="clear" w:color="auto" w:fill="EDEDEE"/>
          </w:tcPr>
          <w:p>
            <w:pPr>
              <w:jc w:val="right"/>
              <w:ind w:right="57"/>
              <w:spacing w:after="0" w:line="129" w:lineRule="exact"/>
              <w:rPr>
                <w:sz w:val="20"/>
                <w:szCs w:val="20"/>
                <w:color w:val="auto"/>
              </w:rPr>
            </w:pPr>
            <w:r>
              <w:rPr>
                <w:rFonts w:ascii="Arial" w:cs="Arial" w:eastAsia="Arial" w:hAnsi="Arial"/>
                <w:sz w:val="13"/>
                <w:szCs w:val="13"/>
                <w:color w:val="auto"/>
              </w:rPr>
              <w:t>—</w:t>
            </w:r>
          </w:p>
        </w:tc>
        <w:tc>
          <w:tcPr>
            <w:tcW w:w="780" w:type="dxa"/>
            <w:vAlign w:val="bottom"/>
            <w:shd w:val="clear" w:color="auto" w:fill="EDEDEE"/>
          </w:tcPr>
          <w:p>
            <w:pPr>
              <w:jc w:val="right"/>
              <w:ind w:right="77"/>
              <w:spacing w:after="0" w:line="129" w:lineRule="exact"/>
              <w:rPr>
                <w:sz w:val="20"/>
                <w:szCs w:val="20"/>
                <w:color w:val="auto"/>
              </w:rPr>
            </w:pPr>
            <w:r>
              <w:rPr>
                <w:rFonts w:ascii="Arial" w:cs="Arial" w:eastAsia="Arial" w:hAnsi="Arial"/>
                <w:sz w:val="13"/>
                <w:szCs w:val="13"/>
                <w:color w:val="auto"/>
              </w:rPr>
              <w:t>—</w:t>
            </w:r>
          </w:p>
        </w:tc>
        <w:tc>
          <w:tcPr>
            <w:tcW w:w="980" w:type="dxa"/>
            <w:vAlign w:val="bottom"/>
            <w:shd w:val="clear" w:color="auto" w:fill="EDEDEE"/>
          </w:tcPr>
          <w:p>
            <w:pPr>
              <w:jc w:val="right"/>
              <w:spacing w:after="0" w:line="12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420" w:type="dxa"/>
            <w:vAlign w:val="bottom"/>
          </w:tcPr>
          <w:p>
            <w:pPr>
              <w:ind w:left="40"/>
              <w:spacing w:after="0" w:line="135" w:lineRule="exact"/>
              <w:rPr>
                <w:sz w:val="20"/>
                <w:szCs w:val="20"/>
                <w:color w:val="auto"/>
              </w:rPr>
            </w:pPr>
            <w:r>
              <w:rPr>
                <w:rFonts w:ascii="Arial" w:cs="Arial" w:eastAsia="Arial" w:hAnsi="Arial"/>
                <w:sz w:val="13"/>
                <w:szCs w:val="13"/>
                <w:color w:val="auto"/>
              </w:rPr>
              <w:t>PRSUs</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3/7/2025</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12,069</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24,137</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48,274</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980" w:type="dxa"/>
            <w:vAlign w:val="bottom"/>
          </w:tcPr>
          <w:p>
            <w:pPr>
              <w:jc w:val="right"/>
              <w:spacing w:after="0" w:line="135" w:lineRule="exact"/>
              <w:rPr>
                <w:sz w:val="20"/>
                <w:szCs w:val="20"/>
                <w:color w:val="auto"/>
              </w:rPr>
            </w:pPr>
            <w:r>
              <w:rPr>
                <w:rFonts w:ascii="Arial" w:cs="Arial" w:eastAsia="Arial" w:hAnsi="Arial"/>
                <w:sz w:val="13"/>
                <w:szCs w:val="13"/>
                <w:color w:val="auto"/>
              </w:rPr>
              <w:t>954,618</w:t>
            </w:r>
          </w:p>
        </w:tc>
        <w:tc>
          <w:tcPr>
            <w:tcW w:w="0" w:type="dxa"/>
            <w:vAlign w:val="bottom"/>
          </w:tcPr>
          <w:p>
            <w:pPr>
              <w:spacing w:after="0"/>
              <w:rPr>
                <w:sz w:val="1"/>
                <w:szCs w:val="1"/>
                <w:color w:val="auto"/>
              </w:rPr>
            </w:pPr>
          </w:p>
        </w:tc>
      </w:tr>
      <w:tr>
        <w:trPr>
          <w:trHeight w:val="135"/>
        </w:trPr>
        <w:tc>
          <w:tcPr>
            <w:tcW w:w="1300" w:type="dxa"/>
            <w:vAlign w:val="bottom"/>
            <w:shd w:val="clear" w:color="auto" w:fill="EDEDEE"/>
          </w:tcPr>
          <w:p>
            <w:pPr>
              <w:spacing w:after="0"/>
              <w:rPr>
                <w:sz w:val="11"/>
                <w:szCs w:val="11"/>
                <w:color w:val="auto"/>
              </w:rPr>
            </w:pPr>
          </w:p>
        </w:tc>
        <w:tc>
          <w:tcPr>
            <w:tcW w:w="1420" w:type="dxa"/>
            <w:vAlign w:val="bottom"/>
            <w:shd w:val="clear" w:color="auto" w:fill="EDEDEE"/>
          </w:tcPr>
          <w:p>
            <w:pPr>
              <w:ind w:left="40"/>
              <w:spacing w:after="0" w:line="135" w:lineRule="exact"/>
              <w:rPr>
                <w:sz w:val="20"/>
                <w:szCs w:val="20"/>
                <w:color w:val="auto"/>
              </w:rPr>
            </w:pPr>
            <w:r>
              <w:rPr>
                <w:rFonts w:ascii="Arial" w:cs="Arial" w:eastAsia="Arial" w:hAnsi="Arial"/>
                <w:sz w:val="13"/>
                <w:szCs w:val="13"/>
                <w:color w:val="auto"/>
              </w:rPr>
              <w:t>RSUs</w:t>
            </w:r>
          </w:p>
        </w:tc>
        <w:tc>
          <w:tcPr>
            <w:tcW w:w="940" w:type="dxa"/>
            <w:vAlign w:val="bottom"/>
            <w:shd w:val="clear" w:color="auto" w:fill="EDEDEE"/>
          </w:tcPr>
          <w:p>
            <w:pPr>
              <w:jc w:val="right"/>
              <w:ind w:right="17"/>
              <w:spacing w:after="0" w:line="135" w:lineRule="exact"/>
              <w:rPr>
                <w:sz w:val="20"/>
                <w:szCs w:val="20"/>
                <w:color w:val="auto"/>
              </w:rPr>
            </w:pPr>
            <w:r>
              <w:rPr>
                <w:rFonts w:ascii="Arial" w:cs="Arial" w:eastAsia="Arial" w:hAnsi="Arial"/>
                <w:sz w:val="13"/>
                <w:szCs w:val="13"/>
                <w:color w:val="auto"/>
              </w:rPr>
              <w:t>3/7/2025</w:t>
            </w:r>
          </w:p>
        </w:tc>
        <w:tc>
          <w:tcPr>
            <w:tcW w:w="740" w:type="dxa"/>
            <w:vAlign w:val="bottom"/>
            <w:shd w:val="clear" w:color="auto" w:fill="EDEDEE"/>
          </w:tcPr>
          <w:p>
            <w:pPr>
              <w:jc w:val="right"/>
              <w:spacing w:after="0" w:line="135" w:lineRule="exact"/>
              <w:rPr>
                <w:sz w:val="20"/>
                <w:szCs w:val="20"/>
                <w:color w:val="auto"/>
              </w:rPr>
            </w:pPr>
            <w:r>
              <w:rPr>
                <w:rFonts w:ascii="Arial" w:cs="Arial" w:eastAsia="Arial" w:hAnsi="Arial"/>
                <w:sz w:val="13"/>
                <w:szCs w:val="13"/>
                <w:color w:val="auto"/>
              </w:rPr>
              <w:t>—</w:t>
            </w:r>
          </w:p>
        </w:tc>
        <w:tc>
          <w:tcPr>
            <w:tcW w:w="960" w:type="dxa"/>
            <w:vAlign w:val="bottom"/>
            <w:shd w:val="clear" w:color="auto" w:fill="EDEDEE"/>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EDEDEE"/>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EDEDEE"/>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3"/>
            <w:shd w:val="clear" w:color="auto" w:fill="EDEDEE"/>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EDEDEE"/>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80" w:type="dxa"/>
            <w:vAlign w:val="bottom"/>
            <w:shd w:val="clear" w:color="auto" w:fill="EDEDEE"/>
          </w:tcPr>
          <w:p>
            <w:pPr>
              <w:jc w:val="right"/>
              <w:ind w:right="57"/>
              <w:spacing w:after="0" w:line="135" w:lineRule="exact"/>
              <w:rPr>
                <w:sz w:val="20"/>
                <w:szCs w:val="20"/>
                <w:color w:val="auto"/>
              </w:rPr>
            </w:pPr>
            <w:r>
              <w:rPr>
                <w:rFonts w:ascii="Arial" w:cs="Arial" w:eastAsia="Arial" w:hAnsi="Arial"/>
                <w:sz w:val="13"/>
                <w:szCs w:val="13"/>
                <w:color w:val="auto"/>
              </w:rPr>
              <w:t>24,137</w:t>
            </w:r>
          </w:p>
        </w:tc>
        <w:tc>
          <w:tcPr>
            <w:tcW w:w="780" w:type="dxa"/>
            <w:vAlign w:val="bottom"/>
            <w:shd w:val="clear" w:color="auto" w:fill="EDEDEE"/>
          </w:tcPr>
          <w:p>
            <w:pPr>
              <w:jc w:val="right"/>
              <w:ind w:right="77"/>
              <w:spacing w:after="0" w:line="135" w:lineRule="exact"/>
              <w:rPr>
                <w:sz w:val="20"/>
                <w:szCs w:val="20"/>
                <w:color w:val="auto"/>
              </w:rPr>
            </w:pPr>
            <w:r>
              <w:rPr>
                <w:rFonts w:ascii="Arial" w:cs="Arial" w:eastAsia="Arial" w:hAnsi="Arial"/>
                <w:sz w:val="13"/>
                <w:szCs w:val="13"/>
                <w:color w:val="auto"/>
              </w:rPr>
              <w:t>$37.72</w:t>
            </w:r>
          </w:p>
        </w:tc>
        <w:tc>
          <w:tcPr>
            <w:tcW w:w="980" w:type="dxa"/>
            <w:vAlign w:val="bottom"/>
            <w:shd w:val="clear" w:color="auto" w:fill="EDEDEE"/>
          </w:tcPr>
          <w:p>
            <w:pPr>
              <w:jc w:val="right"/>
              <w:spacing w:after="0" w:line="135" w:lineRule="exact"/>
              <w:rPr>
                <w:sz w:val="20"/>
                <w:szCs w:val="20"/>
                <w:color w:val="auto"/>
              </w:rPr>
            </w:pPr>
            <w:r>
              <w:rPr>
                <w:rFonts w:ascii="Arial" w:cs="Arial" w:eastAsia="Arial" w:hAnsi="Arial"/>
                <w:sz w:val="13"/>
                <w:szCs w:val="13"/>
                <w:color w:val="auto"/>
              </w:rPr>
              <w:t>910,448</w:t>
            </w:r>
          </w:p>
        </w:tc>
        <w:tc>
          <w:tcPr>
            <w:tcW w:w="0" w:type="dxa"/>
            <w:vAlign w:val="bottom"/>
          </w:tcPr>
          <w:p>
            <w:pPr>
              <w:spacing w:after="0"/>
              <w:rPr>
                <w:sz w:val="1"/>
                <w:szCs w:val="1"/>
                <w:color w:val="auto"/>
              </w:rPr>
            </w:pPr>
          </w:p>
        </w:tc>
      </w:tr>
      <w:tr>
        <w:trPr>
          <w:trHeight w:val="175"/>
        </w:trPr>
        <w:tc>
          <w:tcPr>
            <w:tcW w:w="1300" w:type="dxa"/>
            <w:vAlign w:val="bottom"/>
          </w:tcPr>
          <w:p>
            <w:pPr>
              <w:spacing w:after="0"/>
              <w:rPr>
                <w:sz w:val="15"/>
                <w:szCs w:val="15"/>
                <w:color w:val="auto"/>
              </w:rPr>
            </w:pPr>
          </w:p>
        </w:tc>
        <w:tc>
          <w:tcPr>
            <w:tcW w:w="1420" w:type="dxa"/>
            <w:vAlign w:val="bottom"/>
          </w:tcPr>
          <w:p>
            <w:pPr>
              <w:ind w:left="40"/>
              <w:spacing w:after="0" w:line="176" w:lineRule="exact"/>
              <w:rPr>
                <w:sz w:val="20"/>
                <w:szCs w:val="20"/>
                <w:color w:val="auto"/>
              </w:rPr>
            </w:pPr>
            <w:r>
              <w:rPr>
                <w:rFonts w:ascii="Arial" w:cs="Arial" w:eastAsia="Arial" w:hAnsi="Arial"/>
                <w:sz w:val="13"/>
                <w:szCs w:val="13"/>
                <w:color w:val="auto"/>
              </w:rPr>
              <w:t>RSUs</w:t>
            </w:r>
            <w:r>
              <w:rPr>
                <w:rFonts w:ascii="Arial" w:cs="Arial" w:eastAsia="Arial" w:hAnsi="Arial"/>
                <w:sz w:val="20"/>
                <w:szCs w:val="20"/>
                <w:color w:val="auto"/>
                <w:vertAlign w:val="superscript"/>
              </w:rPr>
              <w:t>(4)</w:t>
            </w: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5/12/2025</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59,259</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$36.57</w:t>
            </w:r>
          </w:p>
        </w:tc>
        <w:tc>
          <w:tcPr>
            <w:tcW w:w="980" w:type="dxa"/>
            <w:vAlign w:val="bottom"/>
          </w:tcPr>
          <w:p>
            <w:pPr>
              <w:jc w:val="right"/>
              <w:spacing w:after="0"/>
              <w:rPr>
                <w:sz w:val="20"/>
                <w:szCs w:val="20"/>
                <w:color w:val="auto"/>
              </w:rPr>
            </w:pPr>
            <w:r>
              <w:rPr>
                <w:rFonts w:ascii="Arial" w:cs="Arial" w:eastAsia="Arial" w:hAnsi="Arial"/>
                <w:sz w:val="13"/>
                <w:szCs w:val="13"/>
                <w:color w:val="auto"/>
              </w:rPr>
              <w:t>2,167,102</w:t>
            </w:r>
          </w:p>
        </w:tc>
        <w:tc>
          <w:tcPr>
            <w:tcW w:w="0" w:type="dxa"/>
            <w:vAlign w:val="bottom"/>
          </w:tcPr>
          <w:p>
            <w:pPr>
              <w:spacing w:after="0"/>
              <w:rPr>
                <w:sz w:val="1"/>
                <w:szCs w:val="1"/>
                <w:color w:val="auto"/>
              </w:rPr>
            </w:pPr>
          </w:p>
        </w:tc>
      </w:tr>
      <w:tr>
        <w:trPr>
          <w:trHeight w:val="135"/>
        </w:trPr>
        <w:tc>
          <w:tcPr>
            <w:tcW w:w="1300" w:type="dxa"/>
            <w:vAlign w:val="bottom"/>
            <w:tcBorders>
              <w:bottom w:val="single" w:sz="8" w:color="auto"/>
            </w:tcBorders>
            <w:shd w:val="clear" w:color="auto" w:fill="EDEDEE"/>
          </w:tcPr>
          <w:p>
            <w:pPr>
              <w:spacing w:after="0"/>
              <w:rPr>
                <w:sz w:val="11"/>
                <w:szCs w:val="11"/>
                <w:color w:val="auto"/>
              </w:rPr>
            </w:pPr>
          </w:p>
        </w:tc>
        <w:tc>
          <w:tcPr>
            <w:tcW w:w="1420" w:type="dxa"/>
            <w:vAlign w:val="bottom"/>
            <w:tcBorders>
              <w:bottom w:val="single" w:sz="8" w:color="auto"/>
            </w:tcBorders>
            <w:shd w:val="clear" w:color="auto" w:fill="EDEDEE"/>
          </w:tcPr>
          <w:p>
            <w:pPr>
              <w:spacing w:after="0"/>
              <w:rPr>
                <w:sz w:val="11"/>
                <w:szCs w:val="11"/>
                <w:color w:val="auto"/>
              </w:rPr>
            </w:pPr>
          </w:p>
        </w:tc>
        <w:tc>
          <w:tcPr>
            <w:tcW w:w="940" w:type="dxa"/>
            <w:vAlign w:val="bottom"/>
            <w:tcBorders>
              <w:bottom w:val="single" w:sz="8" w:color="auto"/>
            </w:tcBorders>
            <w:shd w:val="clear" w:color="auto" w:fill="EDEDEE"/>
          </w:tcPr>
          <w:p>
            <w:pPr>
              <w:spacing w:after="0"/>
              <w:rPr>
                <w:sz w:val="11"/>
                <w:szCs w:val="11"/>
                <w:color w:val="auto"/>
              </w:rPr>
            </w:pPr>
          </w:p>
        </w:tc>
        <w:tc>
          <w:tcPr>
            <w:tcW w:w="740" w:type="dxa"/>
            <w:vAlign w:val="bottom"/>
            <w:tcBorders>
              <w:bottom w:val="single" w:sz="8" w:color="auto"/>
            </w:tcBorders>
            <w:shd w:val="clear" w:color="auto" w:fill="EDEDEE"/>
          </w:tcPr>
          <w:p>
            <w:pPr>
              <w:spacing w:after="0"/>
              <w:rPr>
                <w:sz w:val="11"/>
                <w:szCs w:val="11"/>
                <w:color w:val="auto"/>
              </w:rPr>
            </w:pPr>
          </w:p>
        </w:tc>
        <w:tc>
          <w:tcPr>
            <w:tcW w:w="960" w:type="dxa"/>
            <w:vAlign w:val="bottom"/>
            <w:tcBorders>
              <w:bottom w:val="single" w:sz="8" w:color="auto"/>
            </w:tcBorders>
            <w:shd w:val="clear" w:color="auto" w:fill="EDEDEE"/>
          </w:tcPr>
          <w:p>
            <w:pPr>
              <w:spacing w:after="0"/>
              <w:rPr>
                <w:sz w:val="11"/>
                <w:szCs w:val="11"/>
                <w:color w:val="auto"/>
              </w:rPr>
            </w:pPr>
          </w:p>
        </w:tc>
        <w:tc>
          <w:tcPr>
            <w:tcW w:w="680" w:type="dxa"/>
            <w:vAlign w:val="bottom"/>
            <w:tcBorders>
              <w:bottom w:val="single" w:sz="8" w:color="auto"/>
            </w:tcBorders>
            <w:shd w:val="clear" w:color="auto" w:fill="EDEDEE"/>
          </w:tcPr>
          <w:p>
            <w:pPr>
              <w:spacing w:after="0"/>
              <w:rPr>
                <w:sz w:val="11"/>
                <w:szCs w:val="11"/>
                <w:color w:val="auto"/>
              </w:rPr>
            </w:pPr>
          </w:p>
        </w:tc>
        <w:tc>
          <w:tcPr>
            <w:tcW w:w="80" w:type="dxa"/>
            <w:vAlign w:val="bottom"/>
            <w:tcBorders>
              <w:bottom w:val="single" w:sz="8" w:color="auto"/>
            </w:tcBorders>
            <w:shd w:val="clear" w:color="auto" w:fill="EDEDEE"/>
          </w:tcPr>
          <w:p>
            <w:pPr>
              <w:spacing w:after="0"/>
              <w:rPr>
                <w:sz w:val="11"/>
                <w:szCs w:val="11"/>
                <w:color w:val="auto"/>
              </w:rPr>
            </w:pPr>
          </w:p>
        </w:tc>
        <w:tc>
          <w:tcPr>
            <w:tcW w:w="740" w:type="dxa"/>
            <w:vAlign w:val="bottom"/>
            <w:tcBorders>
              <w:bottom w:val="single" w:sz="8" w:color="auto"/>
            </w:tcBorders>
            <w:shd w:val="clear" w:color="auto" w:fill="EDEDEE"/>
          </w:tcPr>
          <w:p>
            <w:pPr>
              <w:spacing w:after="0"/>
              <w:rPr>
                <w:sz w:val="11"/>
                <w:szCs w:val="11"/>
                <w:color w:val="auto"/>
              </w:rPr>
            </w:pPr>
          </w:p>
        </w:tc>
        <w:tc>
          <w:tcPr>
            <w:tcW w:w="620" w:type="dxa"/>
            <w:vAlign w:val="bottom"/>
            <w:tcBorders>
              <w:bottom w:val="single" w:sz="8" w:color="auto"/>
            </w:tcBorders>
            <w:shd w:val="clear" w:color="auto" w:fill="EDEDEE"/>
          </w:tcPr>
          <w:p>
            <w:pPr>
              <w:spacing w:after="0"/>
              <w:rPr>
                <w:sz w:val="11"/>
                <w:szCs w:val="11"/>
                <w:color w:val="auto"/>
              </w:rPr>
            </w:pPr>
          </w:p>
        </w:tc>
        <w:tc>
          <w:tcPr>
            <w:tcW w:w="40" w:type="dxa"/>
            <w:vAlign w:val="bottom"/>
            <w:tcBorders>
              <w:bottom w:val="single" w:sz="8" w:color="auto"/>
            </w:tcBorders>
            <w:shd w:val="clear" w:color="auto" w:fill="EDEDEE"/>
          </w:tcPr>
          <w:p>
            <w:pPr>
              <w:spacing w:after="0"/>
              <w:rPr>
                <w:sz w:val="11"/>
                <w:szCs w:val="11"/>
                <w:color w:val="auto"/>
              </w:rPr>
            </w:pPr>
          </w:p>
        </w:tc>
        <w:tc>
          <w:tcPr>
            <w:tcW w:w="140" w:type="dxa"/>
            <w:vAlign w:val="bottom"/>
            <w:tcBorders>
              <w:bottom w:val="single" w:sz="8" w:color="auto"/>
            </w:tcBorders>
            <w:shd w:val="clear" w:color="auto" w:fill="EDEDEE"/>
          </w:tcPr>
          <w:p>
            <w:pPr>
              <w:spacing w:after="0"/>
              <w:rPr>
                <w:sz w:val="11"/>
                <w:szCs w:val="11"/>
                <w:color w:val="auto"/>
              </w:rPr>
            </w:pPr>
          </w:p>
        </w:tc>
        <w:tc>
          <w:tcPr>
            <w:tcW w:w="600" w:type="dxa"/>
            <w:vAlign w:val="bottom"/>
            <w:tcBorders>
              <w:bottom w:val="single" w:sz="8" w:color="auto"/>
            </w:tcBorders>
            <w:shd w:val="clear" w:color="auto" w:fill="EDEDEE"/>
          </w:tcPr>
          <w:p>
            <w:pPr>
              <w:spacing w:after="0"/>
              <w:rPr>
                <w:sz w:val="11"/>
                <w:szCs w:val="11"/>
                <w:color w:val="auto"/>
              </w:rPr>
            </w:pPr>
          </w:p>
        </w:tc>
        <w:tc>
          <w:tcPr>
            <w:tcW w:w="120" w:type="dxa"/>
            <w:vAlign w:val="bottom"/>
            <w:tcBorders>
              <w:bottom w:val="single" w:sz="8" w:color="auto"/>
            </w:tcBorders>
            <w:shd w:val="clear" w:color="auto" w:fill="EDEDEE"/>
          </w:tcPr>
          <w:p>
            <w:pPr>
              <w:spacing w:after="0"/>
              <w:rPr>
                <w:sz w:val="11"/>
                <w:szCs w:val="11"/>
                <w:color w:val="auto"/>
              </w:rPr>
            </w:pPr>
          </w:p>
        </w:tc>
        <w:tc>
          <w:tcPr>
            <w:tcW w:w="880" w:type="dxa"/>
            <w:vAlign w:val="bottom"/>
            <w:tcBorders>
              <w:bottom w:val="single" w:sz="8" w:color="auto"/>
            </w:tcBorders>
            <w:shd w:val="clear" w:color="auto" w:fill="EDEDEE"/>
          </w:tcPr>
          <w:p>
            <w:pPr>
              <w:spacing w:after="0"/>
              <w:rPr>
                <w:sz w:val="11"/>
                <w:szCs w:val="11"/>
                <w:color w:val="auto"/>
              </w:rPr>
            </w:pPr>
          </w:p>
        </w:tc>
        <w:tc>
          <w:tcPr>
            <w:tcW w:w="780" w:type="dxa"/>
            <w:vAlign w:val="bottom"/>
            <w:tcBorders>
              <w:bottom w:val="single" w:sz="8" w:color="auto"/>
            </w:tcBorders>
            <w:shd w:val="clear" w:color="auto" w:fill="EDEDEE"/>
          </w:tcPr>
          <w:p>
            <w:pPr>
              <w:spacing w:after="0"/>
              <w:rPr>
                <w:sz w:val="11"/>
                <w:szCs w:val="11"/>
                <w:color w:val="auto"/>
              </w:rPr>
            </w:pPr>
          </w:p>
        </w:tc>
        <w:tc>
          <w:tcPr>
            <w:tcW w:w="980" w:type="dxa"/>
            <w:vAlign w:val="bottom"/>
            <w:tcBorders>
              <w:bottom w:val="single" w:sz="8" w:color="auto"/>
            </w:tcBorders>
            <w:shd w:val="clear" w:color="auto" w:fill="EDEDE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300" w:type="dxa"/>
            <w:vAlign w:val="bottom"/>
          </w:tcPr>
          <w:p>
            <w:pPr>
              <w:spacing w:after="0" w:line="129" w:lineRule="exact"/>
              <w:rPr>
                <w:sz w:val="20"/>
                <w:szCs w:val="20"/>
                <w:color w:val="auto"/>
              </w:rPr>
            </w:pPr>
            <w:r>
              <w:rPr>
                <w:rFonts w:ascii="Arial" w:cs="Arial" w:eastAsia="Arial" w:hAnsi="Arial"/>
                <w:sz w:val="13"/>
                <w:szCs w:val="13"/>
                <w:b w:val="1"/>
                <w:bCs w:val="1"/>
                <w:color w:val="auto"/>
              </w:rPr>
              <w:t> Daniel A. Pryor</w:t>
            </w:r>
          </w:p>
        </w:tc>
        <w:tc>
          <w:tcPr>
            <w:tcW w:w="1420" w:type="dxa"/>
            <w:vAlign w:val="bottom"/>
          </w:tcPr>
          <w:p>
            <w:pPr>
              <w:ind w:left="40"/>
              <w:spacing w:after="0" w:line="129" w:lineRule="exact"/>
              <w:rPr>
                <w:sz w:val="20"/>
                <w:szCs w:val="20"/>
                <w:color w:val="auto"/>
              </w:rPr>
            </w:pPr>
            <w:r>
              <w:rPr>
                <w:rFonts w:ascii="Arial" w:cs="Arial" w:eastAsia="Arial" w:hAnsi="Arial"/>
                <w:sz w:val="13"/>
                <w:szCs w:val="13"/>
                <w:color w:val="auto"/>
              </w:rPr>
              <w:t>Annual Incentive Plan</w:t>
            </w:r>
          </w:p>
        </w:tc>
        <w:tc>
          <w:tcPr>
            <w:tcW w:w="940" w:type="dxa"/>
            <w:vAlign w:val="bottom"/>
          </w:tcPr>
          <w:p>
            <w:pPr>
              <w:jc w:val="right"/>
              <w:ind w:right="17"/>
              <w:spacing w:after="0" w:line="129"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29" w:lineRule="exact"/>
              <w:rPr>
                <w:sz w:val="20"/>
                <w:szCs w:val="20"/>
                <w:color w:val="auto"/>
              </w:rPr>
            </w:pPr>
            <w:r>
              <w:rPr>
                <w:rFonts w:ascii="Arial" w:cs="Arial" w:eastAsia="Arial" w:hAnsi="Arial"/>
                <w:sz w:val="13"/>
                <w:szCs w:val="13"/>
                <w:color w:val="auto"/>
              </w:rPr>
              <w:t>248,000</w:t>
            </w:r>
          </w:p>
        </w:tc>
        <w:tc>
          <w:tcPr>
            <w:tcW w:w="960" w:type="dxa"/>
            <w:vAlign w:val="bottom"/>
          </w:tcPr>
          <w:p>
            <w:pPr>
              <w:jc w:val="right"/>
              <w:ind w:right="77"/>
              <w:spacing w:after="0" w:line="129" w:lineRule="exact"/>
              <w:rPr>
                <w:sz w:val="20"/>
                <w:szCs w:val="20"/>
                <w:color w:val="auto"/>
              </w:rPr>
            </w:pPr>
            <w:r>
              <w:rPr>
                <w:rFonts w:ascii="Arial" w:cs="Arial" w:eastAsia="Arial" w:hAnsi="Arial"/>
                <w:sz w:val="13"/>
                <w:szCs w:val="13"/>
                <w:color w:val="auto"/>
              </w:rPr>
              <w:t>496,000</w:t>
            </w:r>
          </w:p>
        </w:tc>
        <w:tc>
          <w:tcPr>
            <w:tcW w:w="760" w:type="dxa"/>
            <w:vAlign w:val="bottom"/>
            <w:gridSpan w:val="2"/>
          </w:tcPr>
          <w:p>
            <w:pPr>
              <w:jc w:val="right"/>
              <w:ind w:right="80"/>
              <w:spacing w:after="0" w:line="129" w:lineRule="exact"/>
              <w:rPr>
                <w:sz w:val="20"/>
                <w:szCs w:val="20"/>
                <w:color w:val="auto"/>
              </w:rPr>
            </w:pPr>
            <w:r>
              <w:rPr>
                <w:rFonts w:ascii="Arial" w:cs="Arial" w:eastAsia="Arial" w:hAnsi="Arial"/>
                <w:sz w:val="13"/>
                <w:szCs w:val="13"/>
                <w:color w:val="auto"/>
              </w:rPr>
              <w:t>1,240,000</w:t>
            </w:r>
          </w:p>
        </w:tc>
        <w:tc>
          <w:tcPr>
            <w:tcW w:w="74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220"/>
              <w:spacing w:after="0" w:line="129"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line="129"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line="129"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77"/>
              <w:spacing w:after="0" w:line="129" w:lineRule="exact"/>
              <w:rPr>
                <w:sz w:val="20"/>
                <w:szCs w:val="20"/>
                <w:color w:val="auto"/>
              </w:rPr>
            </w:pPr>
            <w:r>
              <w:rPr>
                <w:rFonts w:ascii="Arial" w:cs="Arial" w:eastAsia="Arial" w:hAnsi="Arial"/>
                <w:sz w:val="13"/>
                <w:szCs w:val="13"/>
                <w:color w:val="auto"/>
              </w:rPr>
              <w:t>—</w:t>
            </w:r>
          </w:p>
        </w:tc>
        <w:tc>
          <w:tcPr>
            <w:tcW w:w="98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300" w:type="dxa"/>
            <w:vAlign w:val="bottom"/>
            <w:shd w:val="clear" w:color="auto" w:fill="EDEDEE"/>
          </w:tcPr>
          <w:p>
            <w:pPr>
              <w:spacing w:after="0"/>
              <w:rPr>
                <w:sz w:val="11"/>
                <w:szCs w:val="11"/>
                <w:color w:val="auto"/>
              </w:rPr>
            </w:pPr>
          </w:p>
        </w:tc>
        <w:tc>
          <w:tcPr>
            <w:tcW w:w="1420" w:type="dxa"/>
            <w:vAlign w:val="bottom"/>
            <w:shd w:val="clear" w:color="auto" w:fill="EDEDEE"/>
          </w:tcPr>
          <w:p>
            <w:pPr>
              <w:ind w:left="40"/>
              <w:spacing w:after="0" w:line="135" w:lineRule="exact"/>
              <w:rPr>
                <w:sz w:val="20"/>
                <w:szCs w:val="20"/>
                <w:color w:val="auto"/>
              </w:rPr>
            </w:pPr>
            <w:r>
              <w:rPr>
                <w:rFonts w:ascii="Arial" w:cs="Arial" w:eastAsia="Arial" w:hAnsi="Arial"/>
                <w:sz w:val="13"/>
                <w:szCs w:val="13"/>
                <w:color w:val="auto"/>
              </w:rPr>
              <w:t>PRSUs</w:t>
            </w:r>
          </w:p>
        </w:tc>
        <w:tc>
          <w:tcPr>
            <w:tcW w:w="940" w:type="dxa"/>
            <w:vAlign w:val="bottom"/>
            <w:shd w:val="clear" w:color="auto" w:fill="EDEDEE"/>
          </w:tcPr>
          <w:p>
            <w:pPr>
              <w:jc w:val="right"/>
              <w:ind w:right="17"/>
              <w:spacing w:after="0" w:line="135" w:lineRule="exact"/>
              <w:rPr>
                <w:sz w:val="20"/>
                <w:szCs w:val="20"/>
                <w:color w:val="auto"/>
              </w:rPr>
            </w:pPr>
            <w:r>
              <w:rPr>
                <w:rFonts w:ascii="Arial" w:cs="Arial" w:eastAsia="Arial" w:hAnsi="Arial"/>
                <w:sz w:val="13"/>
                <w:szCs w:val="13"/>
                <w:color w:val="auto"/>
              </w:rPr>
              <w:t>3/7/2025</w:t>
            </w:r>
          </w:p>
        </w:tc>
        <w:tc>
          <w:tcPr>
            <w:tcW w:w="740" w:type="dxa"/>
            <w:vAlign w:val="bottom"/>
            <w:shd w:val="clear" w:color="auto" w:fill="EDEDEE"/>
          </w:tcPr>
          <w:p>
            <w:pPr>
              <w:jc w:val="right"/>
              <w:spacing w:after="0" w:line="135" w:lineRule="exact"/>
              <w:rPr>
                <w:sz w:val="20"/>
                <w:szCs w:val="20"/>
                <w:color w:val="auto"/>
              </w:rPr>
            </w:pPr>
            <w:r>
              <w:rPr>
                <w:rFonts w:ascii="Arial" w:cs="Arial" w:eastAsia="Arial" w:hAnsi="Arial"/>
                <w:sz w:val="13"/>
                <w:szCs w:val="13"/>
                <w:color w:val="auto"/>
              </w:rPr>
              <w:t>—</w:t>
            </w:r>
          </w:p>
        </w:tc>
        <w:tc>
          <w:tcPr>
            <w:tcW w:w="960" w:type="dxa"/>
            <w:vAlign w:val="bottom"/>
            <w:shd w:val="clear" w:color="auto" w:fill="EDEDEE"/>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EDEDEE"/>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EDEDEE"/>
          </w:tcPr>
          <w:p>
            <w:pPr>
              <w:jc w:val="right"/>
              <w:spacing w:after="0" w:line="135" w:lineRule="exact"/>
              <w:rPr>
                <w:sz w:val="20"/>
                <w:szCs w:val="20"/>
                <w:color w:val="auto"/>
              </w:rPr>
            </w:pPr>
            <w:r>
              <w:rPr>
                <w:rFonts w:ascii="Arial" w:cs="Arial" w:eastAsia="Arial" w:hAnsi="Arial"/>
                <w:sz w:val="13"/>
                <w:szCs w:val="13"/>
                <w:color w:val="auto"/>
              </w:rPr>
              <w:t>12,069</w:t>
            </w:r>
          </w:p>
        </w:tc>
        <w:tc>
          <w:tcPr>
            <w:tcW w:w="620" w:type="dxa"/>
            <w:vAlign w:val="bottom"/>
            <w:shd w:val="clear" w:color="auto" w:fill="EDEDEE"/>
          </w:tcPr>
          <w:p>
            <w:pPr>
              <w:jc w:val="right"/>
              <w:spacing w:after="0" w:line="135" w:lineRule="exact"/>
              <w:rPr>
                <w:sz w:val="20"/>
                <w:szCs w:val="20"/>
                <w:color w:val="auto"/>
              </w:rPr>
            </w:pPr>
            <w:r>
              <w:rPr>
                <w:rFonts w:ascii="Arial" w:cs="Arial" w:eastAsia="Arial" w:hAnsi="Arial"/>
                <w:sz w:val="13"/>
                <w:szCs w:val="13"/>
                <w:color w:val="auto"/>
              </w:rPr>
              <w:t>24,137</w:t>
            </w:r>
          </w:p>
        </w:tc>
        <w:tc>
          <w:tcPr>
            <w:tcW w:w="40" w:type="dxa"/>
            <w:vAlign w:val="bottom"/>
            <w:shd w:val="clear" w:color="auto" w:fill="EDEDEE"/>
          </w:tcPr>
          <w:p>
            <w:pPr>
              <w:spacing w:after="0"/>
              <w:rPr>
                <w:sz w:val="11"/>
                <w:szCs w:val="11"/>
                <w:color w:val="auto"/>
              </w:rPr>
            </w:pPr>
          </w:p>
        </w:tc>
        <w:tc>
          <w:tcPr>
            <w:tcW w:w="140" w:type="dxa"/>
            <w:vAlign w:val="bottom"/>
            <w:shd w:val="clear" w:color="auto" w:fill="EDEDEE"/>
          </w:tcPr>
          <w:p>
            <w:pPr>
              <w:spacing w:after="0"/>
              <w:rPr>
                <w:sz w:val="11"/>
                <w:szCs w:val="11"/>
                <w:color w:val="auto"/>
              </w:rPr>
            </w:pPr>
          </w:p>
        </w:tc>
        <w:tc>
          <w:tcPr>
            <w:tcW w:w="720" w:type="dxa"/>
            <w:vAlign w:val="bottom"/>
            <w:gridSpan w:val="2"/>
            <w:shd w:val="clear" w:color="auto" w:fill="EDEDEE"/>
          </w:tcPr>
          <w:p>
            <w:pPr>
              <w:jc w:val="right"/>
              <w:ind w:right="120"/>
              <w:spacing w:after="0" w:line="135" w:lineRule="exact"/>
              <w:rPr>
                <w:sz w:val="20"/>
                <w:szCs w:val="20"/>
                <w:color w:val="auto"/>
              </w:rPr>
            </w:pPr>
            <w:r>
              <w:rPr>
                <w:rFonts w:ascii="Arial" w:cs="Arial" w:eastAsia="Arial" w:hAnsi="Arial"/>
                <w:sz w:val="13"/>
                <w:szCs w:val="13"/>
                <w:color w:val="auto"/>
              </w:rPr>
              <w:t>48,274</w:t>
            </w:r>
          </w:p>
        </w:tc>
        <w:tc>
          <w:tcPr>
            <w:tcW w:w="880" w:type="dxa"/>
            <w:vAlign w:val="bottom"/>
            <w:shd w:val="clear" w:color="auto" w:fill="EDEDEE"/>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EDEDEE"/>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980" w:type="dxa"/>
            <w:vAlign w:val="bottom"/>
            <w:shd w:val="clear" w:color="auto" w:fill="EDEDEE"/>
          </w:tcPr>
          <w:p>
            <w:pPr>
              <w:jc w:val="right"/>
              <w:spacing w:after="0" w:line="135" w:lineRule="exact"/>
              <w:rPr>
                <w:sz w:val="20"/>
                <w:szCs w:val="20"/>
                <w:color w:val="auto"/>
              </w:rPr>
            </w:pPr>
            <w:r>
              <w:rPr>
                <w:rFonts w:ascii="Arial" w:cs="Arial" w:eastAsia="Arial" w:hAnsi="Arial"/>
                <w:sz w:val="13"/>
                <w:szCs w:val="13"/>
                <w:color w:val="auto"/>
              </w:rPr>
              <w:t>954,618</w:t>
            </w: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420" w:type="dxa"/>
            <w:vAlign w:val="bottom"/>
          </w:tcPr>
          <w:p>
            <w:pPr>
              <w:ind w:left="40"/>
              <w:spacing w:after="0" w:line="135" w:lineRule="exact"/>
              <w:rPr>
                <w:sz w:val="20"/>
                <w:szCs w:val="20"/>
                <w:color w:val="auto"/>
              </w:rPr>
            </w:pPr>
            <w:r>
              <w:rPr>
                <w:rFonts w:ascii="Arial" w:cs="Arial" w:eastAsia="Arial" w:hAnsi="Arial"/>
                <w:sz w:val="13"/>
                <w:szCs w:val="13"/>
                <w:color w:val="auto"/>
              </w:rPr>
              <w:t>RSUs</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3/7/2025</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24,137</w:t>
            </w:r>
          </w:p>
        </w:tc>
        <w:tc>
          <w:tcPr>
            <w:tcW w:w="7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$37.72</w:t>
            </w:r>
          </w:p>
        </w:tc>
        <w:tc>
          <w:tcPr>
            <w:tcW w:w="980" w:type="dxa"/>
            <w:vAlign w:val="bottom"/>
          </w:tcPr>
          <w:p>
            <w:pPr>
              <w:jc w:val="right"/>
              <w:spacing w:after="0" w:line="135" w:lineRule="exact"/>
              <w:rPr>
                <w:sz w:val="20"/>
                <w:szCs w:val="20"/>
                <w:color w:val="auto"/>
              </w:rPr>
            </w:pPr>
            <w:r>
              <w:rPr>
                <w:rFonts w:ascii="Arial" w:cs="Arial" w:eastAsia="Arial" w:hAnsi="Arial"/>
                <w:sz w:val="13"/>
                <w:szCs w:val="13"/>
                <w:color w:val="auto"/>
              </w:rPr>
              <w:t>910,448</w:t>
            </w:r>
          </w:p>
        </w:tc>
        <w:tc>
          <w:tcPr>
            <w:tcW w:w="0" w:type="dxa"/>
            <w:vAlign w:val="bottom"/>
          </w:tcPr>
          <w:p>
            <w:pPr>
              <w:spacing w:after="0"/>
              <w:rPr>
                <w:sz w:val="1"/>
                <w:szCs w:val="1"/>
                <w:color w:val="auto"/>
              </w:rPr>
            </w:pPr>
          </w:p>
        </w:tc>
      </w:tr>
      <w:tr>
        <w:trPr>
          <w:trHeight w:val="149"/>
        </w:trPr>
        <w:tc>
          <w:tcPr>
            <w:tcW w:w="1300" w:type="dxa"/>
            <w:vAlign w:val="bottom"/>
            <w:tcBorders>
              <w:bottom w:val="single" w:sz="8" w:color="auto"/>
            </w:tcBorders>
            <w:shd w:val="clear" w:color="auto" w:fill="EDEDEE"/>
          </w:tcPr>
          <w:p>
            <w:pPr>
              <w:spacing w:after="0"/>
              <w:rPr>
                <w:sz w:val="12"/>
                <w:szCs w:val="12"/>
                <w:color w:val="auto"/>
              </w:rPr>
            </w:pPr>
          </w:p>
        </w:tc>
        <w:tc>
          <w:tcPr>
            <w:tcW w:w="1420" w:type="dxa"/>
            <w:vAlign w:val="bottom"/>
            <w:tcBorders>
              <w:bottom w:val="single" w:sz="8" w:color="auto"/>
            </w:tcBorders>
            <w:shd w:val="clear" w:color="auto" w:fill="EDEDEE"/>
          </w:tcPr>
          <w:p>
            <w:pPr>
              <w:spacing w:after="0"/>
              <w:rPr>
                <w:sz w:val="12"/>
                <w:szCs w:val="12"/>
                <w:color w:val="auto"/>
              </w:rPr>
            </w:pPr>
          </w:p>
        </w:tc>
        <w:tc>
          <w:tcPr>
            <w:tcW w:w="940" w:type="dxa"/>
            <w:vAlign w:val="bottom"/>
            <w:tcBorders>
              <w:bottom w:val="single" w:sz="8" w:color="auto"/>
            </w:tcBorders>
            <w:shd w:val="clear" w:color="auto" w:fill="EDEDEE"/>
          </w:tcPr>
          <w:p>
            <w:pPr>
              <w:spacing w:after="0"/>
              <w:rPr>
                <w:sz w:val="12"/>
                <w:szCs w:val="12"/>
                <w:color w:val="auto"/>
              </w:rPr>
            </w:pPr>
          </w:p>
        </w:tc>
        <w:tc>
          <w:tcPr>
            <w:tcW w:w="740" w:type="dxa"/>
            <w:vAlign w:val="bottom"/>
            <w:tcBorders>
              <w:bottom w:val="single" w:sz="8" w:color="auto"/>
            </w:tcBorders>
            <w:shd w:val="clear" w:color="auto" w:fill="EDEDEE"/>
          </w:tcPr>
          <w:p>
            <w:pPr>
              <w:spacing w:after="0"/>
              <w:rPr>
                <w:sz w:val="12"/>
                <w:szCs w:val="12"/>
                <w:color w:val="auto"/>
              </w:rPr>
            </w:pPr>
          </w:p>
        </w:tc>
        <w:tc>
          <w:tcPr>
            <w:tcW w:w="960" w:type="dxa"/>
            <w:vAlign w:val="bottom"/>
            <w:tcBorders>
              <w:bottom w:val="single" w:sz="8" w:color="auto"/>
            </w:tcBorders>
            <w:shd w:val="clear" w:color="auto" w:fill="EDEDEE"/>
          </w:tcPr>
          <w:p>
            <w:pPr>
              <w:spacing w:after="0"/>
              <w:rPr>
                <w:sz w:val="12"/>
                <w:szCs w:val="12"/>
                <w:color w:val="auto"/>
              </w:rPr>
            </w:pPr>
          </w:p>
        </w:tc>
        <w:tc>
          <w:tcPr>
            <w:tcW w:w="680" w:type="dxa"/>
            <w:vAlign w:val="bottom"/>
            <w:tcBorders>
              <w:bottom w:val="single" w:sz="8" w:color="auto"/>
            </w:tcBorders>
            <w:shd w:val="clear" w:color="auto" w:fill="EDEDEE"/>
          </w:tcPr>
          <w:p>
            <w:pPr>
              <w:spacing w:after="0"/>
              <w:rPr>
                <w:sz w:val="12"/>
                <w:szCs w:val="12"/>
                <w:color w:val="auto"/>
              </w:rPr>
            </w:pPr>
          </w:p>
        </w:tc>
        <w:tc>
          <w:tcPr>
            <w:tcW w:w="80" w:type="dxa"/>
            <w:vAlign w:val="bottom"/>
            <w:tcBorders>
              <w:bottom w:val="single" w:sz="8" w:color="auto"/>
            </w:tcBorders>
            <w:shd w:val="clear" w:color="auto" w:fill="EDEDEE"/>
          </w:tcPr>
          <w:p>
            <w:pPr>
              <w:spacing w:after="0"/>
              <w:rPr>
                <w:sz w:val="12"/>
                <w:szCs w:val="12"/>
                <w:color w:val="auto"/>
              </w:rPr>
            </w:pPr>
          </w:p>
        </w:tc>
        <w:tc>
          <w:tcPr>
            <w:tcW w:w="740" w:type="dxa"/>
            <w:vAlign w:val="bottom"/>
            <w:tcBorders>
              <w:bottom w:val="single" w:sz="8" w:color="auto"/>
            </w:tcBorders>
            <w:shd w:val="clear" w:color="auto" w:fill="EDEDEE"/>
          </w:tcPr>
          <w:p>
            <w:pPr>
              <w:spacing w:after="0"/>
              <w:rPr>
                <w:sz w:val="12"/>
                <w:szCs w:val="12"/>
                <w:color w:val="auto"/>
              </w:rPr>
            </w:pPr>
          </w:p>
        </w:tc>
        <w:tc>
          <w:tcPr>
            <w:tcW w:w="620" w:type="dxa"/>
            <w:vAlign w:val="bottom"/>
            <w:tcBorders>
              <w:bottom w:val="single" w:sz="8" w:color="auto"/>
            </w:tcBorders>
            <w:shd w:val="clear" w:color="auto" w:fill="EDEDEE"/>
          </w:tcPr>
          <w:p>
            <w:pPr>
              <w:spacing w:after="0"/>
              <w:rPr>
                <w:sz w:val="12"/>
                <w:szCs w:val="12"/>
                <w:color w:val="auto"/>
              </w:rPr>
            </w:pPr>
          </w:p>
        </w:tc>
        <w:tc>
          <w:tcPr>
            <w:tcW w:w="40" w:type="dxa"/>
            <w:vAlign w:val="bottom"/>
            <w:shd w:val="clear" w:color="auto" w:fill="EDEDEE"/>
          </w:tcPr>
          <w:p>
            <w:pPr>
              <w:spacing w:after="0"/>
              <w:rPr>
                <w:sz w:val="12"/>
                <w:szCs w:val="12"/>
                <w:color w:val="auto"/>
              </w:rPr>
            </w:pPr>
          </w:p>
        </w:tc>
        <w:tc>
          <w:tcPr>
            <w:tcW w:w="140" w:type="dxa"/>
            <w:vAlign w:val="bottom"/>
            <w:tcBorders>
              <w:bottom w:val="single" w:sz="8" w:color="auto"/>
            </w:tcBorders>
            <w:shd w:val="clear" w:color="auto" w:fill="EDEDEE"/>
          </w:tcPr>
          <w:p>
            <w:pPr>
              <w:spacing w:after="0"/>
              <w:rPr>
                <w:sz w:val="12"/>
                <w:szCs w:val="12"/>
                <w:color w:val="auto"/>
              </w:rPr>
            </w:pPr>
          </w:p>
        </w:tc>
        <w:tc>
          <w:tcPr>
            <w:tcW w:w="600" w:type="dxa"/>
            <w:vAlign w:val="bottom"/>
            <w:tcBorders>
              <w:bottom w:val="single" w:sz="8" w:color="auto"/>
            </w:tcBorders>
            <w:shd w:val="clear" w:color="auto" w:fill="EDEDEE"/>
          </w:tcPr>
          <w:p>
            <w:pPr>
              <w:spacing w:after="0"/>
              <w:rPr>
                <w:sz w:val="12"/>
                <w:szCs w:val="12"/>
                <w:color w:val="auto"/>
              </w:rPr>
            </w:pPr>
          </w:p>
        </w:tc>
        <w:tc>
          <w:tcPr>
            <w:tcW w:w="120" w:type="dxa"/>
            <w:vAlign w:val="bottom"/>
            <w:tcBorders>
              <w:bottom w:val="single" w:sz="8" w:color="auto"/>
            </w:tcBorders>
            <w:shd w:val="clear" w:color="auto" w:fill="EDEDEE"/>
          </w:tcPr>
          <w:p>
            <w:pPr>
              <w:spacing w:after="0"/>
              <w:rPr>
                <w:sz w:val="12"/>
                <w:szCs w:val="12"/>
                <w:color w:val="auto"/>
              </w:rPr>
            </w:pPr>
          </w:p>
        </w:tc>
        <w:tc>
          <w:tcPr>
            <w:tcW w:w="880" w:type="dxa"/>
            <w:vAlign w:val="bottom"/>
            <w:tcBorders>
              <w:bottom w:val="single" w:sz="8" w:color="auto"/>
            </w:tcBorders>
            <w:shd w:val="clear" w:color="auto" w:fill="EDEDEE"/>
          </w:tcPr>
          <w:p>
            <w:pPr>
              <w:spacing w:after="0"/>
              <w:rPr>
                <w:sz w:val="12"/>
                <w:szCs w:val="12"/>
                <w:color w:val="auto"/>
              </w:rPr>
            </w:pPr>
          </w:p>
        </w:tc>
        <w:tc>
          <w:tcPr>
            <w:tcW w:w="780" w:type="dxa"/>
            <w:vAlign w:val="bottom"/>
            <w:tcBorders>
              <w:bottom w:val="single" w:sz="8" w:color="auto"/>
            </w:tcBorders>
            <w:shd w:val="clear" w:color="auto" w:fill="EDEDEE"/>
          </w:tcPr>
          <w:p>
            <w:pPr>
              <w:spacing w:after="0"/>
              <w:rPr>
                <w:sz w:val="12"/>
                <w:szCs w:val="12"/>
                <w:color w:val="auto"/>
              </w:rPr>
            </w:pPr>
          </w:p>
        </w:tc>
        <w:tc>
          <w:tcPr>
            <w:tcW w:w="980" w:type="dxa"/>
            <w:vAlign w:val="bottom"/>
            <w:tcBorders>
              <w:bottom w:val="single" w:sz="8" w:color="auto"/>
            </w:tcBorders>
            <w:shd w:val="clear" w:color="auto" w:fill="EDEDE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300" w:type="dxa"/>
            <w:vAlign w:val="bottom"/>
          </w:tcPr>
          <w:p>
            <w:pPr>
              <w:spacing w:after="0" w:line="129" w:lineRule="exact"/>
              <w:rPr>
                <w:sz w:val="20"/>
                <w:szCs w:val="20"/>
                <w:color w:val="auto"/>
              </w:rPr>
            </w:pPr>
            <w:r>
              <w:rPr>
                <w:rFonts w:ascii="Arial" w:cs="Arial" w:eastAsia="Arial" w:hAnsi="Arial"/>
                <w:sz w:val="13"/>
                <w:szCs w:val="13"/>
                <w:b w:val="1"/>
                <w:bCs w:val="1"/>
                <w:color w:val="auto"/>
              </w:rPr>
              <w:t>Terry Ross</w:t>
            </w:r>
          </w:p>
        </w:tc>
        <w:tc>
          <w:tcPr>
            <w:tcW w:w="1420" w:type="dxa"/>
            <w:vAlign w:val="bottom"/>
          </w:tcPr>
          <w:p>
            <w:pPr>
              <w:ind w:left="40"/>
              <w:spacing w:after="0" w:line="129" w:lineRule="exact"/>
              <w:rPr>
                <w:sz w:val="20"/>
                <w:szCs w:val="20"/>
                <w:color w:val="auto"/>
              </w:rPr>
            </w:pPr>
            <w:r>
              <w:rPr>
                <w:rFonts w:ascii="Arial" w:cs="Arial" w:eastAsia="Arial" w:hAnsi="Arial"/>
                <w:sz w:val="13"/>
                <w:szCs w:val="13"/>
                <w:color w:val="auto"/>
              </w:rPr>
              <w:t>Annual Incentive Plan</w:t>
            </w:r>
          </w:p>
        </w:tc>
        <w:tc>
          <w:tcPr>
            <w:tcW w:w="940" w:type="dxa"/>
            <w:vAlign w:val="bottom"/>
          </w:tcPr>
          <w:p>
            <w:pPr>
              <w:jc w:val="right"/>
              <w:ind w:right="17"/>
              <w:spacing w:after="0" w:line="129"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29" w:lineRule="exact"/>
              <w:rPr>
                <w:sz w:val="20"/>
                <w:szCs w:val="20"/>
                <w:color w:val="auto"/>
              </w:rPr>
            </w:pPr>
            <w:r>
              <w:rPr>
                <w:rFonts w:ascii="Arial" w:cs="Arial" w:eastAsia="Arial" w:hAnsi="Arial"/>
                <w:sz w:val="13"/>
                <w:szCs w:val="13"/>
                <w:color w:val="auto"/>
              </w:rPr>
              <w:t>195,000</w:t>
            </w:r>
          </w:p>
        </w:tc>
        <w:tc>
          <w:tcPr>
            <w:tcW w:w="960" w:type="dxa"/>
            <w:vAlign w:val="bottom"/>
          </w:tcPr>
          <w:p>
            <w:pPr>
              <w:jc w:val="right"/>
              <w:ind w:right="77"/>
              <w:spacing w:after="0" w:line="129" w:lineRule="exact"/>
              <w:rPr>
                <w:sz w:val="20"/>
                <w:szCs w:val="20"/>
                <w:color w:val="auto"/>
              </w:rPr>
            </w:pPr>
            <w:r>
              <w:rPr>
                <w:rFonts w:ascii="Arial" w:cs="Arial" w:eastAsia="Arial" w:hAnsi="Arial"/>
                <w:sz w:val="13"/>
                <w:szCs w:val="13"/>
                <w:color w:val="auto"/>
              </w:rPr>
              <w:t>390,000</w:t>
            </w: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rPr>
              <w:t>975,000</w:t>
            </w:r>
          </w:p>
        </w:tc>
        <w:tc>
          <w:tcPr>
            <w:tcW w:w="8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120"/>
              <w:spacing w:after="0" w:line="129"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line="129"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77"/>
              <w:spacing w:after="0" w:line="129" w:lineRule="exact"/>
              <w:rPr>
                <w:sz w:val="20"/>
                <w:szCs w:val="20"/>
                <w:color w:val="auto"/>
              </w:rPr>
            </w:pPr>
            <w:r>
              <w:rPr>
                <w:rFonts w:ascii="Arial" w:cs="Arial" w:eastAsia="Arial" w:hAnsi="Arial"/>
                <w:sz w:val="13"/>
                <w:szCs w:val="13"/>
                <w:color w:val="auto"/>
              </w:rPr>
              <w:t>—</w:t>
            </w:r>
          </w:p>
        </w:tc>
        <w:tc>
          <w:tcPr>
            <w:tcW w:w="98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300" w:type="dxa"/>
            <w:vAlign w:val="bottom"/>
            <w:shd w:val="clear" w:color="auto" w:fill="EDEDEE"/>
          </w:tcPr>
          <w:p>
            <w:pPr>
              <w:spacing w:after="0"/>
              <w:rPr>
                <w:sz w:val="11"/>
                <w:szCs w:val="11"/>
                <w:color w:val="auto"/>
              </w:rPr>
            </w:pPr>
          </w:p>
        </w:tc>
        <w:tc>
          <w:tcPr>
            <w:tcW w:w="1420" w:type="dxa"/>
            <w:vAlign w:val="bottom"/>
            <w:shd w:val="clear" w:color="auto" w:fill="EDEDEE"/>
          </w:tcPr>
          <w:p>
            <w:pPr>
              <w:ind w:left="40"/>
              <w:spacing w:after="0" w:line="135" w:lineRule="exact"/>
              <w:rPr>
                <w:sz w:val="20"/>
                <w:szCs w:val="20"/>
                <w:color w:val="auto"/>
              </w:rPr>
            </w:pPr>
            <w:r>
              <w:rPr>
                <w:rFonts w:ascii="Arial" w:cs="Arial" w:eastAsia="Arial" w:hAnsi="Arial"/>
                <w:sz w:val="13"/>
                <w:szCs w:val="13"/>
                <w:color w:val="auto"/>
              </w:rPr>
              <w:t>PRSUs</w:t>
            </w:r>
          </w:p>
        </w:tc>
        <w:tc>
          <w:tcPr>
            <w:tcW w:w="940" w:type="dxa"/>
            <w:vAlign w:val="bottom"/>
            <w:shd w:val="clear" w:color="auto" w:fill="EDEDEE"/>
          </w:tcPr>
          <w:p>
            <w:pPr>
              <w:jc w:val="right"/>
              <w:ind w:right="17"/>
              <w:spacing w:after="0" w:line="135" w:lineRule="exact"/>
              <w:rPr>
                <w:sz w:val="20"/>
                <w:szCs w:val="20"/>
                <w:color w:val="auto"/>
              </w:rPr>
            </w:pPr>
            <w:r>
              <w:rPr>
                <w:rFonts w:ascii="Arial" w:cs="Arial" w:eastAsia="Arial" w:hAnsi="Arial"/>
                <w:sz w:val="13"/>
                <w:szCs w:val="13"/>
                <w:color w:val="auto"/>
              </w:rPr>
              <w:t>3/7/2025</w:t>
            </w:r>
          </w:p>
        </w:tc>
        <w:tc>
          <w:tcPr>
            <w:tcW w:w="740" w:type="dxa"/>
            <w:vAlign w:val="bottom"/>
            <w:shd w:val="clear" w:color="auto" w:fill="EDEDEE"/>
          </w:tcPr>
          <w:p>
            <w:pPr>
              <w:jc w:val="right"/>
              <w:spacing w:after="0" w:line="135" w:lineRule="exact"/>
              <w:rPr>
                <w:sz w:val="20"/>
                <w:szCs w:val="20"/>
                <w:color w:val="auto"/>
              </w:rPr>
            </w:pPr>
            <w:r>
              <w:rPr>
                <w:rFonts w:ascii="Arial" w:cs="Arial" w:eastAsia="Arial" w:hAnsi="Arial"/>
                <w:sz w:val="13"/>
                <w:szCs w:val="13"/>
                <w:color w:val="auto"/>
              </w:rPr>
              <w:t>—</w:t>
            </w:r>
          </w:p>
        </w:tc>
        <w:tc>
          <w:tcPr>
            <w:tcW w:w="960" w:type="dxa"/>
            <w:vAlign w:val="bottom"/>
            <w:shd w:val="clear" w:color="auto" w:fill="EDEDEE"/>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EDEDEE"/>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EDEDEE"/>
          </w:tcPr>
          <w:p>
            <w:pPr>
              <w:jc w:val="right"/>
              <w:spacing w:after="0" w:line="135" w:lineRule="exact"/>
              <w:rPr>
                <w:sz w:val="20"/>
                <w:szCs w:val="20"/>
                <w:color w:val="auto"/>
              </w:rPr>
            </w:pPr>
            <w:r>
              <w:rPr>
                <w:rFonts w:ascii="Arial" w:cs="Arial" w:eastAsia="Arial" w:hAnsi="Arial"/>
                <w:sz w:val="13"/>
                <w:szCs w:val="13"/>
                <w:color w:val="auto"/>
              </w:rPr>
              <w:t>9,052</w:t>
            </w:r>
          </w:p>
        </w:tc>
        <w:tc>
          <w:tcPr>
            <w:tcW w:w="620" w:type="dxa"/>
            <w:vAlign w:val="bottom"/>
            <w:shd w:val="clear" w:color="auto" w:fill="EDEDEE"/>
          </w:tcPr>
          <w:p>
            <w:pPr>
              <w:jc w:val="right"/>
              <w:spacing w:after="0" w:line="135" w:lineRule="exact"/>
              <w:rPr>
                <w:sz w:val="20"/>
                <w:szCs w:val="20"/>
                <w:color w:val="auto"/>
              </w:rPr>
            </w:pPr>
            <w:r>
              <w:rPr>
                <w:rFonts w:ascii="Arial" w:cs="Arial" w:eastAsia="Arial" w:hAnsi="Arial"/>
                <w:sz w:val="13"/>
                <w:szCs w:val="13"/>
                <w:color w:val="auto"/>
              </w:rPr>
              <w:t>18,103</w:t>
            </w:r>
          </w:p>
        </w:tc>
        <w:tc>
          <w:tcPr>
            <w:tcW w:w="40" w:type="dxa"/>
            <w:vAlign w:val="bottom"/>
            <w:shd w:val="clear" w:color="auto" w:fill="EDEDEE"/>
          </w:tcPr>
          <w:p>
            <w:pPr>
              <w:spacing w:after="0"/>
              <w:rPr>
                <w:sz w:val="11"/>
                <w:szCs w:val="11"/>
                <w:color w:val="auto"/>
              </w:rPr>
            </w:pPr>
          </w:p>
        </w:tc>
        <w:tc>
          <w:tcPr>
            <w:tcW w:w="140" w:type="dxa"/>
            <w:vAlign w:val="bottom"/>
            <w:shd w:val="clear" w:color="auto" w:fill="EDEDEE"/>
          </w:tcPr>
          <w:p>
            <w:pPr>
              <w:spacing w:after="0"/>
              <w:rPr>
                <w:sz w:val="11"/>
                <w:szCs w:val="11"/>
                <w:color w:val="auto"/>
              </w:rPr>
            </w:pPr>
          </w:p>
        </w:tc>
        <w:tc>
          <w:tcPr>
            <w:tcW w:w="720" w:type="dxa"/>
            <w:vAlign w:val="bottom"/>
            <w:gridSpan w:val="2"/>
            <w:shd w:val="clear" w:color="auto" w:fill="EDEDEE"/>
          </w:tcPr>
          <w:p>
            <w:pPr>
              <w:jc w:val="right"/>
              <w:ind w:right="120"/>
              <w:spacing w:after="0" w:line="135" w:lineRule="exact"/>
              <w:rPr>
                <w:sz w:val="20"/>
                <w:szCs w:val="20"/>
                <w:color w:val="auto"/>
              </w:rPr>
            </w:pPr>
            <w:r>
              <w:rPr>
                <w:rFonts w:ascii="Arial" w:cs="Arial" w:eastAsia="Arial" w:hAnsi="Arial"/>
                <w:sz w:val="13"/>
                <w:szCs w:val="13"/>
                <w:color w:val="auto"/>
              </w:rPr>
              <w:t>36,206</w:t>
            </w:r>
          </w:p>
        </w:tc>
        <w:tc>
          <w:tcPr>
            <w:tcW w:w="880" w:type="dxa"/>
            <w:vAlign w:val="bottom"/>
            <w:shd w:val="clear" w:color="auto" w:fill="EDEDEE"/>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EDEDEE"/>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980" w:type="dxa"/>
            <w:vAlign w:val="bottom"/>
            <w:shd w:val="clear" w:color="auto" w:fill="EDEDEE"/>
          </w:tcPr>
          <w:p>
            <w:pPr>
              <w:jc w:val="right"/>
              <w:spacing w:after="0" w:line="135" w:lineRule="exact"/>
              <w:rPr>
                <w:sz w:val="20"/>
                <w:szCs w:val="20"/>
                <w:color w:val="auto"/>
              </w:rPr>
            </w:pPr>
            <w:r>
              <w:rPr>
                <w:rFonts w:ascii="Arial" w:cs="Arial" w:eastAsia="Arial" w:hAnsi="Arial"/>
                <w:sz w:val="13"/>
                <w:szCs w:val="13"/>
                <w:color w:val="auto"/>
              </w:rPr>
              <w:t>715,974</w:t>
            </w: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420" w:type="dxa"/>
            <w:vAlign w:val="bottom"/>
          </w:tcPr>
          <w:p>
            <w:pPr>
              <w:ind w:left="40"/>
              <w:spacing w:after="0" w:line="135" w:lineRule="exact"/>
              <w:rPr>
                <w:sz w:val="20"/>
                <w:szCs w:val="20"/>
                <w:color w:val="auto"/>
              </w:rPr>
            </w:pPr>
            <w:r>
              <w:rPr>
                <w:rFonts w:ascii="Arial" w:cs="Arial" w:eastAsia="Arial" w:hAnsi="Arial"/>
                <w:sz w:val="13"/>
                <w:szCs w:val="13"/>
                <w:color w:val="auto"/>
              </w:rPr>
              <w:t>RSUs</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3/7/2025</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18,103</w:t>
            </w:r>
          </w:p>
        </w:tc>
        <w:tc>
          <w:tcPr>
            <w:tcW w:w="7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$37.72</w:t>
            </w:r>
          </w:p>
        </w:tc>
        <w:tc>
          <w:tcPr>
            <w:tcW w:w="980" w:type="dxa"/>
            <w:vAlign w:val="bottom"/>
          </w:tcPr>
          <w:p>
            <w:pPr>
              <w:jc w:val="right"/>
              <w:spacing w:after="0" w:line="135" w:lineRule="exact"/>
              <w:rPr>
                <w:sz w:val="20"/>
                <w:szCs w:val="20"/>
                <w:color w:val="auto"/>
              </w:rPr>
            </w:pPr>
            <w:r>
              <w:rPr>
                <w:rFonts w:ascii="Arial" w:cs="Arial" w:eastAsia="Arial" w:hAnsi="Arial"/>
                <w:sz w:val="13"/>
                <w:szCs w:val="13"/>
                <w:color w:val="auto"/>
              </w:rPr>
              <w:t>682,845</w:t>
            </w:r>
          </w:p>
        </w:tc>
        <w:tc>
          <w:tcPr>
            <w:tcW w:w="0" w:type="dxa"/>
            <w:vAlign w:val="bottom"/>
          </w:tcPr>
          <w:p>
            <w:pPr>
              <w:spacing w:after="0"/>
              <w:rPr>
                <w:sz w:val="1"/>
                <w:szCs w:val="1"/>
                <w:color w:val="auto"/>
              </w:rPr>
            </w:pPr>
          </w:p>
        </w:tc>
      </w:tr>
      <w:tr>
        <w:trPr>
          <w:trHeight w:val="135"/>
        </w:trPr>
        <w:tc>
          <w:tcPr>
            <w:tcW w:w="1300" w:type="dxa"/>
            <w:vAlign w:val="bottom"/>
            <w:tcBorders>
              <w:bottom w:val="single" w:sz="8" w:color="auto"/>
            </w:tcBorders>
            <w:shd w:val="clear" w:color="auto" w:fill="EDEDEE"/>
          </w:tcPr>
          <w:p>
            <w:pPr>
              <w:spacing w:after="0"/>
              <w:rPr>
                <w:sz w:val="11"/>
                <w:szCs w:val="11"/>
                <w:color w:val="auto"/>
              </w:rPr>
            </w:pPr>
          </w:p>
        </w:tc>
        <w:tc>
          <w:tcPr>
            <w:tcW w:w="1420" w:type="dxa"/>
            <w:vAlign w:val="bottom"/>
            <w:tcBorders>
              <w:bottom w:val="single" w:sz="8" w:color="auto"/>
            </w:tcBorders>
            <w:shd w:val="clear" w:color="auto" w:fill="EDEDEE"/>
          </w:tcPr>
          <w:p>
            <w:pPr>
              <w:spacing w:after="0"/>
              <w:rPr>
                <w:sz w:val="11"/>
                <w:szCs w:val="11"/>
                <w:color w:val="auto"/>
              </w:rPr>
            </w:pPr>
          </w:p>
        </w:tc>
        <w:tc>
          <w:tcPr>
            <w:tcW w:w="940" w:type="dxa"/>
            <w:vAlign w:val="bottom"/>
            <w:tcBorders>
              <w:bottom w:val="single" w:sz="8" w:color="auto"/>
            </w:tcBorders>
            <w:shd w:val="clear" w:color="auto" w:fill="EDEDEE"/>
          </w:tcPr>
          <w:p>
            <w:pPr>
              <w:spacing w:after="0"/>
              <w:rPr>
                <w:sz w:val="11"/>
                <w:szCs w:val="11"/>
                <w:color w:val="auto"/>
              </w:rPr>
            </w:pPr>
          </w:p>
        </w:tc>
        <w:tc>
          <w:tcPr>
            <w:tcW w:w="740" w:type="dxa"/>
            <w:vAlign w:val="bottom"/>
            <w:tcBorders>
              <w:bottom w:val="single" w:sz="8" w:color="auto"/>
            </w:tcBorders>
            <w:shd w:val="clear" w:color="auto" w:fill="EDEDEE"/>
          </w:tcPr>
          <w:p>
            <w:pPr>
              <w:spacing w:after="0"/>
              <w:rPr>
                <w:sz w:val="11"/>
                <w:szCs w:val="11"/>
                <w:color w:val="auto"/>
              </w:rPr>
            </w:pPr>
          </w:p>
        </w:tc>
        <w:tc>
          <w:tcPr>
            <w:tcW w:w="960" w:type="dxa"/>
            <w:vAlign w:val="bottom"/>
            <w:tcBorders>
              <w:bottom w:val="single" w:sz="8" w:color="auto"/>
            </w:tcBorders>
            <w:shd w:val="clear" w:color="auto" w:fill="EDEDEE"/>
          </w:tcPr>
          <w:p>
            <w:pPr>
              <w:spacing w:after="0"/>
              <w:rPr>
                <w:sz w:val="11"/>
                <w:szCs w:val="11"/>
                <w:color w:val="auto"/>
              </w:rPr>
            </w:pPr>
          </w:p>
        </w:tc>
        <w:tc>
          <w:tcPr>
            <w:tcW w:w="680" w:type="dxa"/>
            <w:vAlign w:val="bottom"/>
            <w:tcBorders>
              <w:bottom w:val="single" w:sz="8" w:color="auto"/>
            </w:tcBorders>
            <w:shd w:val="clear" w:color="auto" w:fill="EDEDEE"/>
          </w:tcPr>
          <w:p>
            <w:pPr>
              <w:spacing w:after="0"/>
              <w:rPr>
                <w:sz w:val="11"/>
                <w:szCs w:val="11"/>
                <w:color w:val="auto"/>
              </w:rPr>
            </w:pPr>
          </w:p>
        </w:tc>
        <w:tc>
          <w:tcPr>
            <w:tcW w:w="80" w:type="dxa"/>
            <w:vAlign w:val="bottom"/>
            <w:tcBorders>
              <w:bottom w:val="single" w:sz="8" w:color="auto"/>
            </w:tcBorders>
            <w:shd w:val="clear" w:color="auto" w:fill="EDEDEE"/>
          </w:tcPr>
          <w:p>
            <w:pPr>
              <w:spacing w:after="0"/>
              <w:rPr>
                <w:sz w:val="11"/>
                <w:szCs w:val="11"/>
                <w:color w:val="auto"/>
              </w:rPr>
            </w:pPr>
          </w:p>
        </w:tc>
        <w:tc>
          <w:tcPr>
            <w:tcW w:w="740" w:type="dxa"/>
            <w:vAlign w:val="bottom"/>
            <w:tcBorders>
              <w:bottom w:val="single" w:sz="8" w:color="auto"/>
            </w:tcBorders>
            <w:shd w:val="clear" w:color="auto" w:fill="EDEDEE"/>
          </w:tcPr>
          <w:p>
            <w:pPr>
              <w:spacing w:after="0"/>
              <w:rPr>
                <w:sz w:val="11"/>
                <w:szCs w:val="11"/>
                <w:color w:val="auto"/>
              </w:rPr>
            </w:pPr>
          </w:p>
        </w:tc>
        <w:tc>
          <w:tcPr>
            <w:tcW w:w="620" w:type="dxa"/>
            <w:vAlign w:val="bottom"/>
            <w:tcBorders>
              <w:bottom w:val="single" w:sz="8" w:color="auto"/>
            </w:tcBorders>
            <w:shd w:val="clear" w:color="auto" w:fill="EDEDEE"/>
          </w:tcPr>
          <w:p>
            <w:pPr>
              <w:spacing w:after="0"/>
              <w:rPr>
                <w:sz w:val="11"/>
                <w:szCs w:val="11"/>
                <w:color w:val="auto"/>
              </w:rPr>
            </w:pPr>
          </w:p>
        </w:tc>
        <w:tc>
          <w:tcPr>
            <w:tcW w:w="40" w:type="dxa"/>
            <w:vAlign w:val="bottom"/>
            <w:tcBorders>
              <w:bottom w:val="single" w:sz="8" w:color="auto"/>
            </w:tcBorders>
            <w:shd w:val="clear" w:color="auto" w:fill="EDEDEE"/>
          </w:tcPr>
          <w:p>
            <w:pPr>
              <w:spacing w:after="0"/>
              <w:rPr>
                <w:sz w:val="11"/>
                <w:szCs w:val="11"/>
                <w:color w:val="auto"/>
              </w:rPr>
            </w:pPr>
          </w:p>
        </w:tc>
        <w:tc>
          <w:tcPr>
            <w:tcW w:w="140" w:type="dxa"/>
            <w:vAlign w:val="bottom"/>
            <w:tcBorders>
              <w:bottom w:val="single" w:sz="8" w:color="auto"/>
            </w:tcBorders>
            <w:shd w:val="clear" w:color="auto" w:fill="EDEDEE"/>
          </w:tcPr>
          <w:p>
            <w:pPr>
              <w:spacing w:after="0"/>
              <w:rPr>
                <w:sz w:val="11"/>
                <w:szCs w:val="11"/>
                <w:color w:val="auto"/>
              </w:rPr>
            </w:pPr>
          </w:p>
        </w:tc>
        <w:tc>
          <w:tcPr>
            <w:tcW w:w="600" w:type="dxa"/>
            <w:vAlign w:val="bottom"/>
            <w:tcBorders>
              <w:bottom w:val="single" w:sz="8" w:color="auto"/>
            </w:tcBorders>
            <w:shd w:val="clear" w:color="auto" w:fill="EDEDEE"/>
          </w:tcPr>
          <w:p>
            <w:pPr>
              <w:spacing w:after="0"/>
              <w:rPr>
                <w:sz w:val="11"/>
                <w:szCs w:val="11"/>
                <w:color w:val="auto"/>
              </w:rPr>
            </w:pPr>
          </w:p>
        </w:tc>
        <w:tc>
          <w:tcPr>
            <w:tcW w:w="120" w:type="dxa"/>
            <w:vAlign w:val="bottom"/>
            <w:tcBorders>
              <w:bottom w:val="single" w:sz="8" w:color="auto"/>
            </w:tcBorders>
            <w:shd w:val="clear" w:color="auto" w:fill="EDEDEE"/>
          </w:tcPr>
          <w:p>
            <w:pPr>
              <w:spacing w:after="0"/>
              <w:rPr>
                <w:sz w:val="11"/>
                <w:szCs w:val="11"/>
                <w:color w:val="auto"/>
              </w:rPr>
            </w:pPr>
          </w:p>
        </w:tc>
        <w:tc>
          <w:tcPr>
            <w:tcW w:w="880" w:type="dxa"/>
            <w:vAlign w:val="bottom"/>
            <w:tcBorders>
              <w:bottom w:val="single" w:sz="8" w:color="auto"/>
            </w:tcBorders>
            <w:shd w:val="clear" w:color="auto" w:fill="EDEDEE"/>
          </w:tcPr>
          <w:p>
            <w:pPr>
              <w:spacing w:after="0"/>
              <w:rPr>
                <w:sz w:val="11"/>
                <w:szCs w:val="11"/>
                <w:color w:val="auto"/>
              </w:rPr>
            </w:pPr>
          </w:p>
        </w:tc>
        <w:tc>
          <w:tcPr>
            <w:tcW w:w="780" w:type="dxa"/>
            <w:vAlign w:val="bottom"/>
            <w:tcBorders>
              <w:bottom w:val="single" w:sz="8" w:color="auto"/>
            </w:tcBorders>
            <w:shd w:val="clear" w:color="auto" w:fill="EDEDEE"/>
          </w:tcPr>
          <w:p>
            <w:pPr>
              <w:spacing w:after="0"/>
              <w:rPr>
                <w:sz w:val="11"/>
                <w:szCs w:val="11"/>
                <w:color w:val="auto"/>
              </w:rPr>
            </w:pPr>
          </w:p>
        </w:tc>
        <w:tc>
          <w:tcPr>
            <w:tcW w:w="980" w:type="dxa"/>
            <w:vAlign w:val="bottom"/>
            <w:tcBorders>
              <w:bottom w:val="single" w:sz="8" w:color="auto"/>
            </w:tcBorders>
            <w:shd w:val="clear" w:color="auto" w:fill="EDEDE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300" w:type="dxa"/>
            <w:vAlign w:val="bottom"/>
          </w:tcPr>
          <w:p>
            <w:pPr>
              <w:spacing w:after="0" w:line="129" w:lineRule="exact"/>
              <w:rPr>
                <w:sz w:val="20"/>
                <w:szCs w:val="20"/>
                <w:color w:val="auto"/>
              </w:rPr>
            </w:pPr>
            <w:r>
              <w:rPr>
                <w:rFonts w:ascii="Arial" w:cs="Arial" w:eastAsia="Arial" w:hAnsi="Arial"/>
                <w:sz w:val="13"/>
                <w:szCs w:val="13"/>
                <w:b w:val="1"/>
                <w:bCs w:val="1"/>
                <w:color w:val="auto"/>
              </w:rPr>
              <w:t>Patricia Lang</w:t>
            </w:r>
          </w:p>
        </w:tc>
        <w:tc>
          <w:tcPr>
            <w:tcW w:w="1420" w:type="dxa"/>
            <w:vAlign w:val="bottom"/>
          </w:tcPr>
          <w:p>
            <w:pPr>
              <w:ind w:left="40"/>
              <w:spacing w:after="0" w:line="129" w:lineRule="exact"/>
              <w:rPr>
                <w:sz w:val="20"/>
                <w:szCs w:val="20"/>
                <w:color w:val="auto"/>
              </w:rPr>
            </w:pPr>
            <w:r>
              <w:rPr>
                <w:rFonts w:ascii="Arial" w:cs="Arial" w:eastAsia="Arial" w:hAnsi="Arial"/>
                <w:sz w:val="13"/>
                <w:szCs w:val="13"/>
                <w:color w:val="auto"/>
              </w:rPr>
              <w:t>Annual Incentive Plan</w:t>
            </w:r>
          </w:p>
        </w:tc>
        <w:tc>
          <w:tcPr>
            <w:tcW w:w="940" w:type="dxa"/>
            <w:vAlign w:val="bottom"/>
          </w:tcPr>
          <w:p>
            <w:pPr>
              <w:jc w:val="right"/>
              <w:ind w:right="17"/>
              <w:spacing w:after="0" w:line="129"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29" w:lineRule="exact"/>
              <w:rPr>
                <w:sz w:val="20"/>
                <w:szCs w:val="20"/>
                <w:color w:val="auto"/>
              </w:rPr>
            </w:pPr>
            <w:r>
              <w:rPr>
                <w:rFonts w:ascii="Arial" w:cs="Arial" w:eastAsia="Arial" w:hAnsi="Arial"/>
                <w:sz w:val="13"/>
                <w:szCs w:val="13"/>
                <w:color w:val="auto"/>
              </w:rPr>
              <w:t>176,750</w:t>
            </w:r>
          </w:p>
        </w:tc>
        <w:tc>
          <w:tcPr>
            <w:tcW w:w="960" w:type="dxa"/>
            <w:vAlign w:val="bottom"/>
          </w:tcPr>
          <w:p>
            <w:pPr>
              <w:jc w:val="right"/>
              <w:ind w:right="77"/>
              <w:spacing w:after="0" w:line="129" w:lineRule="exact"/>
              <w:rPr>
                <w:sz w:val="20"/>
                <w:szCs w:val="20"/>
                <w:color w:val="auto"/>
              </w:rPr>
            </w:pPr>
            <w:r>
              <w:rPr>
                <w:rFonts w:ascii="Arial" w:cs="Arial" w:eastAsia="Arial" w:hAnsi="Arial"/>
                <w:sz w:val="13"/>
                <w:szCs w:val="13"/>
                <w:color w:val="auto"/>
              </w:rPr>
              <w:t>353,500</w:t>
            </w: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rPr>
              <w:t>883,750</w:t>
            </w:r>
          </w:p>
        </w:tc>
        <w:tc>
          <w:tcPr>
            <w:tcW w:w="8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220"/>
              <w:spacing w:after="0" w:line="129"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line="129"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line="129"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77"/>
              <w:spacing w:after="0" w:line="129" w:lineRule="exact"/>
              <w:rPr>
                <w:sz w:val="20"/>
                <w:szCs w:val="20"/>
                <w:color w:val="auto"/>
              </w:rPr>
            </w:pPr>
            <w:r>
              <w:rPr>
                <w:rFonts w:ascii="Arial" w:cs="Arial" w:eastAsia="Arial" w:hAnsi="Arial"/>
                <w:sz w:val="13"/>
                <w:szCs w:val="13"/>
                <w:color w:val="auto"/>
              </w:rPr>
              <w:t>—</w:t>
            </w:r>
          </w:p>
        </w:tc>
        <w:tc>
          <w:tcPr>
            <w:tcW w:w="98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300" w:type="dxa"/>
            <w:vAlign w:val="bottom"/>
            <w:shd w:val="clear" w:color="auto" w:fill="EDEDEE"/>
          </w:tcPr>
          <w:p>
            <w:pPr>
              <w:spacing w:after="0"/>
              <w:rPr>
                <w:sz w:val="11"/>
                <w:szCs w:val="11"/>
                <w:color w:val="auto"/>
              </w:rPr>
            </w:pPr>
          </w:p>
        </w:tc>
        <w:tc>
          <w:tcPr>
            <w:tcW w:w="1420" w:type="dxa"/>
            <w:vAlign w:val="bottom"/>
            <w:shd w:val="clear" w:color="auto" w:fill="EDEDEE"/>
          </w:tcPr>
          <w:p>
            <w:pPr>
              <w:ind w:left="40"/>
              <w:spacing w:after="0" w:line="135" w:lineRule="exact"/>
              <w:rPr>
                <w:sz w:val="20"/>
                <w:szCs w:val="20"/>
                <w:color w:val="auto"/>
              </w:rPr>
            </w:pPr>
            <w:r>
              <w:rPr>
                <w:rFonts w:ascii="Arial" w:cs="Arial" w:eastAsia="Arial" w:hAnsi="Arial"/>
                <w:sz w:val="13"/>
                <w:szCs w:val="13"/>
                <w:color w:val="auto"/>
              </w:rPr>
              <w:t>PRSUs</w:t>
            </w:r>
          </w:p>
        </w:tc>
        <w:tc>
          <w:tcPr>
            <w:tcW w:w="940" w:type="dxa"/>
            <w:vAlign w:val="bottom"/>
            <w:shd w:val="clear" w:color="auto" w:fill="EDEDEE"/>
          </w:tcPr>
          <w:p>
            <w:pPr>
              <w:jc w:val="right"/>
              <w:ind w:right="17"/>
              <w:spacing w:after="0" w:line="135" w:lineRule="exact"/>
              <w:rPr>
                <w:sz w:val="20"/>
                <w:szCs w:val="20"/>
                <w:color w:val="auto"/>
              </w:rPr>
            </w:pPr>
            <w:r>
              <w:rPr>
                <w:rFonts w:ascii="Arial" w:cs="Arial" w:eastAsia="Arial" w:hAnsi="Arial"/>
                <w:sz w:val="13"/>
                <w:szCs w:val="13"/>
                <w:color w:val="auto"/>
              </w:rPr>
              <w:t>3/7/2025</w:t>
            </w:r>
          </w:p>
        </w:tc>
        <w:tc>
          <w:tcPr>
            <w:tcW w:w="740" w:type="dxa"/>
            <w:vAlign w:val="bottom"/>
            <w:shd w:val="clear" w:color="auto" w:fill="EDEDEE"/>
          </w:tcPr>
          <w:p>
            <w:pPr>
              <w:jc w:val="right"/>
              <w:spacing w:after="0" w:line="135" w:lineRule="exact"/>
              <w:rPr>
                <w:sz w:val="20"/>
                <w:szCs w:val="20"/>
                <w:color w:val="auto"/>
              </w:rPr>
            </w:pPr>
            <w:r>
              <w:rPr>
                <w:rFonts w:ascii="Arial" w:cs="Arial" w:eastAsia="Arial" w:hAnsi="Arial"/>
                <w:sz w:val="13"/>
                <w:szCs w:val="13"/>
                <w:color w:val="auto"/>
              </w:rPr>
              <w:t>—</w:t>
            </w:r>
          </w:p>
        </w:tc>
        <w:tc>
          <w:tcPr>
            <w:tcW w:w="960" w:type="dxa"/>
            <w:vAlign w:val="bottom"/>
            <w:shd w:val="clear" w:color="auto" w:fill="EDEDEE"/>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EDEDEE"/>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EDEDEE"/>
          </w:tcPr>
          <w:p>
            <w:pPr>
              <w:jc w:val="right"/>
              <w:spacing w:after="0" w:line="135" w:lineRule="exact"/>
              <w:rPr>
                <w:sz w:val="20"/>
                <w:szCs w:val="20"/>
                <w:color w:val="auto"/>
              </w:rPr>
            </w:pPr>
            <w:r>
              <w:rPr>
                <w:rFonts w:ascii="Arial" w:cs="Arial" w:eastAsia="Arial" w:hAnsi="Arial"/>
                <w:sz w:val="13"/>
                <w:szCs w:val="13"/>
                <w:color w:val="auto"/>
              </w:rPr>
              <w:t>3,772</w:t>
            </w:r>
          </w:p>
        </w:tc>
        <w:tc>
          <w:tcPr>
            <w:tcW w:w="620" w:type="dxa"/>
            <w:vAlign w:val="bottom"/>
            <w:shd w:val="clear" w:color="auto" w:fill="EDEDEE"/>
          </w:tcPr>
          <w:p>
            <w:pPr>
              <w:jc w:val="right"/>
              <w:spacing w:after="0" w:line="135" w:lineRule="exact"/>
              <w:rPr>
                <w:sz w:val="20"/>
                <w:szCs w:val="20"/>
                <w:color w:val="auto"/>
              </w:rPr>
            </w:pPr>
            <w:r>
              <w:rPr>
                <w:rFonts w:ascii="Arial" w:cs="Arial" w:eastAsia="Arial" w:hAnsi="Arial"/>
                <w:sz w:val="13"/>
                <w:szCs w:val="13"/>
                <w:color w:val="auto"/>
              </w:rPr>
              <w:t>7,543</w:t>
            </w:r>
          </w:p>
        </w:tc>
        <w:tc>
          <w:tcPr>
            <w:tcW w:w="40" w:type="dxa"/>
            <w:vAlign w:val="bottom"/>
            <w:shd w:val="clear" w:color="auto" w:fill="EDEDEE"/>
          </w:tcPr>
          <w:p>
            <w:pPr>
              <w:spacing w:after="0"/>
              <w:rPr>
                <w:sz w:val="11"/>
                <w:szCs w:val="11"/>
                <w:color w:val="auto"/>
              </w:rPr>
            </w:pPr>
          </w:p>
        </w:tc>
        <w:tc>
          <w:tcPr>
            <w:tcW w:w="140" w:type="dxa"/>
            <w:vAlign w:val="bottom"/>
            <w:shd w:val="clear" w:color="auto" w:fill="EDEDEE"/>
          </w:tcPr>
          <w:p>
            <w:pPr>
              <w:spacing w:after="0"/>
              <w:rPr>
                <w:sz w:val="11"/>
                <w:szCs w:val="11"/>
                <w:color w:val="auto"/>
              </w:rPr>
            </w:pPr>
          </w:p>
        </w:tc>
        <w:tc>
          <w:tcPr>
            <w:tcW w:w="720" w:type="dxa"/>
            <w:vAlign w:val="bottom"/>
            <w:gridSpan w:val="2"/>
            <w:shd w:val="clear" w:color="auto" w:fill="EDEDEE"/>
          </w:tcPr>
          <w:p>
            <w:pPr>
              <w:jc w:val="right"/>
              <w:ind w:right="120"/>
              <w:spacing w:after="0" w:line="135" w:lineRule="exact"/>
              <w:rPr>
                <w:sz w:val="20"/>
                <w:szCs w:val="20"/>
                <w:color w:val="auto"/>
              </w:rPr>
            </w:pPr>
            <w:r>
              <w:rPr>
                <w:rFonts w:ascii="Arial" w:cs="Arial" w:eastAsia="Arial" w:hAnsi="Arial"/>
                <w:sz w:val="13"/>
                <w:szCs w:val="13"/>
                <w:color w:val="auto"/>
              </w:rPr>
              <w:t>15,086</w:t>
            </w:r>
          </w:p>
        </w:tc>
        <w:tc>
          <w:tcPr>
            <w:tcW w:w="880" w:type="dxa"/>
            <w:vAlign w:val="bottom"/>
            <w:shd w:val="clear" w:color="auto" w:fill="EDEDEE"/>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EDEDEE"/>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980" w:type="dxa"/>
            <w:vAlign w:val="bottom"/>
            <w:shd w:val="clear" w:color="auto" w:fill="EDEDEE"/>
          </w:tcPr>
          <w:p>
            <w:pPr>
              <w:jc w:val="right"/>
              <w:spacing w:after="0" w:line="135" w:lineRule="exact"/>
              <w:rPr>
                <w:sz w:val="20"/>
                <w:szCs w:val="20"/>
                <w:color w:val="auto"/>
              </w:rPr>
            </w:pPr>
            <w:r>
              <w:rPr>
                <w:rFonts w:ascii="Arial" w:cs="Arial" w:eastAsia="Arial" w:hAnsi="Arial"/>
                <w:sz w:val="13"/>
                <w:szCs w:val="13"/>
                <w:color w:val="auto"/>
              </w:rPr>
              <w:t>298,326</w:t>
            </w: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420" w:type="dxa"/>
            <w:vAlign w:val="bottom"/>
          </w:tcPr>
          <w:p>
            <w:pPr>
              <w:ind w:left="40"/>
              <w:spacing w:after="0" w:line="135" w:lineRule="exact"/>
              <w:rPr>
                <w:sz w:val="20"/>
                <w:szCs w:val="20"/>
                <w:color w:val="auto"/>
              </w:rPr>
            </w:pPr>
            <w:r>
              <w:rPr>
                <w:rFonts w:ascii="Arial" w:cs="Arial" w:eastAsia="Arial" w:hAnsi="Arial"/>
                <w:sz w:val="13"/>
                <w:szCs w:val="13"/>
                <w:color w:val="auto"/>
              </w:rPr>
              <w:t>RSUs</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3/7/2025</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22,629</w:t>
            </w:r>
          </w:p>
        </w:tc>
        <w:tc>
          <w:tcPr>
            <w:tcW w:w="7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$37.72</w:t>
            </w:r>
          </w:p>
        </w:tc>
        <w:tc>
          <w:tcPr>
            <w:tcW w:w="980" w:type="dxa"/>
            <w:vAlign w:val="bottom"/>
          </w:tcPr>
          <w:p>
            <w:pPr>
              <w:jc w:val="right"/>
              <w:spacing w:after="0" w:line="135" w:lineRule="exact"/>
              <w:rPr>
                <w:sz w:val="20"/>
                <w:szCs w:val="20"/>
                <w:color w:val="auto"/>
              </w:rPr>
            </w:pPr>
            <w:r>
              <w:rPr>
                <w:rFonts w:ascii="Arial" w:cs="Arial" w:eastAsia="Arial" w:hAnsi="Arial"/>
                <w:sz w:val="13"/>
                <w:szCs w:val="13"/>
                <w:color w:val="auto"/>
              </w:rPr>
              <w:t>853,566</w:t>
            </w:r>
          </w:p>
        </w:tc>
        <w:tc>
          <w:tcPr>
            <w:tcW w:w="0" w:type="dxa"/>
            <w:vAlign w:val="bottom"/>
          </w:tcPr>
          <w:p>
            <w:pPr>
              <w:spacing w:after="0"/>
              <w:rPr>
                <w:sz w:val="1"/>
                <w:szCs w:val="1"/>
                <w:color w:val="auto"/>
              </w:rPr>
            </w:pPr>
          </w:p>
        </w:tc>
      </w:tr>
      <w:tr>
        <w:trPr>
          <w:trHeight w:val="135"/>
        </w:trPr>
        <w:tc>
          <w:tcPr>
            <w:tcW w:w="1300" w:type="dxa"/>
            <w:vAlign w:val="bottom"/>
            <w:tcBorders>
              <w:bottom w:val="single" w:sz="8" w:color="auto"/>
            </w:tcBorders>
            <w:shd w:val="clear" w:color="auto" w:fill="EDEDEE"/>
          </w:tcPr>
          <w:p>
            <w:pPr>
              <w:spacing w:after="0"/>
              <w:rPr>
                <w:sz w:val="11"/>
                <w:szCs w:val="11"/>
                <w:color w:val="auto"/>
              </w:rPr>
            </w:pPr>
          </w:p>
        </w:tc>
        <w:tc>
          <w:tcPr>
            <w:tcW w:w="1420" w:type="dxa"/>
            <w:vAlign w:val="bottom"/>
            <w:tcBorders>
              <w:bottom w:val="single" w:sz="8" w:color="auto"/>
            </w:tcBorders>
            <w:shd w:val="clear" w:color="auto" w:fill="EDEDEE"/>
          </w:tcPr>
          <w:p>
            <w:pPr>
              <w:spacing w:after="0"/>
              <w:rPr>
                <w:sz w:val="11"/>
                <w:szCs w:val="11"/>
                <w:color w:val="auto"/>
              </w:rPr>
            </w:pPr>
          </w:p>
        </w:tc>
        <w:tc>
          <w:tcPr>
            <w:tcW w:w="940" w:type="dxa"/>
            <w:vAlign w:val="bottom"/>
            <w:tcBorders>
              <w:bottom w:val="single" w:sz="8" w:color="auto"/>
            </w:tcBorders>
            <w:shd w:val="clear" w:color="auto" w:fill="EDEDEE"/>
          </w:tcPr>
          <w:p>
            <w:pPr>
              <w:spacing w:after="0"/>
              <w:rPr>
                <w:sz w:val="11"/>
                <w:szCs w:val="11"/>
                <w:color w:val="auto"/>
              </w:rPr>
            </w:pPr>
          </w:p>
        </w:tc>
        <w:tc>
          <w:tcPr>
            <w:tcW w:w="740" w:type="dxa"/>
            <w:vAlign w:val="bottom"/>
            <w:tcBorders>
              <w:bottom w:val="single" w:sz="8" w:color="auto"/>
            </w:tcBorders>
            <w:shd w:val="clear" w:color="auto" w:fill="EDEDEE"/>
          </w:tcPr>
          <w:p>
            <w:pPr>
              <w:spacing w:after="0"/>
              <w:rPr>
                <w:sz w:val="11"/>
                <w:szCs w:val="11"/>
                <w:color w:val="auto"/>
              </w:rPr>
            </w:pPr>
          </w:p>
        </w:tc>
        <w:tc>
          <w:tcPr>
            <w:tcW w:w="960" w:type="dxa"/>
            <w:vAlign w:val="bottom"/>
            <w:tcBorders>
              <w:bottom w:val="single" w:sz="8" w:color="auto"/>
            </w:tcBorders>
            <w:shd w:val="clear" w:color="auto" w:fill="EDEDEE"/>
          </w:tcPr>
          <w:p>
            <w:pPr>
              <w:spacing w:after="0"/>
              <w:rPr>
                <w:sz w:val="11"/>
                <w:szCs w:val="11"/>
                <w:color w:val="auto"/>
              </w:rPr>
            </w:pPr>
          </w:p>
        </w:tc>
        <w:tc>
          <w:tcPr>
            <w:tcW w:w="680" w:type="dxa"/>
            <w:vAlign w:val="bottom"/>
            <w:tcBorders>
              <w:bottom w:val="single" w:sz="8" w:color="auto"/>
            </w:tcBorders>
            <w:shd w:val="clear" w:color="auto" w:fill="EDEDEE"/>
          </w:tcPr>
          <w:p>
            <w:pPr>
              <w:spacing w:after="0"/>
              <w:rPr>
                <w:sz w:val="11"/>
                <w:szCs w:val="11"/>
                <w:color w:val="auto"/>
              </w:rPr>
            </w:pPr>
          </w:p>
        </w:tc>
        <w:tc>
          <w:tcPr>
            <w:tcW w:w="80" w:type="dxa"/>
            <w:vAlign w:val="bottom"/>
            <w:tcBorders>
              <w:bottom w:val="single" w:sz="8" w:color="auto"/>
            </w:tcBorders>
            <w:shd w:val="clear" w:color="auto" w:fill="EDEDEE"/>
          </w:tcPr>
          <w:p>
            <w:pPr>
              <w:spacing w:after="0"/>
              <w:rPr>
                <w:sz w:val="11"/>
                <w:szCs w:val="11"/>
                <w:color w:val="auto"/>
              </w:rPr>
            </w:pPr>
          </w:p>
        </w:tc>
        <w:tc>
          <w:tcPr>
            <w:tcW w:w="740" w:type="dxa"/>
            <w:vAlign w:val="bottom"/>
            <w:tcBorders>
              <w:bottom w:val="single" w:sz="8" w:color="auto"/>
            </w:tcBorders>
            <w:shd w:val="clear" w:color="auto" w:fill="EDEDEE"/>
          </w:tcPr>
          <w:p>
            <w:pPr>
              <w:spacing w:after="0"/>
              <w:rPr>
                <w:sz w:val="11"/>
                <w:szCs w:val="11"/>
                <w:color w:val="auto"/>
              </w:rPr>
            </w:pPr>
          </w:p>
        </w:tc>
        <w:tc>
          <w:tcPr>
            <w:tcW w:w="620" w:type="dxa"/>
            <w:vAlign w:val="bottom"/>
            <w:tcBorders>
              <w:bottom w:val="single" w:sz="8" w:color="auto"/>
            </w:tcBorders>
            <w:shd w:val="clear" w:color="auto" w:fill="EDEDEE"/>
          </w:tcPr>
          <w:p>
            <w:pPr>
              <w:spacing w:after="0"/>
              <w:rPr>
                <w:sz w:val="11"/>
                <w:szCs w:val="11"/>
                <w:color w:val="auto"/>
              </w:rPr>
            </w:pPr>
          </w:p>
        </w:tc>
        <w:tc>
          <w:tcPr>
            <w:tcW w:w="40" w:type="dxa"/>
            <w:vAlign w:val="bottom"/>
            <w:tcBorders>
              <w:bottom w:val="single" w:sz="8" w:color="auto"/>
            </w:tcBorders>
            <w:shd w:val="clear" w:color="auto" w:fill="EDEDEE"/>
          </w:tcPr>
          <w:p>
            <w:pPr>
              <w:spacing w:after="0"/>
              <w:rPr>
                <w:sz w:val="11"/>
                <w:szCs w:val="11"/>
                <w:color w:val="auto"/>
              </w:rPr>
            </w:pPr>
          </w:p>
        </w:tc>
        <w:tc>
          <w:tcPr>
            <w:tcW w:w="140" w:type="dxa"/>
            <w:vAlign w:val="bottom"/>
            <w:tcBorders>
              <w:bottom w:val="single" w:sz="8" w:color="auto"/>
            </w:tcBorders>
            <w:shd w:val="clear" w:color="auto" w:fill="EDEDEE"/>
          </w:tcPr>
          <w:p>
            <w:pPr>
              <w:spacing w:after="0"/>
              <w:rPr>
                <w:sz w:val="11"/>
                <w:szCs w:val="11"/>
                <w:color w:val="auto"/>
              </w:rPr>
            </w:pPr>
          </w:p>
        </w:tc>
        <w:tc>
          <w:tcPr>
            <w:tcW w:w="600" w:type="dxa"/>
            <w:vAlign w:val="bottom"/>
            <w:tcBorders>
              <w:bottom w:val="single" w:sz="8" w:color="auto"/>
            </w:tcBorders>
            <w:shd w:val="clear" w:color="auto" w:fill="EDEDEE"/>
          </w:tcPr>
          <w:p>
            <w:pPr>
              <w:spacing w:after="0"/>
              <w:rPr>
                <w:sz w:val="11"/>
                <w:szCs w:val="11"/>
                <w:color w:val="auto"/>
              </w:rPr>
            </w:pPr>
          </w:p>
        </w:tc>
        <w:tc>
          <w:tcPr>
            <w:tcW w:w="120" w:type="dxa"/>
            <w:vAlign w:val="bottom"/>
            <w:tcBorders>
              <w:bottom w:val="single" w:sz="8" w:color="auto"/>
            </w:tcBorders>
            <w:shd w:val="clear" w:color="auto" w:fill="EDEDEE"/>
          </w:tcPr>
          <w:p>
            <w:pPr>
              <w:spacing w:after="0"/>
              <w:rPr>
                <w:sz w:val="11"/>
                <w:szCs w:val="11"/>
                <w:color w:val="auto"/>
              </w:rPr>
            </w:pPr>
          </w:p>
        </w:tc>
        <w:tc>
          <w:tcPr>
            <w:tcW w:w="880" w:type="dxa"/>
            <w:vAlign w:val="bottom"/>
            <w:tcBorders>
              <w:bottom w:val="single" w:sz="8" w:color="auto"/>
            </w:tcBorders>
            <w:shd w:val="clear" w:color="auto" w:fill="EDEDEE"/>
          </w:tcPr>
          <w:p>
            <w:pPr>
              <w:spacing w:after="0"/>
              <w:rPr>
                <w:sz w:val="11"/>
                <w:szCs w:val="11"/>
                <w:color w:val="auto"/>
              </w:rPr>
            </w:pPr>
          </w:p>
        </w:tc>
        <w:tc>
          <w:tcPr>
            <w:tcW w:w="780" w:type="dxa"/>
            <w:vAlign w:val="bottom"/>
            <w:tcBorders>
              <w:bottom w:val="single" w:sz="8" w:color="auto"/>
            </w:tcBorders>
            <w:shd w:val="clear" w:color="auto" w:fill="EDEDEE"/>
          </w:tcPr>
          <w:p>
            <w:pPr>
              <w:spacing w:after="0"/>
              <w:rPr>
                <w:sz w:val="11"/>
                <w:szCs w:val="11"/>
                <w:color w:val="auto"/>
              </w:rPr>
            </w:pPr>
          </w:p>
        </w:tc>
        <w:tc>
          <w:tcPr>
            <w:tcW w:w="980" w:type="dxa"/>
            <w:vAlign w:val="bottom"/>
            <w:tcBorders>
              <w:bottom w:val="single" w:sz="8" w:color="auto"/>
            </w:tcBorders>
            <w:shd w:val="clear" w:color="auto" w:fill="EDEDE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300" w:type="dxa"/>
            <w:vAlign w:val="bottom"/>
          </w:tcPr>
          <w:p>
            <w:pPr>
              <w:spacing w:after="0" w:line="129" w:lineRule="exact"/>
              <w:rPr>
                <w:sz w:val="20"/>
                <w:szCs w:val="20"/>
                <w:color w:val="auto"/>
              </w:rPr>
            </w:pPr>
            <w:r>
              <w:rPr>
                <w:rFonts w:ascii="Arial" w:cs="Arial" w:eastAsia="Arial" w:hAnsi="Arial"/>
                <w:sz w:val="13"/>
                <w:szCs w:val="13"/>
                <w:b w:val="1"/>
                <w:bCs w:val="1"/>
                <w:color w:val="auto"/>
              </w:rPr>
              <w:t>Louis Vogt</w:t>
            </w:r>
          </w:p>
        </w:tc>
        <w:tc>
          <w:tcPr>
            <w:tcW w:w="1420" w:type="dxa"/>
            <w:vAlign w:val="bottom"/>
          </w:tcPr>
          <w:p>
            <w:pPr>
              <w:ind w:left="40"/>
              <w:spacing w:after="0" w:line="129" w:lineRule="exact"/>
              <w:rPr>
                <w:sz w:val="20"/>
                <w:szCs w:val="20"/>
                <w:color w:val="auto"/>
              </w:rPr>
            </w:pPr>
            <w:r>
              <w:rPr>
                <w:rFonts w:ascii="Arial" w:cs="Arial" w:eastAsia="Arial" w:hAnsi="Arial"/>
                <w:sz w:val="13"/>
                <w:szCs w:val="13"/>
                <w:color w:val="auto"/>
              </w:rPr>
              <w:t>Annual Incentive Plan</w:t>
            </w:r>
          </w:p>
        </w:tc>
        <w:tc>
          <w:tcPr>
            <w:tcW w:w="940" w:type="dxa"/>
            <w:vAlign w:val="bottom"/>
          </w:tcPr>
          <w:p>
            <w:pPr>
              <w:jc w:val="right"/>
              <w:ind w:right="17"/>
              <w:spacing w:after="0" w:line="129"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29" w:lineRule="exact"/>
              <w:rPr>
                <w:sz w:val="20"/>
                <w:szCs w:val="20"/>
                <w:color w:val="auto"/>
              </w:rPr>
            </w:pPr>
            <w:r>
              <w:rPr>
                <w:rFonts w:ascii="Arial" w:cs="Arial" w:eastAsia="Arial" w:hAnsi="Arial"/>
                <w:sz w:val="13"/>
                <w:szCs w:val="13"/>
                <w:color w:val="auto"/>
              </w:rPr>
              <w:t>187,500</w:t>
            </w:r>
          </w:p>
        </w:tc>
        <w:tc>
          <w:tcPr>
            <w:tcW w:w="960" w:type="dxa"/>
            <w:vAlign w:val="bottom"/>
          </w:tcPr>
          <w:p>
            <w:pPr>
              <w:jc w:val="right"/>
              <w:ind w:right="77"/>
              <w:spacing w:after="0" w:line="129" w:lineRule="exact"/>
              <w:rPr>
                <w:sz w:val="20"/>
                <w:szCs w:val="20"/>
                <w:color w:val="auto"/>
              </w:rPr>
            </w:pPr>
            <w:r>
              <w:rPr>
                <w:rFonts w:ascii="Arial" w:cs="Arial" w:eastAsia="Arial" w:hAnsi="Arial"/>
                <w:sz w:val="13"/>
                <w:szCs w:val="13"/>
                <w:color w:val="auto"/>
              </w:rPr>
              <w:t>375,000</w:t>
            </w: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rPr>
              <w:t>937,500</w:t>
            </w:r>
          </w:p>
        </w:tc>
        <w:tc>
          <w:tcPr>
            <w:tcW w:w="8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220"/>
              <w:spacing w:after="0" w:line="129"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line="129"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line="129"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77"/>
              <w:spacing w:after="0" w:line="129" w:lineRule="exact"/>
              <w:rPr>
                <w:sz w:val="20"/>
                <w:szCs w:val="20"/>
                <w:color w:val="auto"/>
              </w:rPr>
            </w:pPr>
            <w:r>
              <w:rPr>
                <w:rFonts w:ascii="Arial" w:cs="Arial" w:eastAsia="Arial" w:hAnsi="Arial"/>
                <w:sz w:val="13"/>
                <w:szCs w:val="13"/>
                <w:color w:val="auto"/>
              </w:rPr>
              <w:t>—</w:t>
            </w:r>
          </w:p>
        </w:tc>
        <w:tc>
          <w:tcPr>
            <w:tcW w:w="98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300" w:type="dxa"/>
            <w:vAlign w:val="bottom"/>
            <w:shd w:val="clear" w:color="auto" w:fill="EDEDEE"/>
          </w:tcPr>
          <w:p>
            <w:pPr>
              <w:spacing w:after="0"/>
              <w:rPr>
                <w:sz w:val="11"/>
                <w:szCs w:val="11"/>
                <w:color w:val="auto"/>
              </w:rPr>
            </w:pPr>
          </w:p>
        </w:tc>
        <w:tc>
          <w:tcPr>
            <w:tcW w:w="1420" w:type="dxa"/>
            <w:vAlign w:val="bottom"/>
            <w:shd w:val="clear" w:color="auto" w:fill="EDEDEE"/>
          </w:tcPr>
          <w:p>
            <w:pPr>
              <w:ind w:left="40"/>
              <w:spacing w:after="0" w:line="135" w:lineRule="exact"/>
              <w:rPr>
                <w:sz w:val="20"/>
                <w:szCs w:val="20"/>
                <w:color w:val="auto"/>
              </w:rPr>
            </w:pPr>
            <w:r>
              <w:rPr>
                <w:rFonts w:ascii="Arial" w:cs="Arial" w:eastAsia="Arial" w:hAnsi="Arial"/>
                <w:sz w:val="13"/>
                <w:szCs w:val="13"/>
                <w:color w:val="auto"/>
              </w:rPr>
              <w:t>PRSUs</w:t>
            </w:r>
          </w:p>
        </w:tc>
        <w:tc>
          <w:tcPr>
            <w:tcW w:w="940" w:type="dxa"/>
            <w:vAlign w:val="bottom"/>
            <w:shd w:val="clear" w:color="auto" w:fill="EDEDEE"/>
          </w:tcPr>
          <w:p>
            <w:pPr>
              <w:jc w:val="right"/>
              <w:ind w:right="17"/>
              <w:spacing w:after="0" w:line="135" w:lineRule="exact"/>
              <w:rPr>
                <w:sz w:val="20"/>
                <w:szCs w:val="20"/>
                <w:color w:val="auto"/>
              </w:rPr>
            </w:pPr>
            <w:r>
              <w:rPr>
                <w:rFonts w:ascii="Arial" w:cs="Arial" w:eastAsia="Arial" w:hAnsi="Arial"/>
                <w:sz w:val="13"/>
                <w:szCs w:val="13"/>
                <w:color w:val="auto"/>
              </w:rPr>
              <w:t>3/7/2025</w:t>
            </w:r>
          </w:p>
        </w:tc>
        <w:tc>
          <w:tcPr>
            <w:tcW w:w="740" w:type="dxa"/>
            <w:vAlign w:val="bottom"/>
            <w:shd w:val="clear" w:color="auto" w:fill="EDEDEE"/>
          </w:tcPr>
          <w:p>
            <w:pPr>
              <w:jc w:val="right"/>
              <w:spacing w:after="0" w:line="135" w:lineRule="exact"/>
              <w:rPr>
                <w:sz w:val="20"/>
                <w:szCs w:val="20"/>
                <w:color w:val="auto"/>
              </w:rPr>
            </w:pPr>
            <w:r>
              <w:rPr>
                <w:rFonts w:ascii="Arial" w:cs="Arial" w:eastAsia="Arial" w:hAnsi="Arial"/>
                <w:sz w:val="13"/>
                <w:szCs w:val="13"/>
                <w:color w:val="auto"/>
              </w:rPr>
              <w:t>—</w:t>
            </w:r>
          </w:p>
        </w:tc>
        <w:tc>
          <w:tcPr>
            <w:tcW w:w="960" w:type="dxa"/>
            <w:vAlign w:val="bottom"/>
            <w:shd w:val="clear" w:color="auto" w:fill="EDEDEE"/>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EDEDEE"/>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EDEDEE"/>
          </w:tcPr>
          <w:p>
            <w:pPr>
              <w:jc w:val="right"/>
              <w:spacing w:after="0" w:line="135" w:lineRule="exact"/>
              <w:rPr>
                <w:sz w:val="20"/>
                <w:szCs w:val="20"/>
                <w:color w:val="auto"/>
              </w:rPr>
            </w:pPr>
            <w:r>
              <w:rPr>
                <w:rFonts w:ascii="Arial" w:cs="Arial" w:eastAsia="Arial" w:hAnsi="Arial"/>
                <w:sz w:val="13"/>
                <w:szCs w:val="13"/>
                <w:color w:val="auto"/>
              </w:rPr>
              <w:t>7,543</w:t>
            </w:r>
          </w:p>
        </w:tc>
        <w:tc>
          <w:tcPr>
            <w:tcW w:w="620" w:type="dxa"/>
            <w:vAlign w:val="bottom"/>
            <w:shd w:val="clear" w:color="auto" w:fill="EDEDEE"/>
          </w:tcPr>
          <w:p>
            <w:pPr>
              <w:jc w:val="right"/>
              <w:spacing w:after="0" w:line="135" w:lineRule="exact"/>
              <w:rPr>
                <w:sz w:val="20"/>
                <w:szCs w:val="20"/>
                <w:color w:val="auto"/>
              </w:rPr>
            </w:pPr>
            <w:r>
              <w:rPr>
                <w:rFonts w:ascii="Arial" w:cs="Arial" w:eastAsia="Arial" w:hAnsi="Arial"/>
                <w:sz w:val="13"/>
                <w:szCs w:val="13"/>
                <w:color w:val="auto"/>
              </w:rPr>
              <w:t>15,086</w:t>
            </w:r>
          </w:p>
        </w:tc>
        <w:tc>
          <w:tcPr>
            <w:tcW w:w="40" w:type="dxa"/>
            <w:vAlign w:val="bottom"/>
            <w:shd w:val="clear" w:color="auto" w:fill="EDEDEE"/>
          </w:tcPr>
          <w:p>
            <w:pPr>
              <w:spacing w:after="0"/>
              <w:rPr>
                <w:sz w:val="11"/>
                <w:szCs w:val="11"/>
                <w:color w:val="auto"/>
              </w:rPr>
            </w:pPr>
          </w:p>
        </w:tc>
        <w:tc>
          <w:tcPr>
            <w:tcW w:w="140" w:type="dxa"/>
            <w:vAlign w:val="bottom"/>
            <w:shd w:val="clear" w:color="auto" w:fill="EDEDEE"/>
          </w:tcPr>
          <w:p>
            <w:pPr>
              <w:spacing w:after="0"/>
              <w:rPr>
                <w:sz w:val="11"/>
                <w:szCs w:val="11"/>
                <w:color w:val="auto"/>
              </w:rPr>
            </w:pPr>
          </w:p>
        </w:tc>
        <w:tc>
          <w:tcPr>
            <w:tcW w:w="720" w:type="dxa"/>
            <w:vAlign w:val="bottom"/>
            <w:gridSpan w:val="2"/>
            <w:shd w:val="clear" w:color="auto" w:fill="EDEDEE"/>
          </w:tcPr>
          <w:p>
            <w:pPr>
              <w:jc w:val="right"/>
              <w:ind w:right="120"/>
              <w:spacing w:after="0" w:line="135" w:lineRule="exact"/>
              <w:rPr>
                <w:sz w:val="20"/>
                <w:szCs w:val="20"/>
                <w:color w:val="auto"/>
              </w:rPr>
            </w:pPr>
            <w:r>
              <w:rPr>
                <w:rFonts w:ascii="Arial" w:cs="Arial" w:eastAsia="Arial" w:hAnsi="Arial"/>
                <w:sz w:val="13"/>
                <w:szCs w:val="13"/>
                <w:color w:val="auto"/>
              </w:rPr>
              <w:t>30,172</w:t>
            </w:r>
          </w:p>
        </w:tc>
        <w:tc>
          <w:tcPr>
            <w:tcW w:w="880" w:type="dxa"/>
            <w:vAlign w:val="bottom"/>
            <w:shd w:val="clear" w:color="auto" w:fill="EDEDEE"/>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EDEDEE"/>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980" w:type="dxa"/>
            <w:vAlign w:val="bottom"/>
            <w:shd w:val="clear" w:color="auto" w:fill="EDEDEE"/>
          </w:tcPr>
          <w:p>
            <w:pPr>
              <w:jc w:val="right"/>
              <w:spacing w:after="0" w:line="135" w:lineRule="exact"/>
              <w:rPr>
                <w:sz w:val="20"/>
                <w:szCs w:val="20"/>
                <w:color w:val="auto"/>
              </w:rPr>
            </w:pPr>
            <w:r>
              <w:rPr>
                <w:rFonts w:ascii="Arial" w:cs="Arial" w:eastAsia="Arial" w:hAnsi="Arial"/>
                <w:sz w:val="13"/>
                <w:szCs w:val="13"/>
                <w:color w:val="auto"/>
              </w:rPr>
              <w:t>596,651</w:t>
            </w:r>
          </w:p>
        </w:tc>
        <w:tc>
          <w:tcPr>
            <w:tcW w:w="0" w:type="dxa"/>
            <w:vAlign w:val="bottom"/>
          </w:tcPr>
          <w:p>
            <w:pPr>
              <w:spacing w:after="0"/>
              <w:rPr>
                <w:sz w:val="1"/>
                <w:szCs w:val="1"/>
                <w:color w:val="auto"/>
              </w:rPr>
            </w:pPr>
          </w:p>
        </w:tc>
      </w:tr>
      <w:tr>
        <w:trPr>
          <w:trHeight w:val="166"/>
        </w:trPr>
        <w:tc>
          <w:tcPr>
            <w:tcW w:w="130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Arial" w:cs="Arial" w:eastAsia="Arial" w:hAnsi="Arial"/>
                <w:sz w:val="13"/>
                <w:szCs w:val="13"/>
                <w:color w:val="auto"/>
              </w:rPr>
              <w:t>RSUs</w:t>
            </w: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3/7/2025</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15,086</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$37.72</w:t>
            </w:r>
          </w:p>
        </w:tc>
        <w:tc>
          <w:tcPr>
            <w:tcW w:w="980" w:type="dxa"/>
            <w:vAlign w:val="bottom"/>
          </w:tcPr>
          <w:p>
            <w:pPr>
              <w:jc w:val="right"/>
              <w:spacing w:after="0"/>
              <w:rPr>
                <w:sz w:val="20"/>
                <w:szCs w:val="20"/>
                <w:color w:val="auto"/>
              </w:rPr>
            </w:pPr>
            <w:r>
              <w:rPr>
                <w:rFonts w:ascii="Arial" w:cs="Arial" w:eastAsia="Arial" w:hAnsi="Arial"/>
                <w:sz w:val="13"/>
                <w:szCs w:val="13"/>
                <w:color w:val="auto"/>
              </w:rPr>
              <w:t>569,044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4757420</wp:posOffset>
            </wp:positionH>
            <wp:positionV relativeFrom="paragraph">
              <wp:posOffset>-1082040</wp:posOffset>
            </wp:positionV>
            <wp:extent cx="254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5400" cy="8890"/>
                    </a:xfrm>
                    <a:prstGeom prst="rect">
                      <a:avLst/>
                    </a:prstGeom>
                    <a:noFill/>
                  </pic:spPr>
                </pic:pic>
              </a:graphicData>
            </a:graphic>
          </wp:anchor>
        </w:drawing>
      </w:r>
    </w:p>
    <w:p>
      <w:pPr>
        <w:spacing w:after="0" w:line="90" w:lineRule="exact"/>
        <w:rPr>
          <w:sz w:val="20"/>
          <w:szCs w:val="20"/>
          <w:color w:val="auto"/>
        </w:rPr>
      </w:pPr>
    </w:p>
    <w:p>
      <w:pPr>
        <w:jc w:val="both"/>
        <w:ind w:left="424" w:right="20" w:hanging="424"/>
        <w:spacing w:after="0" w:line="231" w:lineRule="auto"/>
        <w:tabs>
          <w:tab w:leader="none" w:pos="424" w:val="left"/>
        </w:tabs>
        <w:numPr>
          <w:ilvl w:val="0"/>
          <w:numId w:val="85"/>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 potential payouts under our Annual Incentive Plan. Threshold estimated possible payouts incorporate a 0.5 IPF, target estimated possible payouts incorporate a 1.0 IPF and maximum estimated possible payouts incorporate the 250% maximum payout cap under the Annual Incentive Plan. For a discussion of the performance metrics and actual results and payouts under the plan for fiscal 2025 see the Compensation Discussion and Analysis and the “Non-Equity Incentive Plan Compensation” column of the Summary Compensation Table above, respectively.</w:t>
      </w:r>
    </w:p>
    <w:p>
      <w:pPr>
        <w:spacing w:after="0" w:line="176" w:lineRule="exact"/>
        <w:rPr>
          <w:rFonts w:ascii="Arial" w:cs="Arial" w:eastAsia="Arial" w:hAnsi="Arial"/>
          <w:sz w:val="14"/>
          <w:szCs w:val="14"/>
          <w:i w:val="1"/>
          <w:iCs w:val="1"/>
          <w:color w:val="auto"/>
        </w:rPr>
      </w:pPr>
    </w:p>
    <w:p>
      <w:pPr>
        <w:jc w:val="both"/>
        <w:ind w:left="424" w:right="20" w:hanging="424"/>
        <w:spacing w:after="0"/>
        <w:tabs>
          <w:tab w:leader="none" w:pos="424" w:val="left"/>
        </w:tabs>
        <w:numPr>
          <w:ilvl w:val="0"/>
          <w:numId w:val="85"/>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 potential shares Issuable under performance-based restricted stock unit awards. The PRSUs may be earned at the end of the performance period upon certification by the CHCM Committee of the performance level that has been met. The PRSUs cliff vest at the end of the three-year performance period, if earned.</w:t>
      </w:r>
    </w:p>
    <w:p>
      <w:pPr>
        <w:spacing w:after="0" w:line="326" w:lineRule="exact"/>
        <w:rPr>
          <w:rFonts w:ascii="Arial" w:cs="Arial" w:eastAsia="Arial" w:hAnsi="Arial"/>
          <w:sz w:val="14"/>
          <w:szCs w:val="14"/>
          <w:i w:val="1"/>
          <w:iCs w:val="1"/>
          <w:color w:val="auto"/>
        </w:rPr>
      </w:pPr>
    </w:p>
    <w:p>
      <w:pPr>
        <w:jc w:val="both"/>
        <w:ind w:left="424" w:hanging="424"/>
        <w:spacing w:after="0" w:line="231" w:lineRule="auto"/>
        <w:tabs>
          <w:tab w:leader="none" w:pos="424" w:val="left"/>
        </w:tabs>
        <w:numPr>
          <w:ilvl w:val="0"/>
          <w:numId w:val="85"/>
        </w:numPr>
        <w:rPr>
          <w:rFonts w:ascii="Arial" w:cs="Arial" w:eastAsia="Arial" w:hAnsi="Arial"/>
          <w:sz w:val="14"/>
          <w:szCs w:val="14"/>
          <w:i w:val="1"/>
          <w:iCs w:val="1"/>
          <w:color w:val="auto"/>
        </w:rPr>
      </w:pPr>
      <w:r>
        <w:rPr>
          <w:rFonts w:ascii="Arial" w:cs="Arial" w:eastAsia="Arial" w:hAnsi="Arial"/>
          <w:sz w:val="14"/>
          <w:szCs w:val="14"/>
          <w:i w:val="1"/>
          <w:iCs w:val="1"/>
          <w:color w:val="auto"/>
        </w:rPr>
        <w:t>Unless otherwise indicated below, the amounts shown in this column represent the full grant date fair value of grants made to each NEO, as computed in accordance with FASB ASC Topic 718. PRSUs are valued based upon the probable outcome of the performance conditions associated with these awards as of the grant date and such calculation is consistent with the estimate of aggregate compensation cost recognized over the service period determined as of the grant date under FASB ASC Topic 718, excluding the effect of estimated forfeitures.</w:t>
      </w:r>
    </w:p>
    <w:p>
      <w:pPr>
        <w:spacing w:after="0" w:line="176" w:lineRule="exact"/>
        <w:rPr>
          <w:rFonts w:ascii="Arial" w:cs="Arial" w:eastAsia="Arial" w:hAnsi="Arial"/>
          <w:sz w:val="14"/>
          <w:szCs w:val="14"/>
          <w:i w:val="1"/>
          <w:iCs w:val="1"/>
          <w:color w:val="auto"/>
        </w:rPr>
      </w:pPr>
    </w:p>
    <w:p>
      <w:pPr>
        <w:ind w:left="424" w:hanging="424"/>
        <w:spacing w:after="0"/>
        <w:tabs>
          <w:tab w:leader="none" w:pos="424" w:val="left"/>
        </w:tabs>
        <w:numPr>
          <w:ilvl w:val="0"/>
          <w:numId w:val="85"/>
        </w:numPr>
        <w:rPr>
          <w:rFonts w:ascii="Arial" w:cs="Arial" w:eastAsia="Arial" w:hAnsi="Arial"/>
          <w:sz w:val="14"/>
          <w:szCs w:val="14"/>
          <w:i w:val="1"/>
          <w:iCs w:val="1"/>
          <w:color w:val="auto"/>
        </w:rPr>
      </w:pPr>
      <w:r>
        <w:rPr>
          <w:rFonts w:ascii="Arial" w:cs="Arial" w:eastAsia="Arial" w:hAnsi="Arial"/>
          <w:sz w:val="14"/>
          <w:szCs w:val="14"/>
          <w:i w:val="1"/>
          <w:iCs w:val="1"/>
          <w:color w:val="auto"/>
        </w:rPr>
        <w:t>Amounts include the number of stock units awarded and value of the retention grant received by Mr. Berry.</w:t>
      </w:r>
    </w:p>
    <w:p>
      <w:pPr>
        <w:spacing w:after="0" w:line="184" w:lineRule="exact"/>
        <w:rPr>
          <w:sz w:val="20"/>
          <w:szCs w:val="20"/>
          <w:color w:val="auto"/>
        </w:rPr>
      </w:pPr>
    </w:p>
    <w:p>
      <w:pPr>
        <w:ind w:left="7524"/>
        <w:spacing w:after="0"/>
        <w:tabs>
          <w:tab w:leader="none" w:pos="10804" w:val="left"/>
        </w:tabs>
        <w:rPr>
          <w:sz w:val="20"/>
          <w:szCs w:val="20"/>
          <w:color w:val="auto"/>
        </w:rPr>
      </w:pPr>
      <w:r>
        <w:rPr>
          <w:sz w:val="1"/>
          <w:szCs w:val="1"/>
          <w:color w:val="auto"/>
        </w:rPr>
        <w:drawing>
          <wp:inline distT="0" distB="0" distL="0" distR="0">
            <wp:extent cx="685800" cy="163195"/>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0" cy="163195"/>
                    </a:xfrm>
                    <a:prstGeom prst="rect">
                      <a:avLst/>
                    </a:prstGeom>
                    <a:noFill/>
                    <a:ln>
                      <a:noFill/>
                    </a:ln>
                  </pic:spPr>
                </pic:pic>
              </a:graphicData>
            </a:graphic>
          </wp:inline>
        </w:drawing>
      </w:r>
      <w:r>
        <w:rPr>
          <w:rFonts w:ascii="Arial" w:cs="Arial" w:eastAsia="Arial" w:hAnsi="Arial"/>
          <w:sz w:val="18"/>
          <w:szCs w:val="18"/>
          <w:color w:val="auto"/>
        </w:rPr>
        <w:t xml:space="preserve"> - 2026 Proxy Statement</w:t>
      </w:r>
      <w:r>
        <w:rPr>
          <w:sz w:val="20"/>
          <w:szCs w:val="20"/>
          <w:color w:val="auto"/>
        </w:rPr>
        <w:tab/>
      </w: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-186690</wp:posOffset>
            </wp:positionV>
            <wp:extent cx="6995160" cy="3346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95160" cy="334645"/>
                    </a:xfrm>
                    <a:prstGeom prst="rect">
                      <a:avLst/>
                    </a:prstGeom>
                    <a:noFill/>
                  </pic:spPr>
                </pic:pic>
              </a:graphicData>
            </a:graphic>
          </wp:anchor>
        </w:drawing>
      </w:r>
    </w:p>
    <w:p>
      <w:pPr>
        <w:sectPr>
          <w:pgSz w:w="11900" w:h="16838" w:orient="portrait"/>
          <w:cols w:equalWidth="0" w:num="1">
            <w:col w:w="11024"/>
          </w:cols>
          <w:pgMar w:left="436" w:top="649" w:right="439" w:bottom="1440" w:gutter="0" w:footer="0" w:header="0"/>
        </w:sectPr>
      </w:pPr>
    </w:p>
    <w:bookmarkStart w:id="49" w:name="page50"/>
    <w:bookmarkEnd w:id="49"/>
    <w:p>
      <w:pPr>
        <w:ind w:left="4"/>
        <w:spacing w:after="0"/>
        <w:rPr>
          <w:sz w:val="20"/>
          <w:szCs w:val="20"/>
          <w:color w:val="auto"/>
        </w:rPr>
      </w:pPr>
      <w:r>
        <w:rPr>
          <w:rFonts w:ascii="Arial" w:cs="Arial" w:eastAsia="Arial" w:hAnsi="Arial"/>
          <w:sz w:val="32"/>
          <w:szCs w:val="32"/>
          <w:b w:val="1"/>
          <w:bCs w:val="1"/>
          <w:color w:val="C8102E"/>
        </w:rPr>
        <w:t>Outstanding Equity Awards at 2025 Fiscal Year-End</w:t>
      </w:r>
    </w:p>
    <w:p>
      <w:pPr>
        <w:spacing w:after="0" w:line="148" w:lineRule="exact"/>
        <w:rPr>
          <w:sz w:val="20"/>
          <w:szCs w:val="20"/>
          <w:color w:val="auto"/>
        </w:rPr>
      </w:pPr>
    </w:p>
    <w:p>
      <w:pPr>
        <w:ind w:left="4" w:right="20"/>
        <w:spacing w:after="0" w:line="251" w:lineRule="auto"/>
        <w:rPr>
          <w:sz w:val="20"/>
          <w:szCs w:val="20"/>
          <w:color w:val="auto"/>
        </w:rPr>
      </w:pPr>
      <w:r>
        <w:rPr>
          <w:rFonts w:ascii="Arial" w:cs="Arial" w:eastAsia="Arial" w:hAnsi="Arial"/>
          <w:sz w:val="16"/>
          <w:szCs w:val="16"/>
          <w:color w:val="auto"/>
        </w:rPr>
        <w:t>The following table shows, as of December 31, 2025, the number of outstanding stock options, performance-based restricted stock unit awards and restricted stock unit awards held by the named executive officers.</w:t>
      </w:r>
    </w:p>
    <w:p>
      <w:pPr>
        <w:spacing w:after="0" w:line="124" w:lineRule="exact"/>
        <w:rPr>
          <w:sz w:val="20"/>
          <w:szCs w:val="20"/>
          <w:color w:val="auto"/>
        </w:rPr>
      </w:pPr>
    </w:p>
    <w:tbl>
      <w:tblPr>
        <w:tblLayout w:type="fixed"/>
        <w:tblInd w:w="4" w:type="dxa"/>
        <w:tblCellMar>
          <w:top w:w="0" w:type="dxa"/>
          <w:left w:w="0" w:type="dxa"/>
          <w:bottom w:w="0" w:type="dxa"/>
          <w:right w:w="0" w:type="dxa"/>
        </w:tblCellMar>
      </w:tblPr>
      <w:tr>
        <w:trPr>
          <w:trHeight w:val="153"/>
        </w:trPr>
        <w:tc>
          <w:tcPr>
            <w:tcW w:w="1480" w:type="dxa"/>
            <w:vAlign w:val="bottom"/>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C8102E"/>
              </w:rPr>
              <w:t>Option Awards</w:t>
            </w:r>
          </w:p>
        </w:tc>
        <w:tc>
          <w:tcPr>
            <w:tcW w:w="8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2"/>
          </w:tcPr>
          <w:p>
            <w:pPr>
              <w:jc w:val="right"/>
              <w:ind w:right="937"/>
              <w:spacing w:after="0"/>
              <w:rPr>
                <w:sz w:val="20"/>
                <w:szCs w:val="20"/>
                <w:color w:val="auto"/>
              </w:rPr>
            </w:pPr>
            <w:r>
              <w:rPr>
                <w:rFonts w:ascii="Arial" w:cs="Arial" w:eastAsia="Arial" w:hAnsi="Arial"/>
                <w:sz w:val="13"/>
                <w:szCs w:val="13"/>
                <w:b w:val="1"/>
                <w:bCs w:val="1"/>
                <w:color w:val="C8102E"/>
              </w:rPr>
              <w:t>Stock Awards</w:t>
            </w:r>
          </w:p>
        </w:tc>
        <w:tc>
          <w:tcPr>
            <w:tcW w:w="10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4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320" w:type="dxa"/>
            <w:vAlign w:val="bottom"/>
            <w:vMerge w:val="restart"/>
          </w:tcPr>
          <w:p>
            <w:pPr>
              <w:jc w:val="right"/>
              <w:ind w:right="197"/>
              <w:spacing w:after="0"/>
              <w:rPr>
                <w:sz w:val="20"/>
                <w:szCs w:val="20"/>
                <w:color w:val="auto"/>
              </w:rPr>
            </w:pPr>
            <w:r>
              <w:rPr>
                <w:rFonts w:ascii="Arial" w:cs="Arial" w:eastAsia="Arial" w:hAnsi="Arial"/>
                <w:sz w:val="13"/>
                <w:szCs w:val="13"/>
                <w:b w:val="1"/>
                <w:bCs w:val="1"/>
                <w:color w:val="C8102E"/>
              </w:rPr>
              <w:t>Equity</w:t>
            </w:r>
          </w:p>
        </w:tc>
        <w:tc>
          <w:tcPr>
            <w:tcW w:w="1080" w:type="dxa"/>
            <w:vAlign w:val="bottom"/>
          </w:tcPr>
          <w:p>
            <w:pPr>
              <w:jc w:val="right"/>
              <w:spacing w:after="0" w:line="88" w:lineRule="exact"/>
              <w:rPr>
                <w:sz w:val="20"/>
                <w:szCs w:val="20"/>
                <w:color w:val="auto"/>
              </w:rPr>
            </w:pPr>
            <w:r>
              <w:rPr>
                <w:rFonts w:ascii="Arial" w:cs="Arial" w:eastAsia="Arial" w:hAnsi="Arial"/>
                <w:sz w:val="10"/>
                <w:szCs w:val="10"/>
                <w:b w:val="1"/>
                <w:bCs w:val="1"/>
                <w:color w:val="C8102E"/>
              </w:rPr>
              <w:t>Equity</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4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160" w:type="dxa"/>
            <w:vAlign w:val="bottom"/>
            <w:gridSpan w:val="2"/>
          </w:tcPr>
          <w:p>
            <w:pPr>
              <w:jc w:val="right"/>
              <w:ind w:right="80"/>
              <w:spacing w:after="0" w:line="122" w:lineRule="exact"/>
              <w:rPr>
                <w:sz w:val="20"/>
                <w:szCs w:val="20"/>
                <w:color w:val="auto"/>
              </w:rPr>
            </w:pPr>
            <w:r>
              <w:rPr>
                <w:rFonts w:ascii="Arial" w:cs="Arial" w:eastAsia="Arial" w:hAnsi="Arial"/>
                <w:sz w:val="13"/>
                <w:szCs w:val="13"/>
                <w:b w:val="1"/>
                <w:bCs w:val="1"/>
                <w:color w:val="C8102E"/>
              </w:rPr>
              <w:t>Incentive</w:t>
            </w:r>
          </w:p>
        </w:tc>
        <w:tc>
          <w:tcPr>
            <w:tcW w:w="0" w:type="dxa"/>
            <w:vAlign w:val="bottom"/>
          </w:tcPr>
          <w:p>
            <w:pPr>
              <w:spacing w:after="0"/>
              <w:rPr>
                <w:sz w:val="1"/>
                <w:szCs w:val="1"/>
                <w:color w:val="auto"/>
              </w:rPr>
            </w:pPr>
          </w:p>
        </w:tc>
      </w:tr>
      <w:tr>
        <w:trPr>
          <w:trHeight w:val="122"/>
        </w:trPr>
        <w:tc>
          <w:tcPr>
            <w:tcW w:w="14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320" w:type="dxa"/>
            <w:vAlign w:val="bottom"/>
          </w:tcPr>
          <w:p>
            <w:pPr>
              <w:jc w:val="right"/>
              <w:ind w:right="197"/>
              <w:spacing w:after="0" w:line="122" w:lineRule="exact"/>
              <w:rPr>
                <w:sz w:val="20"/>
                <w:szCs w:val="20"/>
                <w:color w:val="auto"/>
              </w:rPr>
            </w:pPr>
            <w:r>
              <w:rPr>
                <w:rFonts w:ascii="Arial" w:cs="Arial" w:eastAsia="Arial" w:hAnsi="Arial"/>
                <w:sz w:val="13"/>
                <w:szCs w:val="13"/>
                <w:b w:val="1"/>
                <w:bCs w:val="1"/>
                <w:color w:val="C8102E"/>
              </w:rPr>
              <w:t>Incentive</w:t>
            </w:r>
          </w:p>
        </w:tc>
        <w:tc>
          <w:tcPr>
            <w:tcW w:w="1160" w:type="dxa"/>
            <w:vAlign w:val="bottom"/>
            <w:gridSpan w:val="2"/>
          </w:tcPr>
          <w:p>
            <w:pPr>
              <w:jc w:val="right"/>
              <w:ind w:right="80"/>
              <w:spacing w:after="0" w:line="122" w:lineRule="exact"/>
              <w:rPr>
                <w:sz w:val="20"/>
                <w:szCs w:val="20"/>
                <w:color w:val="auto"/>
              </w:rPr>
            </w:pPr>
            <w:r>
              <w:rPr>
                <w:rFonts w:ascii="Arial" w:cs="Arial" w:eastAsia="Arial" w:hAnsi="Arial"/>
                <w:sz w:val="13"/>
                <w:szCs w:val="13"/>
                <w:b w:val="1"/>
                <w:bCs w:val="1"/>
                <w:color w:val="C8102E"/>
              </w:rPr>
              <w:t>Plan Awards:</w:t>
            </w: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320" w:type="dxa"/>
            <w:vAlign w:val="bottom"/>
          </w:tcPr>
          <w:p>
            <w:pPr>
              <w:jc w:val="right"/>
              <w:ind w:right="197"/>
              <w:spacing w:after="0" w:line="135" w:lineRule="exact"/>
              <w:rPr>
                <w:sz w:val="20"/>
                <w:szCs w:val="20"/>
                <w:color w:val="auto"/>
              </w:rPr>
            </w:pPr>
            <w:r>
              <w:rPr>
                <w:rFonts w:ascii="Arial" w:cs="Arial" w:eastAsia="Arial" w:hAnsi="Arial"/>
                <w:sz w:val="13"/>
                <w:szCs w:val="13"/>
                <w:b w:val="1"/>
                <w:bCs w:val="1"/>
                <w:color w:val="C8102E"/>
              </w:rPr>
              <w:t>Plan Awards:</w:t>
            </w:r>
          </w:p>
        </w:tc>
        <w:tc>
          <w:tcPr>
            <w:tcW w:w="1160" w:type="dxa"/>
            <w:vAlign w:val="bottom"/>
            <w:gridSpan w:val="2"/>
          </w:tcPr>
          <w:p>
            <w:pPr>
              <w:jc w:val="right"/>
              <w:ind w:right="80"/>
              <w:spacing w:after="0" w:line="135" w:lineRule="exact"/>
              <w:rPr>
                <w:sz w:val="20"/>
                <w:szCs w:val="20"/>
                <w:color w:val="auto"/>
              </w:rPr>
            </w:pPr>
            <w:r>
              <w:rPr>
                <w:rFonts w:ascii="Arial" w:cs="Arial" w:eastAsia="Arial" w:hAnsi="Arial"/>
                <w:sz w:val="13"/>
                <w:szCs w:val="13"/>
                <w:b w:val="1"/>
                <w:bCs w:val="1"/>
                <w:color w:val="C8102E"/>
              </w:rPr>
              <w:t>Market or</w:t>
            </w:r>
          </w:p>
        </w:tc>
        <w:tc>
          <w:tcPr>
            <w:tcW w:w="0" w:type="dxa"/>
            <w:vAlign w:val="bottom"/>
          </w:tcPr>
          <w:p>
            <w:pPr>
              <w:spacing w:after="0"/>
              <w:rPr>
                <w:sz w:val="1"/>
                <w:szCs w:val="1"/>
                <w:color w:val="auto"/>
              </w:rPr>
            </w:pPr>
          </w:p>
        </w:tc>
      </w:tr>
      <w:tr>
        <w:trPr>
          <w:trHeight w:val="122"/>
        </w:trPr>
        <w:tc>
          <w:tcPr>
            <w:tcW w:w="14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vMerge w:val="restart"/>
          </w:tcPr>
          <w:p>
            <w:pPr>
              <w:jc w:val="right"/>
              <w:ind w:right="197"/>
              <w:spacing w:after="0"/>
              <w:rPr>
                <w:sz w:val="20"/>
                <w:szCs w:val="20"/>
                <w:color w:val="auto"/>
              </w:rPr>
            </w:pPr>
            <w:r>
              <w:rPr>
                <w:rFonts w:ascii="Arial" w:cs="Arial" w:eastAsia="Arial" w:hAnsi="Arial"/>
                <w:sz w:val="13"/>
                <w:szCs w:val="13"/>
                <w:b w:val="1"/>
                <w:bCs w:val="1"/>
                <w:color w:val="C8102E"/>
              </w:rPr>
              <w:t>Number</w:t>
            </w:r>
          </w:p>
        </w:tc>
        <w:tc>
          <w:tcPr>
            <w:tcW w:w="1380" w:type="dxa"/>
            <w:vAlign w:val="bottom"/>
          </w:tcPr>
          <w:p>
            <w:pPr>
              <w:spacing w:after="0"/>
              <w:rPr>
                <w:sz w:val="10"/>
                <w:szCs w:val="10"/>
                <w:color w:val="auto"/>
              </w:rPr>
            </w:pPr>
          </w:p>
        </w:tc>
        <w:tc>
          <w:tcPr>
            <w:tcW w:w="1320" w:type="dxa"/>
            <w:vAlign w:val="bottom"/>
          </w:tcPr>
          <w:p>
            <w:pPr>
              <w:jc w:val="right"/>
              <w:ind w:right="197"/>
              <w:spacing w:after="0" w:line="122" w:lineRule="exact"/>
              <w:rPr>
                <w:sz w:val="20"/>
                <w:szCs w:val="20"/>
                <w:color w:val="auto"/>
              </w:rPr>
            </w:pPr>
            <w:r>
              <w:rPr>
                <w:rFonts w:ascii="Arial" w:cs="Arial" w:eastAsia="Arial" w:hAnsi="Arial"/>
                <w:sz w:val="13"/>
                <w:szCs w:val="13"/>
                <w:b w:val="1"/>
                <w:bCs w:val="1"/>
                <w:color w:val="C8102E"/>
              </w:rPr>
              <w:t>Number of</w:t>
            </w:r>
          </w:p>
        </w:tc>
        <w:tc>
          <w:tcPr>
            <w:tcW w:w="1160" w:type="dxa"/>
            <w:vAlign w:val="bottom"/>
            <w:gridSpan w:val="2"/>
          </w:tcPr>
          <w:p>
            <w:pPr>
              <w:jc w:val="right"/>
              <w:ind w:right="80"/>
              <w:spacing w:after="0" w:line="122" w:lineRule="exact"/>
              <w:rPr>
                <w:sz w:val="20"/>
                <w:szCs w:val="20"/>
                <w:color w:val="auto"/>
              </w:rPr>
            </w:pPr>
            <w:r>
              <w:rPr>
                <w:rFonts w:ascii="Arial" w:cs="Arial" w:eastAsia="Arial" w:hAnsi="Arial"/>
                <w:sz w:val="13"/>
                <w:szCs w:val="13"/>
                <w:b w:val="1"/>
                <w:bCs w:val="1"/>
                <w:color w:val="C8102E"/>
              </w:rPr>
              <w:t>Payout Value</w:t>
            </w: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1340" w:type="dxa"/>
            <w:vAlign w:val="bottom"/>
            <w:vMerge w:val="restart"/>
          </w:tcPr>
          <w:p>
            <w:pPr>
              <w:jc w:val="right"/>
              <w:ind w:right="177"/>
              <w:spacing w:after="0"/>
              <w:rPr>
                <w:sz w:val="20"/>
                <w:szCs w:val="20"/>
                <w:color w:val="auto"/>
              </w:rPr>
            </w:pPr>
            <w:r>
              <w:rPr>
                <w:rFonts w:ascii="Arial" w:cs="Arial" w:eastAsia="Arial" w:hAnsi="Arial"/>
                <w:sz w:val="13"/>
                <w:szCs w:val="13"/>
                <w:b w:val="1"/>
                <w:bCs w:val="1"/>
                <w:color w:val="C8102E"/>
              </w:rPr>
              <w:t>Number of</w:t>
            </w:r>
          </w:p>
        </w:tc>
        <w:tc>
          <w:tcPr>
            <w:tcW w:w="1380" w:type="dxa"/>
            <w:vAlign w:val="bottom"/>
            <w:vMerge w:val="restart"/>
          </w:tcPr>
          <w:p>
            <w:pPr>
              <w:jc w:val="right"/>
              <w:ind w:right="197"/>
              <w:spacing w:after="0"/>
              <w:rPr>
                <w:sz w:val="20"/>
                <w:szCs w:val="20"/>
                <w:color w:val="auto"/>
              </w:rPr>
            </w:pPr>
            <w:r>
              <w:rPr>
                <w:rFonts w:ascii="Arial" w:cs="Arial" w:eastAsia="Arial" w:hAnsi="Arial"/>
                <w:sz w:val="13"/>
                <w:szCs w:val="13"/>
                <w:b w:val="1"/>
                <w:bCs w:val="1"/>
                <w:color w:val="C8102E"/>
              </w:rPr>
              <w:t>Number of</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1380" w:type="dxa"/>
            <w:vAlign w:val="bottom"/>
          </w:tcPr>
          <w:p>
            <w:pPr>
              <w:spacing w:after="0"/>
              <w:rPr>
                <w:sz w:val="11"/>
                <w:szCs w:val="11"/>
                <w:color w:val="auto"/>
              </w:rPr>
            </w:pPr>
          </w:p>
        </w:tc>
        <w:tc>
          <w:tcPr>
            <w:tcW w:w="1320" w:type="dxa"/>
            <w:vAlign w:val="bottom"/>
          </w:tcPr>
          <w:p>
            <w:pPr>
              <w:jc w:val="right"/>
              <w:ind w:right="197"/>
              <w:spacing w:after="0" w:line="135" w:lineRule="exact"/>
              <w:rPr>
                <w:sz w:val="20"/>
                <w:szCs w:val="20"/>
                <w:color w:val="auto"/>
              </w:rPr>
            </w:pPr>
            <w:r>
              <w:rPr>
                <w:rFonts w:ascii="Arial" w:cs="Arial" w:eastAsia="Arial" w:hAnsi="Arial"/>
                <w:sz w:val="13"/>
                <w:szCs w:val="13"/>
                <w:b w:val="1"/>
                <w:bCs w:val="1"/>
                <w:color w:val="C8102E"/>
              </w:rPr>
              <w:t>Unearned</w:t>
            </w:r>
          </w:p>
        </w:tc>
        <w:tc>
          <w:tcPr>
            <w:tcW w:w="1160" w:type="dxa"/>
            <w:vAlign w:val="bottom"/>
            <w:gridSpan w:val="2"/>
          </w:tcPr>
          <w:p>
            <w:pPr>
              <w:jc w:val="right"/>
              <w:ind w:right="80"/>
              <w:spacing w:after="0" w:line="135" w:lineRule="exact"/>
              <w:rPr>
                <w:sz w:val="20"/>
                <w:szCs w:val="20"/>
                <w:color w:val="auto"/>
              </w:rPr>
            </w:pPr>
            <w:r>
              <w:rPr>
                <w:rFonts w:ascii="Arial" w:cs="Arial" w:eastAsia="Arial" w:hAnsi="Arial"/>
                <w:sz w:val="13"/>
                <w:szCs w:val="13"/>
                <w:b w:val="1"/>
                <w:bCs w:val="1"/>
                <w:color w:val="C8102E"/>
              </w:rPr>
              <w:t>of Unearned</w:t>
            </w:r>
          </w:p>
        </w:tc>
        <w:tc>
          <w:tcPr>
            <w:tcW w:w="0" w:type="dxa"/>
            <w:vAlign w:val="bottom"/>
          </w:tcPr>
          <w:p>
            <w:pPr>
              <w:spacing w:after="0"/>
              <w:rPr>
                <w:sz w:val="1"/>
                <w:szCs w:val="1"/>
                <w:color w:val="auto"/>
              </w:rPr>
            </w:pPr>
          </w:p>
        </w:tc>
      </w:tr>
      <w:tr>
        <w:trPr>
          <w:trHeight w:val="54"/>
        </w:trPr>
        <w:tc>
          <w:tcPr>
            <w:tcW w:w="1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vMerge w:val="restart"/>
          </w:tcPr>
          <w:p>
            <w:pPr>
              <w:jc w:val="right"/>
              <w:ind w:right="197"/>
              <w:spacing w:after="0" w:line="122" w:lineRule="exact"/>
              <w:rPr>
                <w:sz w:val="20"/>
                <w:szCs w:val="20"/>
                <w:color w:val="auto"/>
              </w:rPr>
            </w:pPr>
            <w:r>
              <w:rPr>
                <w:rFonts w:ascii="Arial" w:cs="Arial" w:eastAsia="Arial" w:hAnsi="Arial"/>
                <w:sz w:val="13"/>
                <w:szCs w:val="13"/>
                <w:b w:val="1"/>
                <w:bCs w:val="1"/>
                <w:color w:val="C8102E"/>
              </w:rPr>
              <w:t>of Shares</w:t>
            </w:r>
          </w:p>
        </w:tc>
        <w:tc>
          <w:tcPr>
            <w:tcW w:w="1380" w:type="dxa"/>
            <w:vAlign w:val="bottom"/>
            <w:vMerge w:val="restart"/>
          </w:tcPr>
          <w:p>
            <w:pPr>
              <w:jc w:val="right"/>
              <w:ind w:right="197"/>
              <w:spacing w:after="0" w:line="122" w:lineRule="exact"/>
              <w:rPr>
                <w:sz w:val="20"/>
                <w:szCs w:val="20"/>
                <w:color w:val="auto"/>
              </w:rPr>
            </w:pPr>
            <w:r>
              <w:rPr>
                <w:rFonts w:ascii="Arial" w:cs="Arial" w:eastAsia="Arial" w:hAnsi="Arial"/>
                <w:sz w:val="13"/>
                <w:szCs w:val="13"/>
                <w:b w:val="1"/>
                <w:bCs w:val="1"/>
                <w:color w:val="C8102E"/>
              </w:rPr>
              <w:t>Market Value</w:t>
            </w:r>
          </w:p>
        </w:tc>
        <w:tc>
          <w:tcPr>
            <w:tcW w:w="1320" w:type="dxa"/>
            <w:vAlign w:val="bottom"/>
            <w:vMerge w:val="restart"/>
          </w:tcPr>
          <w:p>
            <w:pPr>
              <w:jc w:val="right"/>
              <w:ind w:right="197"/>
              <w:spacing w:after="0" w:line="122" w:lineRule="exact"/>
              <w:rPr>
                <w:sz w:val="20"/>
                <w:szCs w:val="20"/>
                <w:color w:val="auto"/>
              </w:rPr>
            </w:pPr>
            <w:r>
              <w:rPr>
                <w:rFonts w:ascii="Arial" w:cs="Arial" w:eastAsia="Arial" w:hAnsi="Arial"/>
                <w:sz w:val="13"/>
                <w:szCs w:val="13"/>
                <w:b w:val="1"/>
                <w:bCs w:val="1"/>
                <w:color w:val="C8102E"/>
              </w:rPr>
              <w:t>Shares, Units</w:t>
            </w:r>
          </w:p>
        </w:tc>
        <w:tc>
          <w:tcPr>
            <w:tcW w:w="1160" w:type="dxa"/>
            <w:vAlign w:val="bottom"/>
            <w:gridSpan w:val="2"/>
            <w:vMerge w:val="restart"/>
          </w:tcPr>
          <w:p>
            <w:pPr>
              <w:jc w:val="right"/>
              <w:ind w:right="80"/>
              <w:spacing w:after="0" w:line="122" w:lineRule="exact"/>
              <w:rPr>
                <w:sz w:val="20"/>
                <w:szCs w:val="20"/>
                <w:color w:val="auto"/>
              </w:rPr>
            </w:pPr>
            <w:r>
              <w:rPr>
                <w:rFonts w:ascii="Arial" w:cs="Arial" w:eastAsia="Arial" w:hAnsi="Arial"/>
                <w:sz w:val="13"/>
                <w:szCs w:val="13"/>
                <w:b w:val="1"/>
                <w:bCs w:val="1"/>
                <w:color w:val="C8102E"/>
              </w:rPr>
              <w:t>Shares, Units</w:t>
            </w:r>
          </w:p>
        </w:tc>
        <w:tc>
          <w:tcPr>
            <w:tcW w:w="0" w:type="dxa"/>
            <w:vAlign w:val="bottom"/>
          </w:tcPr>
          <w:p>
            <w:pPr>
              <w:spacing w:after="0"/>
              <w:rPr>
                <w:sz w:val="1"/>
                <w:szCs w:val="1"/>
                <w:color w:val="auto"/>
              </w:rPr>
            </w:pPr>
          </w:p>
        </w:tc>
      </w:tr>
      <w:tr>
        <w:trPr>
          <w:trHeight w:val="68"/>
        </w:trPr>
        <w:tc>
          <w:tcPr>
            <w:tcW w:w="1480" w:type="dxa"/>
            <w:vAlign w:val="bottom"/>
          </w:tcPr>
          <w:p>
            <w:pPr>
              <w:spacing w:after="0"/>
              <w:rPr>
                <w:sz w:val="5"/>
                <w:szCs w:val="5"/>
                <w:color w:val="auto"/>
              </w:rPr>
            </w:pPr>
          </w:p>
        </w:tc>
        <w:tc>
          <w:tcPr>
            <w:tcW w:w="1340" w:type="dxa"/>
            <w:vAlign w:val="bottom"/>
            <w:vMerge w:val="restart"/>
          </w:tcPr>
          <w:p>
            <w:pPr>
              <w:jc w:val="right"/>
              <w:ind w:right="177"/>
              <w:spacing w:after="0" w:line="122" w:lineRule="exact"/>
              <w:rPr>
                <w:sz w:val="20"/>
                <w:szCs w:val="20"/>
                <w:color w:val="auto"/>
              </w:rPr>
            </w:pPr>
            <w:r>
              <w:rPr>
                <w:rFonts w:ascii="Arial" w:cs="Arial" w:eastAsia="Arial" w:hAnsi="Arial"/>
                <w:sz w:val="13"/>
                <w:szCs w:val="13"/>
                <w:b w:val="1"/>
                <w:bCs w:val="1"/>
                <w:color w:val="C8102E"/>
              </w:rPr>
              <w:t>Securities</w:t>
            </w:r>
          </w:p>
        </w:tc>
        <w:tc>
          <w:tcPr>
            <w:tcW w:w="1380" w:type="dxa"/>
            <w:vAlign w:val="bottom"/>
            <w:vMerge w:val="restart"/>
          </w:tcPr>
          <w:p>
            <w:pPr>
              <w:jc w:val="right"/>
              <w:ind w:right="197"/>
              <w:spacing w:after="0" w:line="122" w:lineRule="exact"/>
              <w:rPr>
                <w:sz w:val="20"/>
                <w:szCs w:val="20"/>
                <w:color w:val="auto"/>
              </w:rPr>
            </w:pPr>
            <w:r>
              <w:rPr>
                <w:rFonts w:ascii="Arial" w:cs="Arial" w:eastAsia="Arial" w:hAnsi="Arial"/>
                <w:sz w:val="13"/>
                <w:szCs w:val="13"/>
                <w:b w:val="1"/>
                <w:bCs w:val="1"/>
                <w:color w:val="C8102E"/>
              </w:rPr>
              <w:t>Securities</w:t>
            </w: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1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vMerge w:val="restart"/>
          </w:tcPr>
          <w:p>
            <w:pPr>
              <w:jc w:val="right"/>
              <w:ind w:right="197"/>
              <w:spacing w:after="0" w:line="122" w:lineRule="exact"/>
              <w:rPr>
                <w:sz w:val="20"/>
                <w:szCs w:val="20"/>
                <w:color w:val="auto"/>
              </w:rPr>
            </w:pPr>
            <w:r>
              <w:rPr>
                <w:rFonts w:ascii="Arial" w:cs="Arial" w:eastAsia="Arial" w:hAnsi="Arial"/>
                <w:sz w:val="13"/>
                <w:szCs w:val="13"/>
                <w:b w:val="1"/>
                <w:bCs w:val="1"/>
                <w:color w:val="C8102E"/>
              </w:rPr>
              <w:t>or Units of</w:t>
            </w:r>
          </w:p>
        </w:tc>
        <w:tc>
          <w:tcPr>
            <w:tcW w:w="1380" w:type="dxa"/>
            <w:vAlign w:val="bottom"/>
            <w:vMerge w:val="restart"/>
          </w:tcPr>
          <w:p>
            <w:pPr>
              <w:jc w:val="right"/>
              <w:ind w:right="197"/>
              <w:spacing w:after="0" w:line="122" w:lineRule="exact"/>
              <w:rPr>
                <w:sz w:val="20"/>
                <w:szCs w:val="20"/>
                <w:color w:val="auto"/>
              </w:rPr>
            </w:pPr>
            <w:r>
              <w:rPr>
                <w:rFonts w:ascii="Arial" w:cs="Arial" w:eastAsia="Arial" w:hAnsi="Arial"/>
                <w:sz w:val="13"/>
                <w:szCs w:val="13"/>
                <w:b w:val="1"/>
                <w:bCs w:val="1"/>
                <w:color w:val="C8102E"/>
              </w:rPr>
              <w:t>of Shares or</w:t>
            </w:r>
          </w:p>
        </w:tc>
        <w:tc>
          <w:tcPr>
            <w:tcW w:w="1320" w:type="dxa"/>
            <w:vAlign w:val="bottom"/>
            <w:vMerge w:val="restart"/>
          </w:tcPr>
          <w:p>
            <w:pPr>
              <w:jc w:val="right"/>
              <w:ind w:right="197"/>
              <w:spacing w:after="0" w:line="122" w:lineRule="exact"/>
              <w:rPr>
                <w:sz w:val="20"/>
                <w:szCs w:val="20"/>
                <w:color w:val="auto"/>
              </w:rPr>
            </w:pPr>
            <w:r>
              <w:rPr>
                <w:rFonts w:ascii="Arial" w:cs="Arial" w:eastAsia="Arial" w:hAnsi="Arial"/>
                <w:sz w:val="13"/>
                <w:szCs w:val="13"/>
                <w:b w:val="1"/>
                <w:bCs w:val="1"/>
                <w:color w:val="C8102E"/>
              </w:rPr>
              <w:t>or Other</w:t>
            </w:r>
          </w:p>
        </w:tc>
        <w:tc>
          <w:tcPr>
            <w:tcW w:w="1160" w:type="dxa"/>
            <w:vAlign w:val="bottom"/>
            <w:gridSpan w:val="2"/>
            <w:vMerge w:val="restart"/>
          </w:tcPr>
          <w:p>
            <w:pPr>
              <w:jc w:val="right"/>
              <w:ind w:right="80"/>
              <w:spacing w:after="0" w:line="122" w:lineRule="exact"/>
              <w:rPr>
                <w:sz w:val="20"/>
                <w:szCs w:val="20"/>
                <w:color w:val="auto"/>
              </w:rPr>
            </w:pPr>
            <w:r>
              <w:rPr>
                <w:rFonts w:ascii="Arial" w:cs="Arial" w:eastAsia="Arial" w:hAnsi="Arial"/>
                <w:sz w:val="13"/>
                <w:szCs w:val="13"/>
                <w:b w:val="1"/>
                <w:bCs w:val="1"/>
                <w:color w:val="C8102E"/>
              </w:rPr>
              <w:t>or Other</w:t>
            </w:r>
          </w:p>
        </w:tc>
        <w:tc>
          <w:tcPr>
            <w:tcW w:w="0" w:type="dxa"/>
            <w:vAlign w:val="bottom"/>
          </w:tcPr>
          <w:p>
            <w:pPr>
              <w:spacing w:after="0"/>
              <w:rPr>
                <w:sz w:val="1"/>
                <w:szCs w:val="1"/>
                <w:color w:val="auto"/>
              </w:rPr>
            </w:pPr>
          </w:p>
        </w:tc>
      </w:tr>
      <w:tr>
        <w:trPr>
          <w:trHeight w:val="68"/>
        </w:trPr>
        <w:tc>
          <w:tcPr>
            <w:tcW w:w="1480" w:type="dxa"/>
            <w:vAlign w:val="bottom"/>
          </w:tcPr>
          <w:p>
            <w:pPr>
              <w:spacing w:after="0"/>
              <w:rPr>
                <w:sz w:val="5"/>
                <w:szCs w:val="5"/>
                <w:color w:val="auto"/>
              </w:rPr>
            </w:pPr>
          </w:p>
        </w:tc>
        <w:tc>
          <w:tcPr>
            <w:tcW w:w="1340" w:type="dxa"/>
            <w:vAlign w:val="bottom"/>
            <w:vMerge w:val="restart"/>
          </w:tcPr>
          <w:p>
            <w:pPr>
              <w:jc w:val="right"/>
              <w:ind w:right="177"/>
              <w:spacing w:after="0" w:line="131" w:lineRule="exact"/>
              <w:rPr>
                <w:sz w:val="20"/>
                <w:szCs w:val="20"/>
                <w:color w:val="auto"/>
              </w:rPr>
            </w:pPr>
            <w:r>
              <w:rPr>
                <w:rFonts w:ascii="Arial" w:cs="Arial" w:eastAsia="Arial" w:hAnsi="Arial"/>
                <w:sz w:val="13"/>
                <w:szCs w:val="13"/>
                <w:b w:val="1"/>
                <w:bCs w:val="1"/>
                <w:color w:val="C8102E"/>
              </w:rPr>
              <w:t>Underlying</w:t>
            </w:r>
          </w:p>
        </w:tc>
        <w:tc>
          <w:tcPr>
            <w:tcW w:w="1380" w:type="dxa"/>
            <w:vAlign w:val="bottom"/>
            <w:vMerge w:val="restart"/>
          </w:tcPr>
          <w:p>
            <w:pPr>
              <w:jc w:val="right"/>
              <w:ind w:right="197"/>
              <w:spacing w:after="0" w:line="131" w:lineRule="exact"/>
              <w:rPr>
                <w:sz w:val="20"/>
                <w:szCs w:val="20"/>
                <w:color w:val="auto"/>
              </w:rPr>
            </w:pPr>
            <w:r>
              <w:rPr>
                <w:rFonts w:ascii="Arial" w:cs="Arial" w:eastAsia="Arial" w:hAnsi="Arial"/>
                <w:sz w:val="13"/>
                <w:szCs w:val="13"/>
                <w:b w:val="1"/>
                <w:bCs w:val="1"/>
                <w:color w:val="C8102E"/>
              </w:rPr>
              <w:t>Underlying</w:t>
            </w: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148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vMerge w:val="restart"/>
          </w:tcPr>
          <w:p>
            <w:pPr>
              <w:jc w:val="right"/>
              <w:ind w:right="197"/>
              <w:spacing w:after="0" w:line="135" w:lineRule="exact"/>
              <w:rPr>
                <w:sz w:val="20"/>
                <w:szCs w:val="20"/>
                <w:color w:val="auto"/>
              </w:rPr>
            </w:pPr>
            <w:r>
              <w:rPr>
                <w:rFonts w:ascii="Arial" w:cs="Arial" w:eastAsia="Arial" w:hAnsi="Arial"/>
                <w:sz w:val="13"/>
                <w:szCs w:val="13"/>
                <w:b w:val="1"/>
                <w:bCs w:val="1"/>
                <w:color w:val="C8102E"/>
              </w:rPr>
              <w:t>Stock That</w:t>
            </w:r>
          </w:p>
        </w:tc>
        <w:tc>
          <w:tcPr>
            <w:tcW w:w="1380" w:type="dxa"/>
            <w:vAlign w:val="bottom"/>
            <w:vMerge w:val="restart"/>
          </w:tcPr>
          <w:p>
            <w:pPr>
              <w:jc w:val="right"/>
              <w:ind w:right="197"/>
              <w:spacing w:after="0" w:line="135" w:lineRule="exact"/>
              <w:rPr>
                <w:sz w:val="20"/>
                <w:szCs w:val="20"/>
                <w:color w:val="auto"/>
              </w:rPr>
            </w:pPr>
            <w:r>
              <w:rPr>
                <w:rFonts w:ascii="Arial" w:cs="Arial" w:eastAsia="Arial" w:hAnsi="Arial"/>
                <w:sz w:val="13"/>
                <w:szCs w:val="13"/>
                <w:b w:val="1"/>
                <w:bCs w:val="1"/>
                <w:color w:val="C8102E"/>
              </w:rPr>
              <w:t>Units of Stock</w:t>
            </w:r>
          </w:p>
        </w:tc>
        <w:tc>
          <w:tcPr>
            <w:tcW w:w="1320" w:type="dxa"/>
            <w:vAlign w:val="bottom"/>
            <w:vMerge w:val="restart"/>
          </w:tcPr>
          <w:p>
            <w:pPr>
              <w:jc w:val="right"/>
              <w:ind w:right="197"/>
              <w:spacing w:after="0" w:line="135" w:lineRule="exact"/>
              <w:rPr>
                <w:sz w:val="20"/>
                <w:szCs w:val="20"/>
                <w:color w:val="auto"/>
              </w:rPr>
            </w:pPr>
            <w:r>
              <w:rPr>
                <w:rFonts w:ascii="Arial" w:cs="Arial" w:eastAsia="Arial" w:hAnsi="Arial"/>
                <w:sz w:val="13"/>
                <w:szCs w:val="13"/>
                <w:b w:val="1"/>
                <w:bCs w:val="1"/>
                <w:color w:val="C8102E"/>
              </w:rPr>
              <w:t>Rights That</w:t>
            </w:r>
          </w:p>
        </w:tc>
        <w:tc>
          <w:tcPr>
            <w:tcW w:w="1160" w:type="dxa"/>
            <w:vAlign w:val="bottom"/>
            <w:gridSpan w:val="2"/>
            <w:vMerge w:val="restart"/>
          </w:tcPr>
          <w:p>
            <w:pPr>
              <w:jc w:val="right"/>
              <w:ind w:right="80"/>
              <w:spacing w:after="0" w:line="135" w:lineRule="exact"/>
              <w:rPr>
                <w:sz w:val="20"/>
                <w:szCs w:val="20"/>
                <w:color w:val="auto"/>
              </w:rPr>
            </w:pPr>
            <w:r>
              <w:rPr>
                <w:rFonts w:ascii="Arial" w:cs="Arial" w:eastAsia="Arial" w:hAnsi="Arial"/>
                <w:sz w:val="13"/>
                <w:szCs w:val="13"/>
                <w:b w:val="1"/>
                <w:bCs w:val="1"/>
                <w:color w:val="C8102E"/>
              </w:rPr>
              <w:t>Rights That</w:t>
            </w:r>
          </w:p>
        </w:tc>
        <w:tc>
          <w:tcPr>
            <w:tcW w:w="0" w:type="dxa"/>
            <w:vAlign w:val="bottom"/>
          </w:tcPr>
          <w:p>
            <w:pPr>
              <w:spacing w:after="0"/>
              <w:rPr>
                <w:sz w:val="1"/>
                <w:szCs w:val="1"/>
                <w:color w:val="auto"/>
              </w:rPr>
            </w:pPr>
          </w:p>
        </w:tc>
      </w:tr>
      <w:tr>
        <w:trPr>
          <w:trHeight w:val="72"/>
        </w:trPr>
        <w:tc>
          <w:tcPr>
            <w:tcW w:w="1480" w:type="dxa"/>
            <w:vAlign w:val="bottom"/>
          </w:tcPr>
          <w:p>
            <w:pPr>
              <w:spacing w:after="0"/>
              <w:rPr>
                <w:sz w:val="6"/>
                <w:szCs w:val="6"/>
                <w:color w:val="auto"/>
              </w:rPr>
            </w:pPr>
          </w:p>
        </w:tc>
        <w:tc>
          <w:tcPr>
            <w:tcW w:w="1340" w:type="dxa"/>
            <w:vAlign w:val="bottom"/>
            <w:vMerge w:val="restart"/>
          </w:tcPr>
          <w:p>
            <w:pPr>
              <w:jc w:val="right"/>
              <w:ind w:right="177"/>
              <w:spacing w:after="0" w:line="126" w:lineRule="exact"/>
              <w:rPr>
                <w:sz w:val="20"/>
                <w:szCs w:val="20"/>
                <w:color w:val="auto"/>
              </w:rPr>
            </w:pPr>
            <w:r>
              <w:rPr>
                <w:rFonts w:ascii="Arial" w:cs="Arial" w:eastAsia="Arial" w:hAnsi="Arial"/>
                <w:sz w:val="13"/>
                <w:szCs w:val="13"/>
                <w:b w:val="1"/>
                <w:bCs w:val="1"/>
                <w:color w:val="C8102E"/>
              </w:rPr>
              <w:t>Unexercised</w:t>
            </w:r>
          </w:p>
        </w:tc>
        <w:tc>
          <w:tcPr>
            <w:tcW w:w="1380" w:type="dxa"/>
            <w:vAlign w:val="bottom"/>
            <w:vMerge w:val="restart"/>
          </w:tcPr>
          <w:p>
            <w:pPr>
              <w:jc w:val="right"/>
              <w:ind w:right="197"/>
              <w:spacing w:after="0" w:line="126" w:lineRule="exact"/>
              <w:rPr>
                <w:sz w:val="20"/>
                <w:szCs w:val="20"/>
                <w:color w:val="auto"/>
              </w:rPr>
            </w:pPr>
            <w:r>
              <w:rPr>
                <w:rFonts w:ascii="Arial" w:cs="Arial" w:eastAsia="Arial" w:hAnsi="Arial"/>
                <w:sz w:val="13"/>
                <w:szCs w:val="13"/>
                <w:b w:val="1"/>
                <w:bCs w:val="1"/>
                <w:color w:val="C8102E"/>
              </w:rPr>
              <w:t>Unexercised</w:t>
            </w:r>
          </w:p>
        </w:tc>
        <w:tc>
          <w:tcPr>
            <w:tcW w:w="800" w:type="dxa"/>
            <w:vAlign w:val="bottom"/>
            <w:vMerge w:val="restart"/>
          </w:tcPr>
          <w:p>
            <w:pPr>
              <w:jc w:val="right"/>
              <w:ind w:right="137"/>
              <w:spacing w:after="0" w:line="126" w:lineRule="exact"/>
              <w:rPr>
                <w:sz w:val="20"/>
                <w:szCs w:val="20"/>
                <w:color w:val="auto"/>
              </w:rPr>
            </w:pPr>
            <w:r>
              <w:rPr>
                <w:rFonts w:ascii="Arial" w:cs="Arial" w:eastAsia="Arial" w:hAnsi="Arial"/>
                <w:sz w:val="13"/>
                <w:szCs w:val="13"/>
                <w:b w:val="1"/>
                <w:bCs w:val="1"/>
                <w:color w:val="C8102E"/>
              </w:rPr>
              <w:t>Option</w:t>
            </w: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1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940" w:type="dxa"/>
            <w:vAlign w:val="bottom"/>
            <w:gridSpan w:val="2"/>
            <w:vMerge w:val="restart"/>
          </w:tcPr>
          <w:p>
            <w:pPr>
              <w:jc w:val="right"/>
              <w:ind w:right="120"/>
              <w:spacing w:after="0" w:line="122" w:lineRule="exact"/>
              <w:rPr>
                <w:sz w:val="20"/>
                <w:szCs w:val="20"/>
                <w:color w:val="auto"/>
              </w:rPr>
            </w:pPr>
            <w:r>
              <w:rPr>
                <w:rFonts w:ascii="Arial" w:cs="Arial" w:eastAsia="Arial" w:hAnsi="Arial"/>
                <w:sz w:val="13"/>
                <w:szCs w:val="13"/>
                <w:b w:val="1"/>
                <w:bCs w:val="1"/>
                <w:color w:val="C8102E"/>
              </w:rPr>
              <w:t>Option</w:t>
            </w:r>
          </w:p>
        </w:tc>
        <w:tc>
          <w:tcPr>
            <w:tcW w:w="1220" w:type="dxa"/>
            <w:vAlign w:val="bottom"/>
            <w:vMerge w:val="restart"/>
          </w:tcPr>
          <w:p>
            <w:pPr>
              <w:jc w:val="right"/>
              <w:ind w:right="197"/>
              <w:spacing w:after="0" w:line="122" w:lineRule="exact"/>
              <w:rPr>
                <w:sz w:val="20"/>
                <w:szCs w:val="20"/>
                <w:color w:val="auto"/>
              </w:rPr>
            </w:pPr>
            <w:r>
              <w:rPr>
                <w:rFonts w:ascii="Arial" w:cs="Arial" w:eastAsia="Arial" w:hAnsi="Arial"/>
                <w:sz w:val="13"/>
                <w:szCs w:val="13"/>
                <w:b w:val="1"/>
                <w:bCs w:val="1"/>
                <w:color w:val="C8102E"/>
              </w:rPr>
              <w:t>Have Not</w:t>
            </w:r>
          </w:p>
        </w:tc>
        <w:tc>
          <w:tcPr>
            <w:tcW w:w="1380" w:type="dxa"/>
            <w:vAlign w:val="bottom"/>
            <w:vMerge w:val="restart"/>
          </w:tcPr>
          <w:p>
            <w:pPr>
              <w:jc w:val="right"/>
              <w:ind w:right="197"/>
              <w:spacing w:after="0" w:line="122" w:lineRule="exact"/>
              <w:rPr>
                <w:sz w:val="20"/>
                <w:szCs w:val="20"/>
                <w:color w:val="auto"/>
              </w:rPr>
            </w:pPr>
            <w:r>
              <w:rPr>
                <w:rFonts w:ascii="Arial" w:cs="Arial" w:eastAsia="Arial" w:hAnsi="Arial"/>
                <w:sz w:val="13"/>
                <w:szCs w:val="13"/>
                <w:b w:val="1"/>
                <w:bCs w:val="1"/>
                <w:color w:val="C8102E"/>
              </w:rPr>
              <w:t>That Have Not</w:t>
            </w:r>
          </w:p>
        </w:tc>
        <w:tc>
          <w:tcPr>
            <w:tcW w:w="1320" w:type="dxa"/>
            <w:vAlign w:val="bottom"/>
            <w:vMerge w:val="restart"/>
          </w:tcPr>
          <w:p>
            <w:pPr>
              <w:jc w:val="right"/>
              <w:ind w:right="197"/>
              <w:spacing w:after="0" w:line="122" w:lineRule="exact"/>
              <w:rPr>
                <w:sz w:val="20"/>
                <w:szCs w:val="20"/>
                <w:color w:val="auto"/>
              </w:rPr>
            </w:pPr>
            <w:r>
              <w:rPr>
                <w:rFonts w:ascii="Arial" w:cs="Arial" w:eastAsia="Arial" w:hAnsi="Arial"/>
                <w:sz w:val="13"/>
                <w:szCs w:val="13"/>
                <w:b w:val="1"/>
                <w:bCs w:val="1"/>
                <w:color w:val="C8102E"/>
              </w:rPr>
              <w:t>Have Not</w:t>
            </w:r>
          </w:p>
        </w:tc>
        <w:tc>
          <w:tcPr>
            <w:tcW w:w="1160" w:type="dxa"/>
            <w:vAlign w:val="bottom"/>
            <w:gridSpan w:val="2"/>
            <w:vMerge w:val="restart"/>
          </w:tcPr>
          <w:p>
            <w:pPr>
              <w:jc w:val="right"/>
              <w:ind w:right="80"/>
              <w:spacing w:after="0" w:line="122" w:lineRule="exact"/>
              <w:rPr>
                <w:sz w:val="20"/>
                <w:szCs w:val="20"/>
                <w:color w:val="auto"/>
              </w:rPr>
            </w:pPr>
            <w:r>
              <w:rPr>
                <w:rFonts w:ascii="Arial" w:cs="Arial" w:eastAsia="Arial" w:hAnsi="Arial"/>
                <w:sz w:val="13"/>
                <w:szCs w:val="13"/>
                <w:b w:val="1"/>
                <w:bCs w:val="1"/>
                <w:color w:val="C8102E"/>
              </w:rPr>
              <w:t>Have Not</w:t>
            </w:r>
          </w:p>
        </w:tc>
        <w:tc>
          <w:tcPr>
            <w:tcW w:w="0" w:type="dxa"/>
            <w:vAlign w:val="bottom"/>
          </w:tcPr>
          <w:p>
            <w:pPr>
              <w:spacing w:after="0"/>
              <w:rPr>
                <w:sz w:val="1"/>
                <w:szCs w:val="1"/>
                <w:color w:val="auto"/>
              </w:rPr>
            </w:pPr>
          </w:p>
        </w:tc>
      </w:tr>
      <w:tr>
        <w:trPr>
          <w:trHeight w:val="68"/>
        </w:trPr>
        <w:tc>
          <w:tcPr>
            <w:tcW w:w="1480" w:type="dxa"/>
            <w:vAlign w:val="bottom"/>
          </w:tcPr>
          <w:p>
            <w:pPr>
              <w:spacing w:after="0"/>
              <w:rPr>
                <w:sz w:val="5"/>
                <w:szCs w:val="5"/>
                <w:color w:val="auto"/>
              </w:rPr>
            </w:pPr>
          </w:p>
        </w:tc>
        <w:tc>
          <w:tcPr>
            <w:tcW w:w="1340" w:type="dxa"/>
            <w:vAlign w:val="bottom"/>
            <w:vMerge w:val="restart"/>
          </w:tcPr>
          <w:p>
            <w:pPr>
              <w:jc w:val="right"/>
              <w:ind w:right="177"/>
              <w:spacing w:after="0" w:line="122" w:lineRule="exact"/>
              <w:rPr>
                <w:sz w:val="20"/>
                <w:szCs w:val="20"/>
                <w:color w:val="auto"/>
              </w:rPr>
            </w:pPr>
            <w:r>
              <w:rPr>
                <w:rFonts w:ascii="Arial" w:cs="Arial" w:eastAsia="Arial" w:hAnsi="Arial"/>
                <w:sz w:val="13"/>
                <w:szCs w:val="13"/>
                <w:b w:val="1"/>
                <w:bCs w:val="1"/>
                <w:color w:val="C8102E"/>
              </w:rPr>
              <w:t>Options</w:t>
            </w:r>
          </w:p>
        </w:tc>
        <w:tc>
          <w:tcPr>
            <w:tcW w:w="1380" w:type="dxa"/>
            <w:vAlign w:val="bottom"/>
            <w:vMerge w:val="restart"/>
          </w:tcPr>
          <w:p>
            <w:pPr>
              <w:jc w:val="right"/>
              <w:ind w:right="197"/>
              <w:spacing w:after="0" w:line="122" w:lineRule="exact"/>
              <w:rPr>
                <w:sz w:val="20"/>
                <w:szCs w:val="20"/>
                <w:color w:val="auto"/>
              </w:rPr>
            </w:pPr>
            <w:r>
              <w:rPr>
                <w:rFonts w:ascii="Arial" w:cs="Arial" w:eastAsia="Arial" w:hAnsi="Arial"/>
                <w:sz w:val="13"/>
                <w:szCs w:val="13"/>
                <w:b w:val="1"/>
                <w:bCs w:val="1"/>
                <w:color w:val="C8102E"/>
              </w:rPr>
              <w:t>Options</w:t>
            </w:r>
          </w:p>
        </w:tc>
        <w:tc>
          <w:tcPr>
            <w:tcW w:w="800" w:type="dxa"/>
            <w:vAlign w:val="bottom"/>
            <w:vMerge w:val="restart"/>
          </w:tcPr>
          <w:p>
            <w:pPr>
              <w:jc w:val="right"/>
              <w:ind w:right="137"/>
              <w:spacing w:after="0" w:line="122" w:lineRule="exact"/>
              <w:rPr>
                <w:sz w:val="20"/>
                <w:szCs w:val="20"/>
                <w:color w:val="auto"/>
              </w:rPr>
            </w:pPr>
            <w:r>
              <w:rPr>
                <w:rFonts w:ascii="Arial" w:cs="Arial" w:eastAsia="Arial" w:hAnsi="Arial"/>
                <w:sz w:val="13"/>
                <w:szCs w:val="13"/>
                <w:b w:val="1"/>
                <w:bCs w:val="1"/>
                <w:color w:val="C8102E"/>
              </w:rPr>
              <w:t>Exercise</w:t>
            </w:r>
          </w:p>
        </w:tc>
        <w:tc>
          <w:tcPr>
            <w:tcW w:w="940" w:type="dxa"/>
            <w:vAlign w:val="bottom"/>
            <w:gridSpan w:val="2"/>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1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940" w:type="dxa"/>
            <w:vAlign w:val="bottom"/>
            <w:gridSpan w:val="2"/>
            <w:vMerge w:val="restart"/>
          </w:tcPr>
          <w:p>
            <w:pPr>
              <w:jc w:val="right"/>
              <w:ind w:right="120"/>
              <w:spacing w:after="0" w:line="138" w:lineRule="exact"/>
              <w:rPr>
                <w:sz w:val="20"/>
                <w:szCs w:val="20"/>
                <w:color w:val="auto"/>
              </w:rPr>
            </w:pPr>
            <w:r>
              <w:rPr>
                <w:rFonts w:ascii="Arial" w:cs="Arial" w:eastAsia="Arial" w:hAnsi="Arial"/>
                <w:sz w:val="13"/>
                <w:szCs w:val="13"/>
                <w:b w:val="1"/>
                <w:bCs w:val="1"/>
                <w:color w:val="C8102E"/>
              </w:rPr>
              <w:t>Expiration</w:t>
            </w:r>
          </w:p>
        </w:tc>
        <w:tc>
          <w:tcPr>
            <w:tcW w:w="1220" w:type="dxa"/>
            <w:vAlign w:val="bottom"/>
            <w:vMerge w:val="restart"/>
          </w:tcPr>
          <w:p>
            <w:pPr>
              <w:jc w:val="right"/>
              <w:ind w:right="197"/>
              <w:spacing w:after="0" w:line="138" w:lineRule="exact"/>
              <w:rPr>
                <w:sz w:val="20"/>
                <w:szCs w:val="20"/>
                <w:color w:val="auto"/>
              </w:rPr>
            </w:pPr>
            <w:r>
              <w:rPr>
                <w:rFonts w:ascii="Arial" w:cs="Arial" w:eastAsia="Arial" w:hAnsi="Arial"/>
                <w:sz w:val="13"/>
                <w:szCs w:val="13"/>
                <w:b w:val="1"/>
                <w:bCs w:val="1"/>
                <w:color w:val="C8102E"/>
              </w:rPr>
              <w:t>Vested</w:t>
            </w:r>
          </w:p>
        </w:tc>
        <w:tc>
          <w:tcPr>
            <w:tcW w:w="1380" w:type="dxa"/>
            <w:vAlign w:val="bottom"/>
            <w:vMerge w:val="restart"/>
          </w:tcPr>
          <w:p>
            <w:pPr>
              <w:jc w:val="right"/>
              <w:ind w:right="197"/>
              <w:spacing w:after="0" w:line="138" w:lineRule="exact"/>
              <w:rPr>
                <w:sz w:val="20"/>
                <w:szCs w:val="20"/>
                <w:color w:val="auto"/>
              </w:rPr>
            </w:pPr>
            <w:r>
              <w:rPr>
                <w:rFonts w:ascii="Arial" w:cs="Arial" w:eastAsia="Arial" w:hAnsi="Arial"/>
                <w:sz w:val="13"/>
                <w:szCs w:val="13"/>
                <w:b w:val="1"/>
                <w:bCs w:val="1"/>
                <w:color w:val="C8102E"/>
              </w:rPr>
              <w:t>Vested</w:t>
            </w:r>
          </w:p>
        </w:tc>
        <w:tc>
          <w:tcPr>
            <w:tcW w:w="1320" w:type="dxa"/>
            <w:vAlign w:val="bottom"/>
            <w:vMerge w:val="restart"/>
          </w:tcPr>
          <w:p>
            <w:pPr>
              <w:jc w:val="right"/>
              <w:ind w:right="197"/>
              <w:spacing w:after="0" w:line="138" w:lineRule="exact"/>
              <w:rPr>
                <w:sz w:val="20"/>
                <w:szCs w:val="20"/>
                <w:color w:val="auto"/>
              </w:rPr>
            </w:pPr>
            <w:r>
              <w:rPr>
                <w:rFonts w:ascii="Arial" w:cs="Arial" w:eastAsia="Arial" w:hAnsi="Arial"/>
                <w:sz w:val="13"/>
                <w:szCs w:val="13"/>
                <w:b w:val="1"/>
                <w:bCs w:val="1"/>
                <w:color w:val="C8102E"/>
              </w:rPr>
              <w:t>Vested</w:t>
            </w:r>
          </w:p>
        </w:tc>
        <w:tc>
          <w:tcPr>
            <w:tcW w:w="1160" w:type="dxa"/>
            <w:vAlign w:val="bottom"/>
            <w:gridSpan w:val="2"/>
            <w:vMerge w:val="restart"/>
          </w:tcPr>
          <w:p>
            <w:pPr>
              <w:jc w:val="right"/>
              <w:ind w:right="80"/>
              <w:spacing w:after="0" w:line="138" w:lineRule="exact"/>
              <w:rPr>
                <w:sz w:val="20"/>
                <w:szCs w:val="20"/>
                <w:color w:val="auto"/>
              </w:rPr>
            </w:pPr>
            <w:r>
              <w:rPr>
                <w:rFonts w:ascii="Arial" w:cs="Arial" w:eastAsia="Arial" w:hAnsi="Arial"/>
                <w:sz w:val="13"/>
                <w:szCs w:val="13"/>
                <w:b w:val="1"/>
                <w:bCs w:val="1"/>
                <w:color w:val="C8102E"/>
              </w:rPr>
              <w:t>Vested</w:t>
            </w:r>
          </w:p>
        </w:tc>
        <w:tc>
          <w:tcPr>
            <w:tcW w:w="0" w:type="dxa"/>
            <w:vAlign w:val="bottom"/>
          </w:tcPr>
          <w:p>
            <w:pPr>
              <w:spacing w:after="0"/>
              <w:rPr>
                <w:sz w:val="1"/>
                <w:szCs w:val="1"/>
                <w:color w:val="auto"/>
              </w:rPr>
            </w:pPr>
          </w:p>
        </w:tc>
      </w:tr>
      <w:tr>
        <w:trPr>
          <w:trHeight w:val="84"/>
        </w:trPr>
        <w:tc>
          <w:tcPr>
            <w:tcW w:w="1480" w:type="dxa"/>
            <w:vAlign w:val="bottom"/>
          </w:tcPr>
          <w:p>
            <w:pPr>
              <w:spacing w:after="0"/>
              <w:rPr>
                <w:sz w:val="7"/>
                <w:szCs w:val="7"/>
                <w:color w:val="auto"/>
              </w:rPr>
            </w:pPr>
          </w:p>
        </w:tc>
        <w:tc>
          <w:tcPr>
            <w:tcW w:w="1340" w:type="dxa"/>
            <w:vAlign w:val="bottom"/>
            <w:vMerge w:val="restart"/>
          </w:tcPr>
          <w:p>
            <w:pPr>
              <w:jc w:val="right"/>
              <w:ind w:right="177"/>
              <w:spacing w:after="0" w:line="131" w:lineRule="exact"/>
              <w:rPr>
                <w:sz w:val="20"/>
                <w:szCs w:val="20"/>
                <w:color w:val="auto"/>
              </w:rPr>
            </w:pPr>
            <w:r>
              <w:rPr>
                <w:rFonts w:ascii="Arial" w:cs="Arial" w:eastAsia="Arial" w:hAnsi="Arial"/>
                <w:sz w:val="13"/>
                <w:szCs w:val="13"/>
                <w:b w:val="1"/>
                <w:bCs w:val="1"/>
                <w:color w:val="C8102E"/>
              </w:rPr>
              <w:t>(#)</w:t>
            </w:r>
          </w:p>
        </w:tc>
        <w:tc>
          <w:tcPr>
            <w:tcW w:w="1380" w:type="dxa"/>
            <w:vAlign w:val="bottom"/>
            <w:vMerge w:val="restart"/>
          </w:tcPr>
          <w:p>
            <w:pPr>
              <w:jc w:val="right"/>
              <w:ind w:right="197"/>
              <w:spacing w:after="0" w:line="131" w:lineRule="exact"/>
              <w:rPr>
                <w:sz w:val="20"/>
                <w:szCs w:val="20"/>
                <w:color w:val="auto"/>
              </w:rPr>
            </w:pPr>
            <w:r>
              <w:rPr>
                <w:rFonts w:ascii="Arial" w:cs="Arial" w:eastAsia="Arial" w:hAnsi="Arial"/>
                <w:sz w:val="13"/>
                <w:szCs w:val="13"/>
                <w:b w:val="1"/>
                <w:bCs w:val="1"/>
                <w:color w:val="C8102E"/>
              </w:rPr>
              <w:t>(#)</w:t>
            </w:r>
          </w:p>
        </w:tc>
        <w:tc>
          <w:tcPr>
            <w:tcW w:w="800" w:type="dxa"/>
            <w:vAlign w:val="bottom"/>
            <w:vMerge w:val="restart"/>
          </w:tcPr>
          <w:p>
            <w:pPr>
              <w:jc w:val="right"/>
              <w:ind w:right="137"/>
              <w:spacing w:after="0" w:line="131" w:lineRule="exact"/>
              <w:rPr>
                <w:sz w:val="20"/>
                <w:szCs w:val="20"/>
                <w:color w:val="auto"/>
              </w:rPr>
            </w:pPr>
            <w:r>
              <w:rPr>
                <w:rFonts w:ascii="Arial" w:cs="Arial" w:eastAsia="Arial" w:hAnsi="Arial"/>
                <w:sz w:val="13"/>
                <w:szCs w:val="13"/>
                <w:b w:val="1"/>
                <w:bCs w:val="1"/>
                <w:color w:val="C8102E"/>
              </w:rPr>
              <w:t>Price</w:t>
            </w:r>
          </w:p>
        </w:tc>
        <w:tc>
          <w:tcPr>
            <w:tcW w:w="94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1480" w:type="dxa"/>
            <w:vAlign w:val="bottom"/>
            <w:vMerge w:val="restart"/>
          </w:tcPr>
          <w:p>
            <w:pPr>
              <w:spacing w:after="0"/>
              <w:rPr>
                <w:sz w:val="20"/>
                <w:szCs w:val="20"/>
                <w:color w:val="auto"/>
              </w:rPr>
            </w:pPr>
            <w:r>
              <w:rPr>
                <w:rFonts w:ascii="Arial" w:cs="Arial" w:eastAsia="Arial" w:hAnsi="Arial"/>
                <w:sz w:val="13"/>
                <w:szCs w:val="13"/>
                <w:b w:val="1"/>
                <w:bCs w:val="1"/>
                <w:color w:val="C8102E"/>
              </w:rPr>
              <w:t> Name</w:t>
            </w:r>
          </w:p>
        </w:tc>
        <w:tc>
          <w:tcPr>
            <w:tcW w:w="134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940" w:type="dxa"/>
            <w:vAlign w:val="bottom"/>
            <w:gridSpan w:val="2"/>
            <w:vMerge w:val="restart"/>
          </w:tcPr>
          <w:p>
            <w:pPr>
              <w:jc w:val="right"/>
              <w:ind w:right="120"/>
              <w:spacing w:after="0" w:line="200" w:lineRule="exact"/>
              <w:rPr>
                <w:sz w:val="20"/>
                <w:szCs w:val="20"/>
                <w:color w:val="auto"/>
              </w:rPr>
            </w:pPr>
            <w:r>
              <w:rPr>
                <w:rFonts w:ascii="Arial" w:cs="Arial" w:eastAsia="Arial" w:hAnsi="Arial"/>
                <w:sz w:val="13"/>
                <w:szCs w:val="13"/>
                <w:b w:val="1"/>
                <w:bCs w:val="1"/>
                <w:color w:val="C8102E"/>
              </w:rPr>
              <w:t>Date</w:t>
            </w:r>
            <w:r>
              <w:rPr>
                <w:rFonts w:ascii="Arial" w:cs="Arial" w:eastAsia="Arial" w:hAnsi="Arial"/>
                <w:sz w:val="20"/>
                <w:szCs w:val="20"/>
                <w:b w:val="1"/>
                <w:bCs w:val="1"/>
                <w:color w:val="C8102E"/>
                <w:vertAlign w:val="superscript"/>
              </w:rPr>
              <w:t>(1)</w:t>
            </w:r>
          </w:p>
        </w:tc>
        <w:tc>
          <w:tcPr>
            <w:tcW w:w="1220" w:type="dxa"/>
            <w:vAlign w:val="bottom"/>
            <w:vMerge w:val="restart"/>
          </w:tcPr>
          <w:p>
            <w:pPr>
              <w:jc w:val="right"/>
              <w:ind w:right="197"/>
              <w:spacing w:after="0" w:line="200" w:lineRule="exact"/>
              <w:rPr>
                <w:sz w:val="20"/>
                <w:szCs w:val="20"/>
                <w:color w:val="auto"/>
              </w:rPr>
            </w:pPr>
            <w:r>
              <w:rPr>
                <w:rFonts w:ascii="Arial" w:cs="Arial" w:eastAsia="Arial" w:hAnsi="Arial"/>
                <w:sz w:val="13"/>
                <w:szCs w:val="13"/>
                <w:b w:val="1"/>
                <w:bCs w:val="1"/>
                <w:color w:val="C8102E"/>
              </w:rPr>
              <w:t>(#)</w:t>
            </w:r>
            <w:r>
              <w:rPr>
                <w:rFonts w:ascii="Arial" w:cs="Arial" w:eastAsia="Arial" w:hAnsi="Arial"/>
                <w:sz w:val="20"/>
                <w:szCs w:val="20"/>
                <w:b w:val="1"/>
                <w:bCs w:val="1"/>
                <w:color w:val="C8102E"/>
                <w:vertAlign w:val="superscript"/>
              </w:rPr>
              <w:t>(2)</w:t>
            </w:r>
          </w:p>
        </w:tc>
        <w:tc>
          <w:tcPr>
            <w:tcW w:w="1380" w:type="dxa"/>
            <w:vAlign w:val="bottom"/>
            <w:vMerge w:val="restart"/>
          </w:tcPr>
          <w:p>
            <w:pPr>
              <w:jc w:val="right"/>
              <w:ind w:right="197"/>
              <w:spacing w:after="0" w:line="200" w:lineRule="exact"/>
              <w:rPr>
                <w:sz w:val="20"/>
                <w:szCs w:val="20"/>
                <w:color w:val="auto"/>
              </w:rPr>
            </w:pPr>
            <w:r>
              <w:rPr>
                <w:rFonts w:ascii="Arial" w:cs="Arial" w:eastAsia="Arial" w:hAnsi="Arial"/>
                <w:sz w:val="13"/>
                <w:szCs w:val="13"/>
                <w:b w:val="1"/>
                <w:bCs w:val="1"/>
                <w:color w:val="C8102E"/>
              </w:rPr>
              <w:t>($)</w:t>
            </w:r>
            <w:r>
              <w:rPr>
                <w:rFonts w:ascii="Arial" w:cs="Arial" w:eastAsia="Arial" w:hAnsi="Arial"/>
                <w:sz w:val="20"/>
                <w:szCs w:val="20"/>
                <w:b w:val="1"/>
                <w:bCs w:val="1"/>
                <w:color w:val="C8102E"/>
                <w:vertAlign w:val="superscript"/>
              </w:rPr>
              <w:t>(3)</w:t>
            </w:r>
          </w:p>
        </w:tc>
        <w:tc>
          <w:tcPr>
            <w:tcW w:w="1320" w:type="dxa"/>
            <w:vAlign w:val="bottom"/>
            <w:vMerge w:val="restart"/>
          </w:tcPr>
          <w:p>
            <w:pPr>
              <w:jc w:val="right"/>
              <w:ind w:right="197"/>
              <w:spacing w:after="0" w:line="200" w:lineRule="exact"/>
              <w:rPr>
                <w:sz w:val="20"/>
                <w:szCs w:val="20"/>
                <w:color w:val="auto"/>
              </w:rPr>
            </w:pPr>
            <w:r>
              <w:rPr>
                <w:rFonts w:ascii="Arial" w:cs="Arial" w:eastAsia="Arial" w:hAnsi="Arial"/>
                <w:sz w:val="13"/>
                <w:szCs w:val="13"/>
                <w:b w:val="1"/>
                <w:bCs w:val="1"/>
                <w:color w:val="C8102E"/>
              </w:rPr>
              <w:t>(#)</w:t>
            </w:r>
            <w:r>
              <w:rPr>
                <w:rFonts w:ascii="Arial" w:cs="Arial" w:eastAsia="Arial" w:hAnsi="Arial"/>
                <w:sz w:val="20"/>
                <w:szCs w:val="20"/>
                <w:b w:val="1"/>
                <w:bCs w:val="1"/>
                <w:color w:val="C8102E"/>
                <w:vertAlign w:val="superscript"/>
              </w:rPr>
              <w:t>(4)</w:t>
            </w:r>
          </w:p>
        </w:tc>
        <w:tc>
          <w:tcPr>
            <w:tcW w:w="1160" w:type="dxa"/>
            <w:vAlign w:val="bottom"/>
            <w:gridSpan w:val="2"/>
            <w:vMerge w:val="restart"/>
          </w:tcPr>
          <w:p>
            <w:pPr>
              <w:jc w:val="right"/>
              <w:ind w:right="80"/>
              <w:spacing w:after="0" w:line="200" w:lineRule="exact"/>
              <w:rPr>
                <w:sz w:val="20"/>
                <w:szCs w:val="20"/>
                <w:color w:val="auto"/>
              </w:rPr>
            </w:pPr>
            <w:r>
              <w:rPr>
                <w:rFonts w:ascii="Arial" w:cs="Arial" w:eastAsia="Arial" w:hAnsi="Arial"/>
                <w:sz w:val="13"/>
                <w:szCs w:val="13"/>
                <w:b w:val="1"/>
                <w:bCs w:val="1"/>
                <w:color w:val="C8102E"/>
              </w:rPr>
              <w:t>($)</w:t>
            </w:r>
            <w:r>
              <w:rPr>
                <w:rFonts w:ascii="Arial" w:cs="Arial" w:eastAsia="Arial" w:hAnsi="Arial"/>
                <w:sz w:val="20"/>
                <w:szCs w:val="20"/>
                <w:b w:val="1"/>
                <w:bCs w:val="1"/>
                <w:color w:val="C8102E"/>
                <w:vertAlign w:val="superscript"/>
              </w:rPr>
              <w:t>(5)</w:t>
            </w:r>
          </w:p>
        </w:tc>
        <w:tc>
          <w:tcPr>
            <w:tcW w:w="0" w:type="dxa"/>
            <w:vAlign w:val="bottom"/>
          </w:tcPr>
          <w:p>
            <w:pPr>
              <w:spacing w:after="0"/>
              <w:rPr>
                <w:sz w:val="1"/>
                <w:szCs w:val="1"/>
                <w:color w:val="auto"/>
              </w:rPr>
            </w:pPr>
          </w:p>
        </w:tc>
      </w:tr>
      <w:tr>
        <w:trPr>
          <w:trHeight w:val="153"/>
        </w:trPr>
        <w:tc>
          <w:tcPr>
            <w:tcW w:w="1480" w:type="dxa"/>
            <w:vAlign w:val="bottom"/>
            <w:vMerge w:val="continue"/>
          </w:tcPr>
          <w:p>
            <w:pPr>
              <w:spacing w:after="0"/>
              <w:rPr>
                <w:sz w:val="13"/>
                <w:szCs w:val="13"/>
                <w:color w:val="auto"/>
              </w:rPr>
            </w:pPr>
          </w:p>
        </w:tc>
        <w:tc>
          <w:tcPr>
            <w:tcW w:w="1340" w:type="dxa"/>
            <w:vAlign w:val="bottom"/>
          </w:tcPr>
          <w:p>
            <w:pPr>
              <w:jc w:val="right"/>
              <w:ind w:right="177"/>
              <w:spacing w:after="0"/>
              <w:rPr>
                <w:sz w:val="20"/>
                <w:szCs w:val="20"/>
                <w:color w:val="auto"/>
              </w:rPr>
            </w:pPr>
            <w:r>
              <w:rPr>
                <w:rFonts w:ascii="Arial" w:cs="Arial" w:eastAsia="Arial" w:hAnsi="Arial"/>
                <w:sz w:val="13"/>
                <w:szCs w:val="13"/>
                <w:b w:val="1"/>
                <w:bCs w:val="1"/>
                <w:color w:val="C8102E"/>
              </w:rPr>
              <w:t>Exercisable</w:t>
            </w:r>
          </w:p>
        </w:tc>
        <w:tc>
          <w:tcPr>
            <w:tcW w:w="1380" w:type="dxa"/>
            <w:vAlign w:val="bottom"/>
          </w:tcPr>
          <w:p>
            <w:pPr>
              <w:jc w:val="right"/>
              <w:ind w:right="197"/>
              <w:spacing w:after="0"/>
              <w:rPr>
                <w:sz w:val="20"/>
                <w:szCs w:val="20"/>
                <w:color w:val="auto"/>
              </w:rPr>
            </w:pPr>
            <w:r>
              <w:rPr>
                <w:rFonts w:ascii="Arial" w:cs="Arial" w:eastAsia="Arial" w:hAnsi="Arial"/>
                <w:sz w:val="13"/>
                <w:szCs w:val="13"/>
                <w:b w:val="1"/>
                <w:bCs w:val="1"/>
                <w:color w:val="C8102E"/>
              </w:rPr>
              <w:t>Unexercisable</w:t>
            </w:r>
          </w:p>
        </w:tc>
        <w:tc>
          <w:tcPr>
            <w:tcW w:w="800" w:type="dxa"/>
            <w:vAlign w:val="bottom"/>
          </w:tcPr>
          <w:p>
            <w:pPr>
              <w:jc w:val="right"/>
              <w:ind w:right="137"/>
              <w:spacing w:after="0"/>
              <w:rPr>
                <w:sz w:val="20"/>
                <w:szCs w:val="20"/>
                <w:color w:val="auto"/>
              </w:rPr>
            </w:pPr>
            <w:r>
              <w:rPr>
                <w:rFonts w:ascii="Arial" w:cs="Arial" w:eastAsia="Arial" w:hAnsi="Arial"/>
                <w:sz w:val="13"/>
                <w:szCs w:val="13"/>
                <w:b w:val="1"/>
                <w:bCs w:val="1"/>
                <w:color w:val="C8102E"/>
              </w:rPr>
              <w:t>($)</w:t>
            </w:r>
          </w:p>
        </w:tc>
        <w:tc>
          <w:tcPr>
            <w:tcW w:w="940" w:type="dxa"/>
            <w:vAlign w:val="bottom"/>
            <w:gridSpan w:val="2"/>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EDEDEE"/>
          </w:tcPr>
          <w:p>
            <w:pPr>
              <w:spacing w:after="0"/>
              <w:rPr>
                <w:sz w:val="20"/>
                <w:szCs w:val="20"/>
                <w:color w:val="auto"/>
              </w:rPr>
            </w:pPr>
            <w:r>
              <w:rPr>
                <w:rFonts w:ascii="Arial" w:cs="Arial" w:eastAsia="Arial" w:hAnsi="Arial"/>
                <w:sz w:val="13"/>
                <w:szCs w:val="13"/>
                <w:b w:val="1"/>
                <w:bCs w:val="1"/>
                <w:color w:val="auto"/>
              </w:rPr>
              <w:t>Damien McDonald</w:t>
            </w:r>
          </w:p>
        </w:tc>
        <w:tc>
          <w:tcPr>
            <w:tcW w:w="1340" w:type="dxa"/>
            <w:vAlign w:val="bottom"/>
            <w:shd w:val="clear" w:color="auto" w:fill="EDEDEE"/>
          </w:tcPr>
          <w:p>
            <w:pPr>
              <w:jc w:val="right"/>
              <w:ind w:right="177"/>
              <w:spacing w:after="0"/>
              <w:rPr>
                <w:sz w:val="20"/>
                <w:szCs w:val="20"/>
                <w:color w:val="auto"/>
              </w:rPr>
            </w:pPr>
            <w:r>
              <w:rPr>
                <w:rFonts w:ascii="Arial" w:cs="Arial" w:eastAsia="Arial" w:hAnsi="Arial"/>
                <w:sz w:val="13"/>
                <w:szCs w:val="13"/>
                <w:color w:val="auto"/>
              </w:rPr>
              <w:t>—</w:t>
            </w:r>
          </w:p>
        </w:tc>
        <w:tc>
          <w:tcPr>
            <w:tcW w:w="1380" w:type="dxa"/>
            <w:vAlign w:val="bottom"/>
            <w:shd w:val="clear" w:color="auto" w:fill="EDEDEE"/>
          </w:tcPr>
          <w:p>
            <w:pPr>
              <w:jc w:val="right"/>
              <w:ind w:right="197"/>
              <w:spacing w:after="0"/>
              <w:rPr>
                <w:sz w:val="20"/>
                <w:szCs w:val="20"/>
                <w:color w:val="auto"/>
              </w:rPr>
            </w:pPr>
            <w:r>
              <w:rPr>
                <w:rFonts w:ascii="Arial" w:cs="Arial" w:eastAsia="Arial" w:hAnsi="Arial"/>
                <w:sz w:val="13"/>
                <w:szCs w:val="13"/>
                <w:color w:val="auto"/>
              </w:rPr>
              <w:t>—</w:t>
            </w:r>
          </w:p>
        </w:tc>
        <w:tc>
          <w:tcPr>
            <w:tcW w:w="800" w:type="dxa"/>
            <w:vAlign w:val="bottom"/>
            <w:shd w:val="clear" w:color="auto" w:fill="EDEDEE"/>
          </w:tcPr>
          <w:p>
            <w:pPr>
              <w:jc w:val="right"/>
              <w:ind w:right="137"/>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EDEDEE"/>
          </w:tcPr>
          <w:p>
            <w:pPr>
              <w:jc w:val="right"/>
              <w:ind w:right="120"/>
              <w:spacing w:after="0"/>
              <w:rPr>
                <w:sz w:val="20"/>
                <w:szCs w:val="20"/>
                <w:color w:val="auto"/>
              </w:rPr>
            </w:pPr>
            <w:r>
              <w:rPr>
                <w:rFonts w:ascii="Arial" w:cs="Arial" w:eastAsia="Arial" w:hAnsi="Arial"/>
                <w:sz w:val="13"/>
                <w:szCs w:val="13"/>
                <w:color w:val="auto"/>
              </w:rPr>
              <w:t>—</w:t>
            </w:r>
          </w:p>
        </w:tc>
        <w:tc>
          <w:tcPr>
            <w:tcW w:w="1220" w:type="dxa"/>
            <w:vAlign w:val="bottom"/>
            <w:shd w:val="clear" w:color="auto" w:fill="EDEDEE"/>
          </w:tcPr>
          <w:p>
            <w:pPr>
              <w:jc w:val="right"/>
              <w:ind w:right="197"/>
              <w:spacing w:after="0"/>
              <w:rPr>
                <w:sz w:val="20"/>
                <w:szCs w:val="20"/>
                <w:color w:val="auto"/>
              </w:rPr>
            </w:pPr>
            <w:r>
              <w:rPr>
                <w:rFonts w:ascii="Arial" w:cs="Arial" w:eastAsia="Arial" w:hAnsi="Arial"/>
                <w:sz w:val="13"/>
                <w:szCs w:val="13"/>
                <w:color w:val="auto"/>
              </w:rPr>
              <w:t>—</w:t>
            </w:r>
          </w:p>
        </w:tc>
        <w:tc>
          <w:tcPr>
            <w:tcW w:w="1380" w:type="dxa"/>
            <w:vAlign w:val="bottom"/>
            <w:shd w:val="clear" w:color="auto" w:fill="EDEDEE"/>
          </w:tcPr>
          <w:p>
            <w:pPr>
              <w:jc w:val="right"/>
              <w:ind w:right="197"/>
              <w:spacing w:after="0"/>
              <w:rPr>
                <w:sz w:val="20"/>
                <w:szCs w:val="20"/>
                <w:color w:val="auto"/>
              </w:rPr>
            </w:pPr>
            <w:r>
              <w:rPr>
                <w:rFonts w:ascii="Arial" w:cs="Arial" w:eastAsia="Arial" w:hAnsi="Arial"/>
                <w:sz w:val="13"/>
                <w:szCs w:val="13"/>
                <w:color w:val="auto"/>
              </w:rPr>
              <w:t>—</w:t>
            </w:r>
          </w:p>
        </w:tc>
        <w:tc>
          <w:tcPr>
            <w:tcW w:w="1320" w:type="dxa"/>
            <w:vAlign w:val="bottom"/>
            <w:shd w:val="clear" w:color="auto" w:fill="EDEDEE"/>
          </w:tcPr>
          <w:p>
            <w:pPr>
              <w:jc w:val="right"/>
              <w:ind w:right="197"/>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EDEDEE"/>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34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197"/>
              <w:spacing w:after="0"/>
              <w:rPr>
                <w:sz w:val="20"/>
                <w:szCs w:val="20"/>
                <w:color w:val="auto"/>
              </w:rPr>
            </w:pPr>
            <w:r>
              <w:rPr>
                <w:rFonts w:ascii="Arial" w:cs="Arial" w:eastAsia="Arial" w:hAnsi="Arial"/>
                <w:sz w:val="13"/>
                <w:szCs w:val="13"/>
                <w:color w:val="auto"/>
              </w:rPr>
              <w:t>96,296</w:t>
            </w:r>
          </w:p>
        </w:tc>
        <w:tc>
          <w:tcPr>
            <w:tcW w:w="1380" w:type="dxa"/>
            <w:vAlign w:val="bottom"/>
          </w:tcPr>
          <w:p>
            <w:pPr>
              <w:jc w:val="right"/>
              <w:ind w:right="197"/>
              <w:spacing w:after="0"/>
              <w:rPr>
                <w:sz w:val="20"/>
                <w:szCs w:val="20"/>
                <w:color w:val="auto"/>
              </w:rPr>
            </w:pPr>
            <w:r>
              <w:rPr>
                <w:rFonts w:ascii="Arial" w:cs="Arial" w:eastAsia="Arial" w:hAnsi="Arial"/>
                <w:sz w:val="13"/>
                <w:szCs w:val="13"/>
                <w:color w:val="auto"/>
              </w:rPr>
              <w:t>2,565,325</w:t>
            </w:r>
          </w:p>
        </w:tc>
        <w:tc>
          <w:tcPr>
            <w:tcW w:w="132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1480" w:type="dxa"/>
            <w:vAlign w:val="bottom"/>
            <w:tcBorders>
              <w:bottom w:val="single" w:sz="8" w:color="auto"/>
            </w:tcBorders>
            <w:shd w:val="clear" w:color="auto" w:fill="EDEDEE"/>
          </w:tcPr>
          <w:p>
            <w:pPr>
              <w:spacing w:after="0"/>
              <w:rPr>
                <w:sz w:val="18"/>
                <w:szCs w:val="18"/>
                <w:color w:val="auto"/>
              </w:rPr>
            </w:pPr>
          </w:p>
        </w:tc>
        <w:tc>
          <w:tcPr>
            <w:tcW w:w="1340" w:type="dxa"/>
            <w:vAlign w:val="bottom"/>
            <w:tcBorders>
              <w:bottom w:val="single" w:sz="8" w:color="auto"/>
            </w:tcBorders>
            <w:shd w:val="clear" w:color="auto" w:fill="EDEDEE"/>
          </w:tcPr>
          <w:p>
            <w:pPr>
              <w:jc w:val="right"/>
              <w:ind w:right="177"/>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shd w:val="clear" w:color="auto" w:fill="EDEDEE"/>
          </w:tcPr>
          <w:p>
            <w:pPr>
              <w:jc w:val="right"/>
              <w:ind w:right="19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EDEDEE"/>
          </w:tcPr>
          <w:p>
            <w:pPr>
              <w:jc w:val="right"/>
              <w:ind w:right="13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gridSpan w:val="2"/>
            <w:shd w:val="clear" w:color="auto" w:fill="EDEDEE"/>
          </w:tcPr>
          <w:p>
            <w:pPr>
              <w:jc w:val="right"/>
              <w:ind w:right="120"/>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shd w:val="clear" w:color="auto" w:fill="EDEDEE"/>
          </w:tcPr>
          <w:p>
            <w:pPr>
              <w:jc w:val="right"/>
              <w:ind w:right="197"/>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shd w:val="clear" w:color="auto" w:fill="EDEDEE"/>
          </w:tcPr>
          <w:p>
            <w:pPr>
              <w:jc w:val="right"/>
              <w:ind w:right="197"/>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shd w:val="clear" w:color="auto" w:fill="EDEDEE"/>
          </w:tcPr>
          <w:p>
            <w:pPr>
              <w:jc w:val="right"/>
              <w:ind w:right="197"/>
              <w:spacing w:after="0"/>
              <w:rPr>
                <w:sz w:val="20"/>
                <w:szCs w:val="20"/>
                <w:color w:val="auto"/>
              </w:rPr>
            </w:pPr>
            <w:r>
              <w:rPr>
                <w:rFonts w:ascii="Arial" w:cs="Arial" w:eastAsia="Arial" w:hAnsi="Arial"/>
                <w:sz w:val="13"/>
                <w:szCs w:val="13"/>
                <w:color w:val="auto"/>
              </w:rPr>
              <w:t>96,296</w:t>
            </w:r>
          </w:p>
        </w:tc>
        <w:tc>
          <w:tcPr>
            <w:tcW w:w="1160" w:type="dxa"/>
            <w:vAlign w:val="bottom"/>
            <w:tcBorders>
              <w:bottom w:val="single" w:sz="8" w:color="auto"/>
            </w:tcBorders>
            <w:gridSpan w:val="2"/>
            <w:shd w:val="clear" w:color="auto" w:fill="EDEDEE"/>
          </w:tcPr>
          <w:p>
            <w:pPr>
              <w:jc w:val="right"/>
              <w:ind w:right="80"/>
              <w:spacing w:after="0"/>
              <w:rPr>
                <w:sz w:val="20"/>
                <w:szCs w:val="20"/>
                <w:color w:val="auto"/>
              </w:rPr>
            </w:pPr>
            <w:r>
              <w:rPr>
                <w:rFonts w:ascii="Arial" w:cs="Arial" w:eastAsia="Arial" w:hAnsi="Arial"/>
                <w:sz w:val="13"/>
                <w:szCs w:val="13"/>
                <w:color w:val="auto"/>
              </w:rPr>
              <w:t>1,585,995</w:t>
            </w:r>
          </w:p>
        </w:tc>
        <w:tc>
          <w:tcPr>
            <w:tcW w:w="0" w:type="dxa"/>
            <w:vAlign w:val="bottom"/>
          </w:tcPr>
          <w:p>
            <w:pPr>
              <w:spacing w:after="0"/>
              <w:rPr>
                <w:sz w:val="1"/>
                <w:szCs w:val="1"/>
                <w:color w:val="auto"/>
              </w:rPr>
            </w:pPr>
          </w:p>
        </w:tc>
      </w:tr>
      <w:tr>
        <w:trPr>
          <w:trHeight w:val="115"/>
        </w:trPr>
        <w:tc>
          <w:tcPr>
            <w:tcW w:w="1480" w:type="dxa"/>
            <w:vAlign w:val="bottom"/>
          </w:tcPr>
          <w:p>
            <w:pPr>
              <w:spacing w:after="0" w:line="115" w:lineRule="exact"/>
              <w:rPr>
                <w:sz w:val="20"/>
                <w:szCs w:val="20"/>
                <w:color w:val="auto"/>
              </w:rPr>
            </w:pPr>
            <w:r>
              <w:rPr>
                <w:rFonts w:ascii="Arial" w:cs="Arial" w:eastAsia="Arial" w:hAnsi="Arial"/>
                <w:sz w:val="13"/>
                <w:szCs w:val="13"/>
                <w:b w:val="1"/>
                <w:bCs w:val="1"/>
                <w:color w:val="auto"/>
              </w:rPr>
              <w:t> Matthew L. Trerotola</w:t>
            </w:r>
          </w:p>
        </w:tc>
        <w:tc>
          <w:tcPr>
            <w:tcW w:w="1340" w:type="dxa"/>
            <w:vAlign w:val="bottom"/>
          </w:tcPr>
          <w:p>
            <w:pPr>
              <w:jc w:val="right"/>
              <w:ind w:right="177"/>
              <w:spacing w:after="0" w:line="115" w:lineRule="exact"/>
              <w:rPr>
                <w:sz w:val="20"/>
                <w:szCs w:val="20"/>
                <w:color w:val="auto"/>
              </w:rPr>
            </w:pPr>
            <w:r>
              <w:rPr>
                <w:rFonts w:ascii="Arial" w:cs="Arial" w:eastAsia="Arial" w:hAnsi="Arial"/>
                <w:sz w:val="13"/>
                <w:szCs w:val="13"/>
                <w:color w:val="auto"/>
              </w:rPr>
              <w:t>182,572</w:t>
            </w:r>
          </w:p>
        </w:tc>
        <w:tc>
          <w:tcPr>
            <w:tcW w:w="1380" w:type="dxa"/>
            <w:vAlign w:val="bottom"/>
          </w:tcPr>
          <w:p>
            <w:pPr>
              <w:jc w:val="right"/>
              <w:ind w:right="197"/>
              <w:spacing w:after="0" w:line="11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37"/>
              <w:spacing w:after="0" w:line="115" w:lineRule="exact"/>
              <w:rPr>
                <w:sz w:val="20"/>
                <w:szCs w:val="20"/>
                <w:color w:val="auto"/>
              </w:rPr>
            </w:pPr>
            <w:r>
              <w:rPr>
                <w:rFonts w:ascii="Arial" w:cs="Arial" w:eastAsia="Arial" w:hAnsi="Arial"/>
                <w:sz w:val="13"/>
                <w:szCs w:val="13"/>
                <w:color w:val="auto"/>
              </w:rPr>
              <w:t>45.69</w:t>
            </w:r>
          </w:p>
        </w:tc>
        <w:tc>
          <w:tcPr>
            <w:tcW w:w="940" w:type="dxa"/>
            <w:vAlign w:val="bottom"/>
            <w:gridSpan w:val="2"/>
          </w:tcPr>
          <w:p>
            <w:pPr>
              <w:jc w:val="right"/>
              <w:ind w:right="120"/>
              <w:spacing w:after="0" w:line="115" w:lineRule="exact"/>
              <w:rPr>
                <w:sz w:val="20"/>
                <w:szCs w:val="20"/>
                <w:color w:val="auto"/>
              </w:rPr>
            </w:pPr>
            <w:r>
              <w:rPr>
                <w:rFonts w:ascii="Arial" w:cs="Arial" w:eastAsia="Arial" w:hAnsi="Arial"/>
                <w:sz w:val="13"/>
                <w:szCs w:val="13"/>
                <w:color w:val="auto"/>
              </w:rPr>
              <w:t>2/24/2026</w:t>
            </w:r>
          </w:p>
        </w:tc>
        <w:tc>
          <w:tcPr>
            <w:tcW w:w="1220" w:type="dxa"/>
            <w:vAlign w:val="bottom"/>
          </w:tcPr>
          <w:p>
            <w:pPr>
              <w:jc w:val="right"/>
              <w:ind w:right="197"/>
              <w:spacing w:after="0" w:line="115" w:lineRule="exact"/>
              <w:rPr>
                <w:sz w:val="20"/>
                <w:szCs w:val="20"/>
                <w:color w:val="auto"/>
              </w:rPr>
            </w:pPr>
            <w:r>
              <w:rPr>
                <w:rFonts w:ascii="Arial" w:cs="Arial" w:eastAsia="Arial" w:hAnsi="Arial"/>
                <w:sz w:val="13"/>
                <w:szCs w:val="13"/>
                <w:color w:val="auto"/>
              </w:rPr>
              <w:t>—</w:t>
            </w:r>
          </w:p>
        </w:tc>
        <w:tc>
          <w:tcPr>
            <w:tcW w:w="1380" w:type="dxa"/>
            <w:vAlign w:val="bottom"/>
          </w:tcPr>
          <w:p>
            <w:pPr>
              <w:jc w:val="right"/>
              <w:ind w:right="197"/>
              <w:spacing w:after="0" w:line="115" w:lineRule="exact"/>
              <w:rPr>
                <w:sz w:val="20"/>
                <w:szCs w:val="20"/>
                <w:color w:val="auto"/>
              </w:rPr>
            </w:pPr>
            <w:r>
              <w:rPr>
                <w:rFonts w:ascii="Arial" w:cs="Arial" w:eastAsia="Arial" w:hAnsi="Arial"/>
                <w:sz w:val="13"/>
                <w:szCs w:val="13"/>
                <w:color w:val="auto"/>
              </w:rPr>
              <w:t>—</w:t>
            </w:r>
          </w:p>
        </w:tc>
        <w:tc>
          <w:tcPr>
            <w:tcW w:w="1320" w:type="dxa"/>
            <w:vAlign w:val="bottom"/>
          </w:tcPr>
          <w:p>
            <w:pPr>
              <w:jc w:val="right"/>
              <w:ind w:right="197"/>
              <w:spacing w:after="0" w:line="115" w:lineRule="exact"/>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80"/>
              <w:spacing w:after="0" w:line="11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480" w:type="dxa"/>
            <w:vAlign w:val="bottom"/>
            <w:shd w:val="clear" w:color="auto" w:fill="EDEDEE"/>
          </w:tcPr>
          <w:p>
            <w:pPr>
              <w:spacing w:after="0"/>
              <w:rPr>
                <w:sz w:val="11"/>
                <w:szCs w:val="11"/>
                <w:color w:val="auto"/>
              </w:rPr>
            </w:pPr>
          </w:p>
        </w:tc>
        <w:tc>
          <w:tcPr>
            <w:tcW w:w="1340" w:type="dxa"/>
            <w:vAlign w:val="bottom"/>
            <w:shd w:val="clear" w:color="auto" w:fill="EDEDEE"/>
          </w:tcPr>
          <w:p>
            <w:pPr>
              <w:jc w:val="right"/>
              <w:ind w:right="177"/>
              <w:spacing w:after="0" w:line="135" w:lineRule="exact"/>
              <w:rPr>
                <w:sz w:val="20"/>
                <w:szCs w:val="20"/>
                <w:color w:val="auto"/>
              </w:rPr>
            </w:pPr>
            <w:r>
              <w:rPr>
                <w:rFonts w:ascii="Arial" w:cs="Arial" w:eastAsia="Arial" w:hAnsi="Arial"/>
                <w:sz w:val="13"/>
                <w:szCs w:val="13"/>
                <w:color w:val="auto"/>
              </w:rPr>
              <w:t>70,246</w:t>
            </w:r>
          </w:p>
        </w:tc>
        <w:tc>
          <w:tcPr>
            <w:tcW w:w="1380" w:type="dxa"/>
            <w:vAlign w:val="bottom"/>
            <w:shd w:val="clear" w:color="auto" w:fill="EDEDEE"/>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EDEDEE"/>
          </w:tcPr>
          <w:p>
            <w:pPr>
              <w:jc w:val="right"/>
              <w:ind w:right="137"/>
              <w:spacing w:after="0" w:line="135" w:lineRule="exact"/>
              <w:rPr>
                <w:sz w:val="20"/>
                <w:szCs w:val="20"/>
                <w:color w:val="auto"/>
              </w:rPr>
            </w:pPr>
            <w:r>
              <w:rPr>
                <w:rFonts w:ascii="Arial" w:cs="Arial" w:eastAsia="Arial" w:hAnsi="Arial"/>
                <w:sz w:val="13"/>
                <w:szCs w:val="13"/>
                <w:color w:val="auto"/>
              </w:rPr>
              <w:t>64.03</w:t>
            </w:r>
          </w:p>
        </w:tc>
        <w:tc>
          <w:tcPr>
            <w:tcW w:w="940" w:type="dxa"/>
            <w:vAlign w:val="bottom"/>
            <w:gridSpan w:val="2"/>
            <w:shd w:val="clear" w:color="auto" w:fill="EDEDEE"/>
          </w:tcPr>
          <w:p>
            <w:pPr>
              <w:jc w:val="right"/>
              <w:ind w:right="120"/>
              <w:spacing w:after="0" w:line="135" w:lineRule="exact"/>
              <w:rPr>
                <w:sz w:val="20"/>
                <w:szCs w:val="20"/>
                <w:color w:val="auto"/>
              </w:rPr>
            </w:pPr>
            <w:r>
              <w:rPr>
                <w:rFonts w:ascii="Arial" w:cs="Arial" w:eastAsia="Arial" w:hAnsi="Arial"/>
                <w:sz w:val="13"/>
                <w:szCs w:val="13"/>
                <w:color w:val="auto"/>
              </w:rPr>
              <w:t>2/23/2027</w:t>
            </w:r>
          </w:p>
        </w:tc>
        <w:tc>
          <w:tcPr>
            <w:tcW w:w="1220" w:type="dxa"/>
            <w:vAlign w:val="bottom"/>
            <w:shd w:val="clear" w:color="auto" w:fill="EDEDEE"/>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380" w:type="dxa"/>
            <w:vAlign w:val="bottom"/>
            <w:shd w:val="clear" w:color="auto" w:fill="EDEDEE"/>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320" w:type="dxa"/>
            <w:vAlign w:val="bottom"/>
            <w:shd w:val="clear" w:color="auto" w:fill="EDEDEE"/>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160" w:type="dxa"/>
            <w:vAlign w:val="bottom"/>
            <w:gridSpan w:val="2"/>
            <w:shd w:val="clear" w:color="auto" w:fill="EDEDEE"/>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134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56,179</w:t>
            </w:r>
          </w:p>
        </w:tc>
        <w:tc>
          <w:tcPr>
            <w:tcW w:w="13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76.34</w:t>
            </w: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2/21/2028</w:t>
            </w:r>
          </w:p>
        </w:tc>
        <w:tc>
          <w:tcPr>
            <w:tcW w:w="122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3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32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480" w:type="dxa"/>
            <w:vAlign w:val="bottom"/>
            <w:shd w:val="clear" w:color="auto" w:fill="EDEDEE"/>
          </w:tcPr>
          <w:p>
            <w:pPr>
              <w:spacing w:after="0"/>
              <w:rPr>
                <w:sz w:val="11"/>
                <w:szCs w:val="11"/>
                <w:color w:val="auto"/>
              </w:rPr>
            </w:pPr>
          </w:p>
        </w:tc>
        <w:tc>
          <w:tcPr>
            <w:tcW w:w="1340" w:type="dxa"/>
            <w:vAlign w:val="bottom"/>
            <w:shd w:val="clear" w:color="auto" w:fill="EDEDEE"/>
          </w:tcPr>
          <w:p>
            <w:pPr>
              <w:jc w:val="right"/>
              <w:ind w:right="177"/>
              <w:spacing w:after="0" w:line="135" w:lineRule="exact"/>
              <w:rPr>
                <w:sz w:val="20"/>
                <w:szCs w:val="20"/>
                <w:color w:val="auto"/>
              </w:rPr>
            </w:pPr>
            <w:r>
              <w:rPr>
                <w:rFonts w:ascii="Arial" w:cs="Arial" w:eastAsia="Arial" w:hAnsi="Arial"/>
                <w:sz w:val="13"/>
                <w:szCs w:val="13"/>
                <w:color w:val="auto"/>
              </w:rPr>
              <w:t>62,719</w:t>
            </w:r>
          </w:p>
        </w:tc>
        <w:tc>
          <w:tcPr>
            <w:tcW w:w="1380" w:type="dxa"/>
            <w:vAlign w:val="bottom"/>
            <w:shd w:val="clear" w:color="auto" w:fill="EDEDEE"/>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EDEDEE"/>
          </w:tcPr>
          <w:p>
            <w:pPr>
              <w:jc w:val="right"/>
              <w:ind w:right="137"/>
              <w:spacing w:after="0" w:line="135" w:lineRule="exact"/>
              <w:rPr>
                <w:sz w:val="20"/>
                <w:szCs w:val="20"/>
                <w:color w:val="auto"/>
              </w:rPr>
            </w:pPr>
            <w:r>
              <w:rPr>
                <w:rFonts w:ascii="Arial" w:cs="Arial" w:eastAsia="Arial" w:hAnsi="Arial"/>
                <w:sz w:val="13"/>
                <w:szCs w:val="13"/>
                <w:color w:val="auto"/>
              </w:rPr>
              <w:t>70.88</w:t>
            </w:r>
          </w:p>
        </w:tc>
        <w:tc>
          <w:tcPr>
            <w:tcW w:w="940" w:type="dxa"/>
            <w:vAlign w:val="bottom"/>
            <w:gridSpan w:val="2"/>
            <w:shd w:val="clear" w:color="auto" w:fill="EDEDEE"/>
          </w:tcPr>
          <w:p>
            <w:pPr>
              <w:jc w:val="right"/>
              <w:ind w:right="120"/>
              <w:spacing w:after="0" w:line="135" w:lineRule="exact"/>
              <w:rPr>
                <w:sz w:val="20"/>
                <w:szCs w:val="20"/>
                <w:color w:val="auto"/>
              </w:rPr>
            </w:pPr>
            <w:r>
              <w:rPr>
                <w:rFonts w:ascii="Arial" w:cs="Arial" w:eastAsia="Arial" w:hAnsi="Arial"/>
                <w:sz w:val="13"/>
                <w:szCs w:val="13"/>
                <w:color w:val="auto"/>
              </w:rPr>
              <w:t>2/16/2029</w:t>
            </w:r>
          </w:p>
        </w:tc>
        <w:tc>
          <w:tcPr>
            <w:tcW w:w="1220" w:type="dxa"/>
            <w:vAlign w:val="bottom"/>
            <w:shd w:val="clear" w:color="auto" w:fill="EDEDEE"/>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380" w:type="dxa"/>
            <w:vAlign w:val="bottom"/>
            <w:shd w:val="clear" w:color="auto" w:fill="EDEDEE"/>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320" w:type="dxa"/>
            <w:vAlign w:val="bottom"/>
            <w:shd w:val="clear" w:color="auto" w:fill="EDEDEE"/>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160" w:type="dxa"/>
            <w:vAlign w:val="bottom"/>
            <w:gridSpan w:val="2"/>
            <w:shd w:val="clear" w:color="auto" w:fill="EDEDEE"/>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134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44,615</w:t>
            </w:r>
          </w:p>
        </w:tc>
        <w:tc>
          <w:tcPr>
            <w:tcW w:w="13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22,307</w:t>
            </w:r>
          </w:p>
        </w:tc>
        <w:tc>
          <w:tcPr>
            <w:tcW w:w="80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57.62</w:t>
            </w: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2/27/2030</w:t>
            </w:r>
          </w:p>
        </w:tc>
        <w:tc>
          <w:tcPr>
            <w:tcW w:w="122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3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32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480" w:type="dxa"/>
            <w:vAlign w:val="bottom"/>
            <w:shd w:val="clear" w:color="auto" w:fill="EDEDEE"/>
          </w:tcPr>
          <w:p>
            <w:pPr>
              <w:spacing w:after="0"/>
              <w:rPr>
                <w:sz w:val="11"/>
                <w:szCs w:val="11"/>
                <w:color w:val="auto"/>
              </w:rPr>
            </w:pPr>
          </w:p>
        </w:tc>
        <w:tc>
          <w:tcPr>
            <w:tcW w:w="1340" w:type="dxa"/>
            <w:vAlign w:val="bottom"/>
            <w:shd w:val="clear" w:color="auto" w:fill="EDEDEE"/>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380" w:type="dxa"/>
            <w:vAlign w:val="bottom"/>
            <w:shd w:val="clear" w:color="auto" w:fill="EDEDEE"/>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EDEDEE"/>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EDEDEE"/>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20" w:type="dxa"/>
            <w:vAlign w:val="bottom"/>
            <w:shd w:val="clear" w:color="auto" w:fill="EDEDEE"/>
          </w:tcPr>
          <w:p>
            <w:pPr>
              <w:jc w:val="right"/>
              <w:ind w:right="197"/>
              <w:spacing w:after="0" w:line="135" w:lineRule="exact"/>
              <w:rPr>
                <w:sz w:val="20"/>
                <w:szCs w:val="20"/>
                <w:color w:val="auto"/>
              </w:rPr>
            </w:pPr>
            <w:r>
              <w:rPr>
                <w:rFonts w:ascii="Arial" w:cs="Arial" w:eastAsia="Arial" w:hAnsi="Arial"/>
                <w:sz w:val="13"/>
                <w:szCs w:val="13"/>
                <w:color w:val="auto"/>
              </w:rPr>
              <w:t>146,527</w:t>
            </w:r>
          </w:p>
        </w:tc>
        <w:tc>
          <w:tcPr>
            <w:tcW w:w="1380" w:type="dxa"/>
            <w:vAlign w:val="bottom"/>
            <w:shd w:val="clear" w:color="auto" w:fill="EDEDEE"/>
          </w:tcPr>
          <w:p>
            <w:pPr>
              <w:jc w:val="right"/>
              <w:ind w:right="197"/>
              <w:spacing w:after="0" w:line="135" w:lineRule="exact"/>
              <w:rPr>
                <w:sz w:val="20"/>
                <w:szCs w:val="20"/>
                <w:color w:val="auto"/>
              </w:rPr>
            </w:pPr>
            <w:r>
              <w:rPr>
                <w:rFonts w:ascii="Arial" w:cs="Arial" w:eastAsia="Arial" w:hAnsi="Arial"/>
                <w:sz w:val="13"/>
                <w:szCs w:val="13"/>
                <w:color w:val="auto"/>
              </w:rPr>
              <w:t>3,903,479</w:t>
            </w:r>
          </w:p>
        </w:tc>
        <w:tc>
          <w:tcPr>
            <w:tcW w:w="1320" w:type="dxa"/>
            <w:vAlign w:val="bottom"/>
            <w:shd w:val="clear" w:color="auto" w:fill="EDEDEE"/>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160" w:type="dxa"/>
            <w:vAlign w:val="bottom"/>
            <w:gridSpan w:val="2"/>
            <w:shd w:val="clear" w:color="auto" w:fill="EDEDEE"/>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2"/>
        </w:trPr>
        <w:tc>
          <w:tcPr>
            <w:tcW w:w="14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right"/>
              <w:ind w:right="177"/>
              <w:spacing w:after="0" w:line="122" w:lineRule="exact"/>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tcPr>
          <w:p>
            <w:pPr>
              <w:jc w:val="right"/>
              <w:ind w:right="197"/>
              <w:spacing w:after="0" w:line="122"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137"/>
              <w:spacing w:after="0" w:line="122" w:lineRule="exact"/>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gridSpan w:val="2"/>
          </w:tcPr>
          <w:p>
            <w:pPr>
              <w:jc w:val="right"/>
              <w:ind w:right="120"/>
              <w:spacing w:after="0" w:line="122" w:lineRule="exact"/>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ind w:right="197"/>
              <w:spacing w:after="0" w:line="122" w:lineRule="exact"/>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tcPr>
          <w:p>
            <w:pPr>
              <w:jc w:val="right"/>
              <w:ind w:right="197"/>
              <w:spacing w:after="0" w:line="122" w:lineRule="exact"/>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tcPr>
          <w:p>
            <w:pPr>
              <w:jc w:val="right"/>
              <w:ind w:right="197"/>
              <w:spacing w:after="0" w:line="122" w:lineRule="exact"/>
              <w:rPr>
                <w:sz w:val="20"/>
                <w:szCs w:val="20"/>
                <w:color w:val="auto"/>
              </w:rPr>
            </w:pPr>
            <w:r>
              <w:rPr>
                <w:rFonts w:ascii="Arial" w:cs="Arial" w:eastAsia="Arial" w:hAnsi="Arial"/>
                <w:sz w:val="13"/>
                <w:szCs w:val="13"/>
                <w:color w:val="auto"/>
              </w:rPr>
              <w:t>215,062</w:t>
            </w:r>
          </w:p>
        </w:tc>
        <w:tc>
          <w:tcPr>
            <w:tcW w:w="1160" w:type="dxa"/>
            <w:vAlign w:val="bottom"/>
            <w:tcBorders>
              <w:bottom w:val="single" w:sz="8" w:color="auto"/>
            </w:tcBorders>
            <w:gridSpan w:val="2"/>
          </w:tcPr>
          <w:p>
            <w:pPr>
              <w:jc w:val="right"/>
              <w:ind w:right="80"/>
              <w:spacing w:after="0" w:line="122" w:lineRule="exact"/>
              <w:rPr>
                <w:sz w:val="20"/>
                <w:szCs w:val="20"/>
                <w:color w:val="auto"/>
              </w:rPr>
            </w:pPr>
            <w:r>
              <w:rPr>
                <w:rFonts w:ascii="Arial" w:cs="Arial" w:eastAsia="Arial" w:hAnsi="Arial"/>
                <w:sz w:val="13"/>
                <w:szCs w:val="13"/>
                <w:color w:val="auto"/>
              </w:rPr>
              <w:t>2,069,292</w:t>
            </w:r>
          </w:p>
        </w:tc>
        <w:tc>
          <w:tcPr>
            <w:tcW w:w="0" w:type="dxa"/>
            <w:vAlign w:val="bottom"/>
          </w:tcPr>
          <w:p>
            <w:pPr>
              <w:spacing w:after="0"/>
              <w:rPr>
                <w:sz w:val="1"/>
                <w:szCs w:val="1"/>
                <w:color w:val="auto"/>
              </w:rPr>
            </w:pPr>
          </w:p>
        </w:tc>
      </w:tr>
      <w:tr>
        <w:trPr>
          <w:trHeight w:val="115"/>
        </w:trPr>
        <w:tc>
          <w:tcPr>
            <w:tcW w:w="1480" w:type="dxa"/>
            <w:vAlign w:val="bottom"/>
            <w:shd w:val="clear" w:color="auto" w:fill="EDEDEE"/>
          </w:tcPr>
          <w:p>
            <w:pPr>
              <w:spacing w:after="0" w:line="115" w:lineRule="exact"/>
              <w:rPr>
                <w:sz w:val="20"/>
                <w:szCs w:val="20"/>
                <w:color w:val="auto"/>
              </w:rPr>
            </w:pPr>
            <w:r>
              <w:rPr>
                <w:rFonts w:ascii="Arial" w:cs="Arial" w:eastAsia="Arial" w:hAnsi="Arial"/>
                <w:sz w:val="13"/>
                <w:szCs w:val="13"/>
                <w:b w:val="1"/>
                <w:bCs w:val="1"/>
                <w:color w:val="auto"/>
              </w:rPr>
              <w:t> Phillip “Ben” Berry</w:t>
            </w:r>
          </w:p>
        </w:tc>
        <w:tc>
          <w:tcPr>
            <w:tcW w:w="1340" w:type="dxa"/>
            <w:vAlign w:val="bottom"/>
            <w:shd w:val="clear" w:color="auto" w:fill="EDEDEE"/>
          </w:tcPr>
          <w:p>
            <w:pPr>
              <w:jc w:val="right"/>
              <w:ind w:right="177"/>
              <w:spacing w:after="0" w:line="115" w:lineRule="exact"/>
              <w:rPr>
                <w:sz w:val="20"/>
                <w:szCs w:val="20"/>
                <w:color w:val="auto"/>
              </w:rPr>
            </w:pPr>
            <w:r>
              <w:rPr>
                <w:rFonts w:ascii="Arial" w:cs="Arial" w:eastAsia="Arial" w:hAnsi="Arial"/>
                <w:sz w:val="13"/>
                <w:szCs w:val="13"/>
                <w:color w:val="auto"/>
              </w:rPr>
              <w:t>10,859</w:t>
            </w:r>
          </w:p>
        </w:tc>
        <w:tc>
          <w:tcPr>
            <w:tcW w:w="1380" w:type="dxa"/>
            <w:vAlign w:val="bottom"/>
            <w:shd w:val="clear" w:color="auto" w:fill="EDEDEE"/>
          </w:tcPr>
          <w:p>
            <w:pPr>
              <w:jc w:val="right"/>
              <w:ind w:right="197"/>
              <w:spacing w:after="0" w:line="115" w:lineRule="exact"/>
              <w:rPr>
                <w:sz w:val="20"/>
                <w:szCs w:val="20"/>
                <w:color w:val="auto"/>
              </w:rPr>
            </w:pPr>
            <w:r>
              <w:rPr>
                <w:rFonts w:ascii="Arial" w:cs="Arial" w:eastAsia="Arial" w:hAnsi="Arial"/>
                <w:sz w:val="13"/>
                <w:szCs w:val="13"/>
                <w:color w:val="auto"/>
              </w:rPr>
              <w:t>—</w:t>
            </w:r>
          </w:p>
        </w:tc>
        <w:tc>
          <w:tcPr>
            <w:tcW w:w="800" w:type="dxa"/>
            <w:vAlign w:val="bottom"/>
            <w:shd w:val="clear" w:color="auto" w:fill="EDEDEE"/>
          </w:tcPr>
          <w:p>
            <w:pPr>
              <w:jc w:val="right"/>
              <w:ind w:right="137"/>
              <w:spacing w:after="0" w:line="115" w:lineRule="exact"/>
              <w:rPr>
                <w:sz w:val="20"/>
                <w:szCs w:val="20"/>
                <w:color w:val="auto"/>
              </w:rPr>
            </w:pPr>
            <w:r>
              <w:rPr>
                <w:rFonts w:ascii="Arial" w:cs="Arial" w:eastAsia="Arial" w:hAnsi="Arial"/>
                <w:sz w:val="13"/>
                <w:szCs w:val="13"/>
                <w:color w:val="auto"/>
              </w:rPr>
              <w:t>33.48</w:t>
            </w:r>
          </w:p>
        </w:tc>
        <w:tc>
          <w:tcPr>
            <w:tcW w:w="940" w:type="dxa"/>
            <w:vAlign w:val="bottom"/>
            <w:gridSpan w:val="2"/>
            <w:shd w:val="clear" w:color="auto" w:fill="EDEDEE"/>
          </w:tcPr>
          <w:p>
            <w:pPr>
              <w:jc w:val="right"/>
              <w:ind w:right="120"/>
              <w:spacing w:after="0" w:line="115" w:lineRule="exact"/>
              <w:rPr>
                <w:sz w:val="20"/>
                <w:szCs w:val="20"/>
                <w:color w:val="auto"/>
              </w:rPr>
            </w:pPr>
            <w:r>
              <w:rPr>
                <w:rFonts w:ascii="Arial" w:cs="Arial" w:eastAsia="Arial" w:hAnsi="Arial"/>
                <w:sz w:val="13"/>
                <w:szCs w:val="13"/>
                <w:color w:val="auto"/>
              </w:rPr>
              <w:t>3/16/2027</w:t>
            </w:r>
          </w:p>
        </w:tc>
        <w:tc>
          <w:tcPr>
            <w:tcW w:w="1220" w:type="dxa"/>
            <w:vAlign w:val="bottom"/>
            <w:shd w:val="clear" w:color="auto" w:fill="EDEDEE"/>
          </w:tcPr>
          <w:p>
            <w:pPr>
              <w:jc w:val="right"/>
              <w:ind w:right="197"/>
              <w:spacing w:after="0" w:line="115" w:lineRule="exact"/>
              <w:rPr>
                <w:sz w:val="20"/>
                <w:szCs w:val="20"/>
                <w:color w:val="auto"/>
              </w:rPr>
            </w:pPr>
            <w:r>
              <w:rPr>
                <w:rFonts w:ascii="Arial" w:cs="Arial" w:eastAsia="Arial" w:hAnsi="Arial"/>
                <w:sz w:val="13"/>
                <w:szCs w:val="13"/>
                <w:color w:val="auto"/>
              </w:rPr>
              <w:t>—</w:t>
            </w:r>
          </w:p>
        </w:tc>
        <w:tc>
          <w:tcPr>
            <w:tcW w:w="1380" w:type="dxa"/>
            <w:vAlign w:val="bottom"/>
            <w:shd w:val="clear" w:color="auto" w:fill="EDEDEE"/>
          </w:tcPr>
          <w:p>
            <w:pPr>
              <w:jc w:val="right"/>
              <w:ind w:right="197"/>
              <w:spacing w:after="0" w:line="115" w:lineRule="exact"/>
              <w:rPr>
                <w:sz w:val="20"/>
                <w:szCs w:val="20"/>
                <w:color w:val="auto"/>
              </w:rPr>
            </w:pPr>
            <w:r>
              <w:rPr>
                <w:rFonts w:ascii="Arial" w:cs="Arial" w:eastAsia="Arial" w:hAnsi="Arial"/>
                <w:sz w:val="13"/>
                <w:szCs w:val="13"/>
                <w:color w:val="auto"/>
              </w:rPr>
              <w:t>—</w:t>
            </w:r>
          </w:p>
        </w:tc>
        <w:tc>
          <w:tcPr>
            <w:tcW w:w="1320" w:type="dxa"/>
            <w:vAlign w:val="bottom"/>
            <w:shd w:val="clear" w:color="auto" w:fill="EDEDEE"/>
          </w:tcPr>
          <w:p>
            <w:pPr>
              <w:jc w:val="right"/>
              <w:ind w:right="197"/>
              <w:spacing w:after="0" w:line="115" w:lineRule="exact"/>
              <w:rPr>
                <w:sz w:val="20"/>
                <w:szCs w:val="20"/>
                <w:color w:val="auto"/>
              </w:rPr>
            </w:pPr>
            <w:r>
              <w:rPr>
                <w:rFonts w:ascii="Arial" w:cs="Arial" w:eastAsia="Arial" w:hAnsi="Arial"/>
                <w:sz w:val="13"/>
                <w:szCs w:val="13"/>
                <w:color w:val="auto"/>
              </w:rPr>
              <w:t>—</w:t>
            </w:r>
          </w:p>
        </w:tc>
        <w:tc>
          <w:tcPr>
            <w:tcW w:w="1160" w:type="dxa"/>
            <w:vAlign w:val="bottom"/>
            <w:gridSpan w:val="2"/>
            <w:shd w:val="clear" w:color="auto" w:fill="EDEDEE"/>
          </w:tcPr>
          <w:p>
            <w:pPr>
              <w:jc w:val="right"/>
              <w:ind w:right="80"/>
              <w:spacing w:after="0" w:line="11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134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4,476</w:t>
            </w:r>
          </w:p>
        </w:tc>
        <w:tc>
          <w:tcPr>
            <w:tcW w:w="13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76.34</w:t>
            </w: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2/21/2028</w:t>
            </w:r>
          </w:p>
        </w:tc>
        <w:tc>
          <w:tcPr>
            <w:tcW w:w="122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3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32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480" w:type="dxa"/>
            <w:vAlign w:val="bottom"/>
            <w:shd w:val="clear" w:color="auto" w:fill="EDEDEE"/>
          </w:tcPr>
          <w:p>
            <w:pPr>
              <w:spacing w:after="0"/>
              <w:rPr>
                <w:sz w:val="11"/>
                <w:szCs w:val="11"/>
                <w:color w:val="auto"/>
              </w:rPr>
            </w:pPr>
          </w:p>
        </w:tc>
        <w:tc>
          <w:tcPr>
            <w:tcW w:w="1340" w:type="dxa"/>
            <w:vAlign w:val="bottom"/>
            <w:shd w:val="clear" w:color="auto" w:fill="EDEDEE"/>
          </w:tcPr>
          <w:p>
            <w:pPr>
              <w:jc w:val="right"/>
              <w:ind w:right="177"/>
              <w:spacing w:after="0" w:line="135" w:lineRule="exact"/>
              <w:rPr>
                <w:sz w:val="20"/>
                <w:szCs w:val="20"/>
                <w:color w:val="auto"/>
              </w:rPr>
            </w:pPr>
            <w:r>
              <w:rPr>
                <w:rFonts w:ascii="Arial" w:cs="Arial" w:eastAsia="Arial" w:hAnsi="Arial"/>
                <w:sz w:val="13"/>
                <w:szCs w:val="13"/>
                <w:color w:val="auto"/>
              </w:rPr>
              <w:t>7,649</w:t>
            </w:r>
          </w:p>
        </w:tc>
        <w:tc>
          <w:tcPr>
            <w:tcW w:w="1380" w:type="dxa"/>
            <w:vAlign w:val="bottom"/>
            <w:shd w:val="clear" w:color="auto" w:fill="EDEDEE"/>
          </w:tcPr>
          <w:p>
            <w:pPr>
              <w:jc w:val="right"/>
              <w:ind w:right="197"/>
              <w:spacing w:after="0" w:line="135" w:lineRule="exact"/>
              <w:rPr>
                <w:sz w:val="20"/>
                <w:szCs w:val="20"/>
                <w:color w:val="auto"/>
              </w:rPr>
            </w:pPr>
            <w:r>
              <w:rPr>
                <w:rFonts w:ascii="Arial" w:cs="Arial" w:eastAsia="Arial" w:hAnsi="Arial"/>
                <w:sz w:val="13"/>
                <w:szCs w:val="13"/>
                <w:color w:val="auto"/>
              </w:rPr>
              <w:t>3,823</w:t>
            </w:r>
          </w:p>
        </w:tc>
        <w:tc>
          <w:tcPr>
            <w:tcW w:w="800" w:type="dxa"/>
            <w:vAlign w:val="bottom"/>
            <w:shd w:val="clear" w:color="auto" w:fill="EDEDEE"/>
          </w:tcPr>
          <w:p>
            <w:pPr>
              <w:jc w:val="right"/>
              <w:ind w:right="137"/>
              <w:spacing w:after="0" w:line="135" w:lineRule="exact"/>
              <w:rPr>
                <w:sz w:val="20"/>
                <w:szCs w:val="20"/>
                <w:color w:val="auto"/>
              </w:rPr>
            </w:pPr>
            <w:r>
              <w:rPr>
                <w:rFonts w:ascii="Arial" w:cs="Arial" w:eastAsia="Arial" w:hAnsi="Arial"/>
                <w:sz w:val="13"/>
                <w:szCs w:val="13"/>
                <w:color w:val="auto"/>
              </w:rPr>
              <w:t>57.62</w:t>
            </w:r>
          </w:p>
        </w:tc>
        <w:tc>
          <w:tcPr>
            <w:tcW w:w="940" w:type="dxa"/>
            <w:vAlign w:val="bottom"/>
            <w:gridSpan w:val="2"/>
            <w:shd w:val="clear" w:color="auto" w:fill="EDEDEE"/>
          </w:tcPr>
          <w:p>
            <w:pPr>
              <w:jc w:val="right"/>
              <w:ind w:right="120"/>
              <w:spacing w:after="0" w:line="135" w:lineRule="exact"/>
              <w:rPr>
                <w:sz w:val="20"/>
                <w:szCs w:val="20"/>
                <w:color w:val="auto"/>
              </w:rPr>
            </w:pPr>
            <w:r>
              <w:rPr>
                <w:rFonts w:ascii="Arial" w:cs="Arial" w:eastAsia="Arial" w:hAnsi="Arial"/>
                <w:sz w:val="13"/>
                <w:szCs w:val="13"/>
                <w:color w:val="auto"/>
              </w:rPr>
              <w:t>2/27/2030</w:t>
            </w:r>
          </w:p>
        </w:tc>
        <w:tc>
          <w:tcPr>
            <w:tcW w:w="1220" w:type="dxa"/>
            <w:vAlign w:val="bottom"/>
            <w:shd w:val="clear" w:color="auto" w:fill="EDEDEE"/>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380" w:type="dxa"/>
            <w:vAlign w:val="bottom"/>
            <w:shd w:val="clear" w:color="auto" w:fill="EDEDEE"/>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320" w:type="dxa"/>
            <w:vAlign w:val="bottom"/>
            <w:shd w:val="clear" w:color="auto" w:fill="EDEDEE"/>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160" w:type="dxa"/>
            <w:vAlign w:val="bottom"/>
            <w:gridSpan w:val="2"/>
            <w:shd w:val="clear" w:color="auto" w:fill="EDEDEE"/>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134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3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2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96,029</w:t>
            </w:r>
          </w:p>
        </w:tc>
        <w:tc>
          <w:tcPr>
            <w:tcW w:w="13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2,558,213</w:t>
            </w:r>
          </w:p>
        </w:tc>
        <w:tc>
          <w:tcPr>
            <w:tcW w:w="132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2"/>
        </w:trPr>
        <w:tc>
          <w:tcPr>
            <w:tcW w:w="1480" w:type="dxa"/>
            <w:vAlign w:val="bottom"/>
            <w:tcBorders>
              <w:bottom w:val="single" w:sz="8" w:color="auto"/>
            </w:tcBorders>
            <w:shd w:val="clear" w:color="auto" w:fill="EDEDEE"/>
          </w:tcPr>
          <w:p>
            <w:pPr>
              <w:spacing w:after="0"/>
              <w:rPr>
                <w:sz w:val="10"/>
                <w:szCs w:val="10"/>
                <w:color w:val="auto"/>
              </w:rPr>
            </w:pPr>
          </w:p>
        </w:tc>
        <w:tc>
          <w:tcPr>
            <w:tcW w:w="1340" w:type="dxa"/>
            <w:vAlign w:val="bottom"/>
            <w:tcBorders>
              <w:bottom w:val="single" w:sz="8" w:color="auto"/>
            </w:tcBorders>
            <w:shd w:val="clear" w:color="auto" w:fill="EDEDEE"/>
          </w:tcPr>
          <w:p>
            <w:pPr>
              <w:jc w:val="right"/>
              <w:ind w:right="177"/>
              <w:spacing w:after="0" w:line="122" w:lineRule="exact"/>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shd w:val="clear" w:color="auto" w:fill="EDEDEE"/>
          </w:tcPr>
          <w:p>
            <w:pPr>
              <w:jc w:val="right"/>
              <w:ind w:right="197"/>
              <w:spacing w:after="0" w:line="122"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EDEDEE"/>
          </w:tcPr>
          <w:p>
            <w:pPr>
              <w:jc w:val="right"/>
              <w:ind w:right="137"/>
              <w:spacing w:after="0" w:line="122" w:lineRule="exact"/>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gridSpan w:val="2"/>
            <w:shd w:val="clear" w:color="auto" w:fill="EDEDEE"/>
          </w:tcPr>
          <w:p>
            <w:pPr>
              <w:jc w:val="right"/>
              <w:ind w:right="120"/>
              <w:spacing w:after="0" w:line="122" w:lineRule="exact"/>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shd w:val="clear" w:color="auto" w:fill="EDEDEE"/>
          </w:tcPr>
          <w:p>
            <w:pPr>
              <w:jc w:val="right"/>
              <w:ind w:right="197"/>
              <w:spacing w:after="0" w:line="122" w:lineRule="exact"/>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shd w:val="clear" w:color="auto" w:fill="EDEDEE"/>
          </w:tcPr>
          <w:p>
            <w:pPr>
              <w:jc w:val="right"/>
              <w:ind w:right="197"/>
              <w:spacing w:after="0" w:line="122" w:lineRule="exact"/>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shd w:val="clear" w:color="auto" w:fill="EDEDEE"/>
          </w:tcPr>
          <w:p>
            <w:pPr>
              <w:jc w:val="right"/>
              <w:ind w:right="197"/>
              <w:spacing w:after="0" w:line="122" w:lineRule="exact"/>
              <w:rPr>
                <w:sz w:val="20"/>
                <w:szCs w:val="20"/>
                <w:color w:val="auto"/>
              </w:rPr>
            </w:pPr>
            <w:r>
              <w:rPr>
                <w:rFonts w:ascii="Arial" w:cs="Arial" w:eastAsia="Arial" w:hAnsi="Arial"/>
                <w:sz w:val="13"/>
                <w:szCs w:val="13"/>
                <w:color w:val="auto"/>
              </w:rPr>
              <w:t>50,347</w:t>
            </w:r>
          </w:p>
        </w:tc>
        <w:tc>
          <w:tcPr>
            <w:tcW w:w="1080" w:type="dxa"/>
            <w:vAlign w:val="bottom"/>
            <w:tcBorders>
              <w:bottom w:val="single" w:sz="8" w:color="auto"/>
            </w:tcBorders>
            <w:shd w:val="clear" w:color="auto" w:fill="EDEDEE"/>
          </w:tcPr>
          <w:p>
            <w:pPr>
              <w:jc w:val="right"/>
              <w:spacing w:after="0" w:line="122" w:lineRule="exact"/>
              <w:rPr>
                <w:sz w:val="20"/>
                <w:szCs w:val="20"/>
                <w:color w:val="auto"/>
              </w:rPr>
            </w:pPr>
            <w:r>
              <w:rPr>
                <w:rFonts w:ascii="Arial" w:cs="Arial" w:eastAsia="Arial" w:hAnsi="Arial"/>
                <w:sz w:val="13"/>
                <w:szCs w:val="13"/>
                <w:color w:val="auto"/>
              </w:rPr>
              <w:t>530,582</w:t>
            </w:r>
          </w:p>
        </w:tc>
        <w:tc>
          <w:tcPr>
            <w:tcW w:w="80" w:type="dxa"/>
            <w:vAlign w:val="bottom"/>
            <w:tcBorders>
              <w:bottom w:val="single" w:sz="8" w:color="auto"/>
            </w:tcBorders>
            <w:shd w:val="clear" w:color="auto" w:fill="EDEDE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48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 Daniel A. Pryor</w:t>
            </w:r>
          </w:p>
        </w:tc>
        <w:tc>
          <w:tcPr>
            <w:tcW w:w="1340" w:type="dxa"/>
            <w:vAlign w:val="bottom"/>
          </w:tcPr>
          <w:p>
            <w:pPr>
              <w:jc w:val="right"/>
              <w:ind w:right="177"/>
              <w:spacing w:after="0" w:line="129" w:lineRule="exact"/>
              <w:rPr>
                <w:sz w:val="20"/>
                <w:szCs w:val="20"/>
                <w:color w:val="auto"/>
              </w:rPr>
            </w:pPr>
            <w:r>
              <w:rPr>
                <w:rFonts w:ascii="Arial" w:cs="Arial" w:eastAsia="Arial" w:hAnsi="Arial"/>
                <w:sz w:val="13"/>
                <w:szCs w:val="13"/>
                <w:color w:val="auto"/>
              </w:rPr>
              <w:t>61,974</w:t>
            </w:r>
          </w:p>
        </w:tc>
        <w:tc>
          <w:tcPr>
            <w:tcW w:w="1380" w:type="dxa"/>
            <w:vAlign w:val="bottom"/>
          </w:tcPr>
          <w:p>
            <w:pPr>
              <w:jc w:val="right"/>
              <w:ind w:right="197"/>
              <w:spacing w:after="0" w:line="129"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37"/>
              <w:spacing w:after="0" w:line="129" w:lineRule="exact"/>
              <w:rPr>
                <w:sz w:val="20"/>
                <w:szCs w:val="20"/>
                <w:color w:val="auto"/>
              </w:rPr>
            </w:pPr>
            <w:r>
              <w:rPr>
                <w:rFonts w:ascii="Arial" w:cs="Arial" w:eastAsia="Arial" w:hAnsi="Arial"/>
                <w:sz w:val="13"/>
                <w:szCs w:val="13"/>
                <w:color w:val="auto"/>
              </w:rPr>
              <w:t>45.69</w:t>
            </w:r>
          </w:p>
        </w:tc>
        <w:tc>
          <w:tcPr>
            <w:tcW w:w="940" w:type="dxa"/>
            <w:vAlign w:val="bottom"/>
            <w:gridSpan w:val="2"/>
          </w:tcPr>
          <w:p>
            <w:pPr>
              <w:jc w:val="right"/>
              <w:ind w:right="120"/>
              <w:spacing w:after="0" w:line="129" w:lineRule="exact"/>
              <w:rPr>
                <w:sz w:val="20"/>
                <w:szCs w:val="20"/>
                <w:color w:val="auto"/>
              </w:rPr>
            </w:pPr>
            <w:r>
              <w:rPr>
                <w:rFonts w:ascii="Arial" w:cs="Arial" w:eastAsia="Arial" w:hAnsi="Arial"/>
                <w:sz w:val="13"/>
                <w:szCs w:val="13"/>
                <w:color w:val="auto"/>
              </w:rPr>
              <w:t>2/24/2026</w:t>
            </w:r>
          </w:p>
        </w:tc>
        <w:tc>
          <w:tcPr>
            <w:tcW w:w="1220" w:type="dxa"/>
            <w:vAlign w:val="bottom"/>
          </w:tcPr>
          <w:p>
            <w:pPr>
              <w:jc w:val="right"/>
              <w:ind w:right="197"/>
              <w:spacing w:after="0" w:line="129" w:lineRule="exact"/>
              <w:rPr>
                <w:sz w:val="20"/>
                <w:szCs w:val="20"/>
                <w:color w:val="auto"/>
              </w:rPr>
            </w:pPr>
            <w:r>
              <w:rPr>
                <w:rFonts w:ascii="Arial" w:cs="Arial" w:eastAsia="Arial" w:hAnsi="Arial"/>
                <w:sz w:val="13"/>
                <w:szCs w:val="13"/>
                <w:color w:val="auto"/>
              </w:rPr>
              <w:t>—</w:t>
            </w:r>
          </w:p>
        </w:tc>
        <w:tc>
          <w:tcPr>
            <w:tcW w:w="1380" w:type="dxa"/>
            <w:vAlign w:val="bottom"/>
          </w:tcPr>
          <w:p>
            <w:pPr>
              <w:jc w:val="right"/>
              <w:ind w:right="197"/>
              <w:spacing w:after="0" w:line="129" w:lineRule="exact"/>
              <w:rPr>
                <w:sz w:val="20"/>
                <w:szCs w:val="20"/>
                <w:color w:val="auto"/>
              </w:rPr>
            </w:pPr>
            <w:r>
              <w:rPr>
                <w:rFonts w:ascii="Arial" w:cs="Arial" w:eastAsia="Arial" w:hAnsi="Arial"/>
                <w:sz w:val="13"/>
                <w:szCs w:val="13"/>
                <w:color w:val="auto"/>
              </w:rPr>
              <w:t>—</w:t>
            </w:r>
          </w:p>
        </w:tc>
        <w:tc>
          <w:tcPr>
            <w:tcW w:w="1320" w:type="dxa"/>
            <w:vAlign w:val="bottom"/>
          </w:tcPr>
          <w:p>
            <w:pPr>
              <w:jc w:val="right"/>
              <w:ind w:right="197"/>
              <w:spacing w:after="0" w:line="129" w:lineRule="exact"/>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80"/>
              <w:spacing w:after="0" w:line="12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480" w:type="dxa"/>
            <w:vAlign w:val="bottom"/>
            <w:shd w:val="clear" w:color="auto" w:fill="EDEDEE"/>
          </w:tcPr>
          <w:p>
            <w:pPr>
              <w:spacing w:after="0"/>
              <w:rPr>
                <w:sz w:val="11"/>
                <w:szCs w:val="11"/>
                <w:color w:val="auto"/>
              </w:rPr>
            </w:pPr>
          </w:p>
        </w:tc>
        <w:tc>
          <w:tcPr>
            <w:tcW w:w="1340" w:type="dxa"/>
            <w:vAlign w:val="bottom"/>
            <w:shd w:val="clear" w:color="auto" w:fill="EDEDEE"/>
          </w:tcPr>
          <w:p>
            <w:pPr>
              <w:jc w:val="right"/>
              <w:ind w:right="177"/>
              <w:spacing w:after="0" w:line="135" w:lineRule="exact"/>
              <w:rPr>
                <w:sz w:val="20"/>
                <w:szCs w:val="20"/>
                <w:color w:val="auto"/>
              </w:rPr>
            </w:pPr>
            <w:r>
              <w:rPr>
                <w:rFonts w:ascii="Arial" w:cs="Arial" w:eastAsia="Arial" w:hAnsi="Arial"/>
                <w:sz w:val="13"/>
                <w:szCs w:val="13"/>
                <w:color w:val="auto"/>
              </w:rPr>
              <w:t>22,503</w:t>
            </w:r>
          </w:p>
        </w:tc>
        <w:tc>
          <w:tcPr>
            <w:tcW w:w="1380" w:type="dxa"/>
            <w:vAlign w:val="bottom"/>
            <w:shd w:val="clear" w:color="auto" w:fill="EDEDEE"/>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EDEDEE"/>
          </w:tcPr>
          <w:p>
            <w:pPr>
              <w:jc w:val="right"/>
              <w:ind w:right="137"/>
              <w:spacing w:after="0" w:line="135" w:lineRule="exact"/>
              <w:rPr>
                <w:sz w:val="20"/>
                <w:szCs w:val="20"/>
                <w:color w:val="auto"/>
              </w:rPr>
            </w:pPr>
            <w:r>
              <w:rPr>
                <w:rFonts w:ascii="Arial" w:cs="Arial" w:eastAsia="Arial" w:hAnsi="Arial"/>
                <w:sz w:val="13"/>
                <w:szCs w:val="13"/>
                <w:color w:val="auto"/>
              </w:rPr>
              <w:t>64.03</w:t>
            </w:r>
          </w:p>
        </w:tc>
        <w:tc>
          <w:tcPr>
            <w:tcW w:w="940" w:type="dxa"/>
            <w:vAlign w:val="bottom"/>
            <w:gridSpan w:val="2"/>
            <w:shd w:val="clear" w:color="auto" w:fill="EDEDEE"/>
          </w:tcPr>
          <w:p>
            <w:pPr>
              <w:jc w:val="right"/>
              <w:ind w:right="120"/>
              <w:spacing w:after="0" w:line="135" w:lineRule="exact"/>
              <w:rPr>
                <w:sz w:val="20"/>
                <w:szCs w:val="20"/>
                <w:color w:val="auto"/>
              </w:rPr>
            </w:pPr>
            <w:r>
              <w:rPr>
                <w:rFonts w:ascii="Arial" w:cs="Arial" w:eastAsia="Arial" w:hAnsi="Arial"/>
                <w:sz w:val="13"/>
                <w:szCs w:val="13"/>
                <w:color w:val="auto"/>
              </w:rPr>
              <w:t>2/23/2027</w:t>
            </w:r>
          </w:p>
        </w:tc>
        <w:tc>
          <w:tcPr>
            <w:tcW w:w="1220" w:type="dxa"/>
            <w:vAlign w:val="bottom"/>
            <w:shd w:val="clear" w:color="auto" w:fill="EDEDEE"/>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380" w:type="dxa"/>
            <w:vAlign w:val="bottom"/>
            <w:shd w:val="clear" w:color="auto" w:fill="EDEDEE"/>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320" w:type="dxa"/>
            <w:vAlign w:val="bottom"/>
            <w:shd w:val="clear" w:color="auto" w:fill="EDEDEE"/>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160" w:type="dxa"/>
            <w:vAlign w:val="bottom"/>
            <w:gridSpan w:val="2"/>
            <w:shd w:val="clear" w:color="auto" w:fill="EDEDEE"/>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134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16,763</w:t>
            </w:r>
          </w:p>
        </w:tc>
        <w:tc>
          <w:tcPr>
            <w:tcW w:w="13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76.34</w:t>
            </w: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2/21/2028</w:t>
            </w:r>
          </w:p>
        </w:tc>
        <w:tc>
          <w:tcPr>
            <w:tcW w:w="122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3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32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480" w:type="dxa"/>
            <w:vAlign w:val="bottom"/>
            <w:shd w:val="clear" w:color="auto" w:fill="EDEDEE"/>
          </w:tcPr>
          <w:p>
            <w:pPr>
              <w:spacing w:after="0"/>
              <w:rPr>
                <w:sz w:val="11"/>
                <w:szCs w:val="11"/>
                <w:color w:val="auto"/>
              </w:rPr>
            </w:pPr>
          </w:p>
        </w:tc>
        <w:tc>
          <w:tcPr>
            <w:tcW w:w="1340" w:type="dxa"/>
            <w:vAlign w:val="bottom"/>
            <w:shd w:val="clear" w:color="auto" w:fill="EDEDEE"/>
          </w:tcPr>
          <w:p>
            <w:pPr>
              <w:jc w:val="right"/>
              <w:ind w:right="177"/>
              <w:spacing w:after="0" w:line="135" w:lineRule="exact"/>
              <w:rPr>
                <w:sz w:val="20"/>
                <w:szCs w:val="20"/>
                <w:color w:val="auto"/>
              </w:rPr>
            </w:pPr>
            <w:r>
              <w:rPr>
                <w:rFonts w:ascii="Arial" w:cs="Arial" w:eastAsia="Arial" w:hAnsi="Arial"/>
                <w:sz w:val="13"/>
                <w:szCs w:val="13"/>
                <w:color w:val="auto"/>
              </w:rPr>
              <w:t>18,254</w:t>
            </w:r>
          </w:p>
        </w:tc>
        <w:tc>
          <w:tcPr>
            <w:tcW w:w="1380" w:type="dxa"/>
            <w:vAlign w:val="bottom"/>
            <w:shd w:val="clear" w:color="auto" w:fill="EDEDEE"/>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EDEDEE"/>
          </w:tcPr>
          <w:p>
            <w:pPr>
              <w:jc w:val="right"/>
              <w:ind w:right="137"/>
              <w:spacing w:after="0" w:line="135" w:lineRule="exact"/>
              <w:rPr>
                <w:sz w:val="20"/>
                <w:szCs w:val="20"/>
                <w:color w:val="auto"/>
              </w:rPr>
            </w:pPr>
            <w:r>
              <w:rPr>
                <w:rFonts w:ascii="Arial" w:cs="Arial" w:eastAsia="Arial" w:hAnsi="Arial"/>
                <w:sz w:val="13"/>
                <w:szCs w:val="13"/>
                <w:color w:val="auto"/>
              </w:rPr>
              <w:t>70.88</w:t>
            </w:r>
          </w:p>
        </w:tc>
        <w:tc>
          <w:tcPr>
            <w:tcW w:w="940" w:type="dxa"/>
            <w:vAlign w:val="bottom"/>
            <w:gridSpan w:val="2"/>
            <w:shd w:val="clear" w:color="auto" w:fill="EDEDEE"/>
          </w:tcPr>
          <w:p>
            <w:pPr>
              <w:jc w:val="right"/>
              <w:ind w:right="120"/>
              <w:spacing w:after="0" w:line="135" w:lineRule="exact"/>
              <w:rPr>
                <w:sz w:val="20"/>
                <w:szCs w:val="20"/>
                <w:color w:val="auto"/>
              </w:rPr>
            </w:pPr>
            <w:r>
              <w:rPr>
                <w:rFonts w:ascii="Arial" w:cs="Arial" w:eastAsia="Arial" w:hAnsi="Arial"/>
                <w:sz w:val="13"/>
                <w:szCs w:val="13"/>
                <w:color w:val="auto"/>
              </w:rPr>
              <w:t>2/16/2029</w:t>
            </w:r>
          </w:p>
        </w:tc>
        <w:tc>
          <w:tcPr>
            <w:tcW w:w="1220" w:type="dxa"/>
            <w:vAlign w:val="bottom"/>
            <w:shd w:val="clear" w:color="auto" w:fill="EDEDEE"/>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380" w:type="dxa"/>
            <w:vAlign w:val="bottom"/>
            <w:shd w:val="clear" w:color="auto" w:fill="EDEDEE"/>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320" w:type="dxa"/>
            <w:vAlign w:val="bottom"/>
            <w:shd w:val="clear" w:color="auto" w:fill="EDEDEE"/>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160" w:type="dxa"/>
            <w:vAlign w:val="bottom"/>
            <w:gridSpan w:val="2"/>
            <w:shd w:val="clear" w:color="auto" w:fill="EDEDEE"/>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134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12,428</w:t>
            </w:r>
          </w:p>
        </w:tc>
        <w:tc>
          <w:tcPr>
            <w:tcW w:w="13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6,214</w:t>
            </w:r>
          </w:p>
        </w:tc>
        <w:tc>
          <w:tcPr>
            <w:tcW w:w="80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57.62</w:t>
            </w: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2/27/2030</w:t>
            </w:r>
          </w:p>
        </w:tc>
        <w:tc>
          <w:tcPr>
            <w:tcW w:w="122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3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32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480" w:type="dxa"/>
            <w:vAlign w:val="bottom"/>
            <w:shd w:val="clear" w:color="auto" w:fill="EDEDEE"/>
          </w:tcPr>
          <w:p>
            <w:pPr>
              <w:spacing w:after="0"/>
              <w:rPr>
                <w:sz w:val="11"/>
                <w:szCs w:val="11"/>
                <w:color w:val="auto"/>
              </w:rPr>
            </w:pPr>
          </w:p>
        </w:tc>
        <w:tc>
          <w:tcPr>
            <w:tcW w:w="1340" w:type="dxa"/>
            <w:vAlign w:val="bottom"/>
            <w:shd w:val="clear" w:color="auto" w:fill="EDEDEE"/>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380" w:type="dxa"/>
            <w:vAlign w:val="bottom"/>
            <w:shd w:val="clear" w:color="auto" w:fill="EDEDEE"/>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EDEDEE"/>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EDEDEE"/>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20" w:type="dxa"/>
            <w:vAlign w:val="bottom"/>
            <w:shd w:val="clear" w:color="auto" w:fill="EDEDEE"/>
          </w:tcPr>
          <w:p>
            <w:pPr>
              <w:jc w:val="right"/>
              <w:ind w:right="197"/>
              <w:spacing w:after="0" w:line="135" w:lineRule="exact"/>
              <w:rPr>
                <w:sz w:val="20"/>
                <w:szCs w:val="20"/>
                <w:color w:val="auto"/>
              </w:rPr>
            </w:pPr>
            <w:r>
              <w:rPr>
                <w:rFonts w:ascii="Arial" w:cs="Arial" w:eastAsia="Arial" w:hAnsi="Arial"/>
                <w:sz w:val="13"/>
                <w:szCs w:val="13"/>
                <w:color w:val="auto"/>
              </w:rPr>
              <w:t>45,565</w:t>
            </w:r>
          </w:p>
        </w:tc>
        <w:tc>
          <w:tcPr>
            <w:tcW w:w="1380" w:type="dxa"/>
            <w:vAlign w:val="bottom"/>
            <w:shd w:val="clear" w:color="auto" w:fill="EDEDEE"/>
          </w:tcPr>
          <w:p>
            <w:pPr>
              <w:jc w:val="right"/>
              <w:ind w:right="197"/>
              <w:spacing w:after="0" w:line="135" w:lineRule="exact"/>
              <w:rPr>
                <w:sz w:val="20"/>
                <w:szCs w:val="20"/>
                <w:color w:val="auto"/>
              </w:rPr>
            </w:pPr>
            <w:r>
              <w:rPr>
                <w:rFonts w:ascii="Arial" w:cs="Arial" w:eastAsia="Arial" w:hAnsi="Arial"/>
                <w:sz w:val="13"/>
                <w:szCs w:val="13"/>
                <w:color w:val="auto"/>
              </w:rPr>
              <w:t>1,213,852</w:t>
            </w:r>
          </w:p>
        </w:tc>
        <w:tc>
          <w:tcPr>
            <w:tcW w:w="1320" w:type="dxa"/>
            <w:vAlign w:val="bottom"/>
            <w:shd w:val="clear" w:color="auto" w:fill="EDEDEE"/>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160" w:type="dxa"/>
            <w:vAlign w:val="bottom"/>
            <w:gridSpan w:val="2"/>
            <w:shd w:val="clear" w:color="auto" w:fill="EDEDEE"/>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2"/>
        </w:trPr>
        <w:tc>
          <w:tcPr>
            <w:tcW w:w="14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right"/>
              <w:ind w:right="177"/>
              <w:spacing w:after="0" w:line="122" w:lineRule="exact"/>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tcPr>
          <w:p>
            <w:pPr>
              <w:jc w:val="right"/>
              <w:ind w:right="197"/>
              <w:spacing w:after="0" w:line="122"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137"/>
              <w:spacing w:after="0" w:line="122" w:lineRule="exact"/>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gridSpan w:val="2"/>
          </w:tcPr>
          <w:p>
            <w:pPr>
              <w:jc w:val="right"/>
              <w:ind w:right="120"/>
              <w:spacing w:after="0" w:line="122" w:lineRule="exact"/>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ind w:right="197"/>
              <w:spacing w:after="0" w:line="122" w:lineRule="exact"/>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tcPr>
          <w:p>
            <w:pPr>
              <w:jc w:val="right"/>
              <w:ind w:right="197"/>
              <w:spacing w:after="0" w:line="122" w:lineRule="exact"/>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tcPr>
          <w:p>
            <w:pPr>
              <w:jc w:val="right"/>
              <w:ind w:right="197"/>
              <w:spacing w:after="0" w:line="122" w:lineRule="exact"/>
              <w:rPr>
                <w:sz w:val="20"/>
                <w:szCs w:val="20"/>
                <w:color w:val="auto"/>
              </w:rPr>
            </w:pPr>
            <w:r>
              <w:rPr>
                <w:rFonts w:ascii="Arial" w:cs="Arial" w:eastAsia="Arial" w:hAnsi="Arial"/>
                <w:sz w:val="13"/>
                <w:szCs w:val="13"/>
                <w:color w:val="auto"/>
              </w:rPr>
              <w:t>55,981</w:t>
            </w:r>
          </w:p>
        </w:tc>
        <w:tc>
          <w:tcPr>
            <w:tcW w:w="10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527,307</w:t>
            </w:r>
          </w:p>
        </w:tc>
        <w:tc>
          <w:tcPr>
            <w:tcW w:w="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1480" w:type="dxa"/>
            <w:vAlign w:val="bottom"/>
            <w:tcBorders>
              <w:bottom w:val="single" w:sz="8" w:color="EDEDEE"/>
            </w:tcBorders>
            <w:shd w:val="clear" w:color="auto" w:fill="EDEDEE"/>
          </w:tcPr>
          <w:p>
            <w:pPr>
              <w:spacing w:after="0"/>
              <w:rPr>
                <w:sz w:val="20"/>
                <w:szCs w:val="20"/>
                <w:color w:val="auto"/>
              </w:rPr>
            </w:pPr>
            <w:r>
              <w:rPr>
                <w:rFonts w:ascii="Arial" w:cs="Arial" w:eastAsia="Arial" w:hAnsi="Arial"/>
                <w:sz w:val="13"/>
                <w:szCs w:val="13"/>
                <w:b w:val="1"/>
                <w:bCs w:val="1"/>
                <w:color w:val="auto"/>
              </w:rPr>
              <w:t>Terry Ross</w:t>
            </w:r>
          </w:p>
        </w:tc>
        <w:tc>
          <w:tcPr>
            <w:tcW w:w="1340" w:type="dxa"/>
            <w:vAlign w:val="bottom"/>
            <w:tcBorders>
              <w:bottom w:val="single" w:sz="8" w:color="EDEDEE"/>
            </w:tcBorders>
            <w:shd w:val="clear" w:color="auto" w:fill="EDEDEE"/>
          </w:tcPr>
          <w:p>
            <w:pPr>
              <w:jc w:val="right"/>
              <w:ind w:right="177"/>
              <w:spacing w:after="0"/>
              <w:rPr>
                <w:sz w:val="20"/>
                <w:szCs w:val="20"/>
                <w:color w:val="auto"/>
              </w:rPr>
            </w:pPr>
            <w:r>
              <w:rPr>
                <w:rFonts w:ascii="Arial" w:cs="Arial" w:eastAsia="Arial" w:hAnsi="Arial"/>
                <w:sz w:val="13"/>
                <w:szCs w:val="13"/>
                <w:color w:val="auto"/>
              </w:rPr>
              <w:t>5,862</w:t>
            </w:r>
          </w:p>
        </w:tc>
        <w:tc>
          <w:tcPr>
            <w:tcW w:w="1380" w:type="dxa"/>
            <w:vAlign w:val="bottom"/>
            <w:tcBorders>
              <w:bottom w:val="single" w:sz="8" w:color="EDEDEE"/>
            </w:tcBorders>
            <w:shd w:val="clear" w:color="auto" w:fill="EDEDEE"/>
          </w:tcPr>
          <w:p>
            <w:pPr>
              <w:jc w:val="right"/>
              <w:ind w:right="19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EDEDEE"/>
            </w:tcBorders>
            <w:shd w:val="clear" w:color="auto" w:fill="EDEDEE"/>
          </w:tcPr>
          <w:p>
            <w:pPr>
              <w:jc w:val="right"/>
              <w:ind w:right="137"/>
              <w:spacing w:after="0"/>
              <w:rPr>
                <w:sz w:val="20"/>
                <w:szCs w:val="20"/>
                <w:color w:val="auto"/>
              </w:rPr>
            </w:pPr>
            <w:r>
              <w:rPr>
                <w:rFonts w:ascii="Arial" w:cs="Arial" w:eastAsia="Arial" w:hAnsi="Arial"/>
                <w:sz w:val="13"/>
                <w:szCs w:val="13"/>
                <w:color w:val="auto"/>
              </w:rPr>
              <w:t>45.69</w:t>
            </w:r>
          </w:p>
        </w:tc>
        <w:tc>
          <w:tcPr>
            <w:tcW w:w="940" w:type="dxa"/>
            <w:vAlign w:val="bottom"/>
            <w:tcBorders>
              <w:bottom w:val="single" w:sz="8" w:color="EDEDEE"/>
            </w:tcBorders>
            <w:gridSpan w:val="2"/>
            <w:shd w:val="clear" w:color="auto" w:fill="EDEDEE"/>
          </w:tcPr>
          <w:p>
            <w:pPr>
              <w:jc w:val="right"/>
              <w:ind w:right="120"/>
              <w:spacing w:after="0"/>
              <w:rPr>
                <w:sz w:val="20"/>
                <w:szCs w:val="20"/>
                <w:color w:val="auto"/>
              </w:rPr>
            </w:pPr>
            <w:r>
              <w:rPr>
                <w:rFonts w:ascii="Arial" w:cs="Arial" w:eastAsia="Arial" w:hAnsi="Arial"/>
                <w:sz w:val="13"/>
                <w:szCs w:val="13"/>
                <w:color w:val="auto"/>
              </w:rPr>
              <w:t>2/24/2026</w:t>
            </w:r>
          </w:p>
        </w:tc>
        <w:tc>
          <w:tcPr>
            <w:tcW w:w="1220" w:type="dxa"/>
            <w:vAlign w:val="bottom"/>
            <w:tcBorders>
              <w:bottom w:val="single" w:sz="8" w:color="EDEDEE"/>
            </w:tcBorders>
            <w:shd w:val="clear" w:color="auto" w:fill="EDEDEE"/>
          </w:tcPr>
          <w:p>
            <w:pPr>
              <w:jc w:val="right"/>
              <w:ind w:right="197"/>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EDEDEE"/>
            </w:tcBorders>
            <w:shd w:val="clear" w:color="auto" w:fill="EDEDEE"/>
          </w:tcPr>
          <w:p>
            <w:pPr>
              <w:jc w:val="right"/>
              <w:ind w:right="197"/>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EDEDEE"/>
            </w:tcBorders>
            <w:shd w:val="clear" w:color="auto" w:fill="EDEDEE"/>
          </w:tcPr>
          <w:p>
            <w:pPr>
              <w:jc w:val="right"/>
              <w:ind w:right="197"/>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EDEDEE"/>
            </w:tcBorders>
            <w:gridSpan w:val="2"/>
            <w:shd w:val="clear" w:color="auto" w:fill="EDEDEE"/>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340" w:type="dxa"/>
            <w:vAlign w:val="bottom"/>
          </w:tcPr>
          <w:p>
            <w:pPr>
              <w:jc w:val="right"/>
              <w:ind w:right="177"/>
              <w:spacing w:after="0"/>
              <w:rPr>
                <w:sz w:val="20"/>
                <w:szCs w:val="20"/>
                <w:color w:val="auto"/>
              </w:rPr>
            </w:pPr>
            <w:r>
              <w:rPr>
                <w:rFonts w:ascii="Arial" w:cs="Arial" w:eastAsia="Arial" w:hAnsi="Arial"/>
                <w:sz w:val="13"/>
                <w:szCs w:val="13"/>
                <w:color w:val="auto"/>
              </w:rPr>
              <w:t>4,257</w:t>
            </w:r>
          </w:p>
        </w:tc>
        <w:tc>
          <w:tcPr>
            <w:tcW w:w="138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7"/>
              <w:spacing w:after="0"/>
              <w:rPr>
                <w:sz w:val="20"/>
                <w:szCs w:val="20"/>
                <w:color w:val="auto"/>
              </w:rPr>
            </w:pPr>
            <w:r>
              <w:rPr>
                <w:rFonts w:ascii="Arial" w:cs="Arial" w:eastAsia="Arial" w:hAnsi="Arial"/>
                <w:sz w:val="13"/>
                <w:szCs w:val="13"/>
                <w:color w:val="auto"/>
              </w:rPr>
              <w:t>64.03</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2/23/2027</w:t>
            </w:r>
          </w:p>
        </w:tc>
        <w:tc>
          <w:tcPr>
            <w:tcW w:w="122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1480" w:type="dxa"/>
            <w:vAlign w:val="bottom"/>
            <w:shd w:val="clear" w:color="auto" w:fill="EDEDEE"/>
          </w:tcPr>
          <w:p>
            <w:pPr>
              <w:spacing w:after="0"/>
              <w:rPr>
                <w:sz w:val="18"/>
                <w:szCs w:val="18"/>
                <w:color w:val="auto"/>
              </w:rPr>
            </w:pPr>
          </w:p>
        </w:tc>
        <w:tc>
          <w:tcPr>
            <w:tcW w:w="1340" w:type="dxa"/>
            <w:vAlign w:val="bottom"/>
            <w:shd w:val="clear" w:color="auto" w:fill="EDEDEE"/>
          </w:tcPr>
          <w:p>
            <w:pPr>
              <w:jc w:val="right"/>
              <w:ind w:right="177"/>
              <w:spacing w:after="0"/>
              <w:rPr>
                <w:sz w:val="20"/>
                <w:szCs w:val="20"/>
                <w:color w:val="auto"/>
              </w:rPr>
            </w:pPr>
            <w:r>
              <w:rPr>
                <w:rFonts w:ascii="Arial" w:cs="Arial" w:eastAsia="Arial" w:hAnsi="Arial"/>
                <w:sz w:val="13"/>
                <w:szCs w:val="13"/>
                <w:color w:val="auto"/>
              </w:rPr>
              <w:t>6,343</w:t>
            </w:r>
          </w:p>
        </w:tc>
        <w:tc>
          <w:tcPr>
            <w:tcW w:w="1380" w:type="dxa"/>
            <w:vAlign w:val="bottom"/>
            <w:shd w:val="clear" w:color="auto" w:fill="EDEDEE"/>
          </w:tcPr>
          <w:p>
            <w:pPr>
              <w:jc w:val="right"/>
              <w:ind w:right="197"/>
              <w:spacing w:after="0"/>
              <w:rPr>
                <w:sz w:val="20"/>
                <w:szCs w:val="20"/>
                <w:color w:val="auto"/>
              </w:rPr>
            </w:pPr>
            <w:r>
              <w:rPr>
                <w:rFonts w:ascii="Arial" w:cs="Arial" w:eastAsia="Arial" w:hAnsi="Arial"/>
                <w:sz w:val="13"/>
                <w:szCs w:val="13"/>
                <w:color w:val="auto"/>
              </w:rPr>
              <w:t>—</w:t>
            </w:r>
          </w:p>
        </w:tc>
        <w:tc>
          <w:tcPr>
            <w:tcW w:w="800" w:type="dxa"/>
            <w:vAlign w:val="bottom"/>
            <w:shd w:val="clear" w:color="auto" w:fill="EDEDEE"/>
          </w:tcPr>
          <w:p>
            <w:pPr>
              <w:jc w:val="right"/>
              <w:ind w:right="137"/>
              <w:spacing w:after="0"/>
              <w:rPr>
                <w:sz w:val="20"/>
                <w:szCs w:val="20"/>
                <w:color w:val="auto"/>
              </w:rPr>
            </w:pPr>
            <w:r>
              <w:rPr>
                <w:rFonts w:ascii="Arial" w:cs="Arial" w:eastAsia="Arial" w:hAnsi="Arial"/>
                <w:sz w:val="13"/>
                <w:szCs w:val="13"/>
                <w:color w:val="auto"/>
              </w:rPr>
              <w:t>76.34</w:t>
            </w:r>
          </w:p>
        </w:tc>
        <w:tc>
          <w:tcPr>
            <w:tcW w:w="940" w:type="dxa"/>
            <w:vAlign w:val="bottom"/>
            <w:gridSpan w:val="2"/>
            <w:shd w:val="clear" w:color="auto" w:fill="EDEDEE"/>
          </w:tcPr>
          <w:p>
            <w:pPr>
              <w:jc w:val="right"/>
              <w:ind w:right="120"/>
              <w:spacing w:after="0"/>
              <w:rPr>
                <w:sz w:val="20"/>
                <w:szCs w:val="20"/>
                <w:color w:val="auto"/>
              </w:rPr>
            </w:pPr>
            <w:r>
              <w:rPr>
                <w:rFonts w:ascii="Arial" w:cs="Arial" w:eastAsia="Arial" w:hAnsi="Arial"/>
                <w:sz w:val="13"/>
                <w:szCs w:val="13"/>
                <w:color w:val="auto"/>
              </w:rPr>
              <w:t>2/21/2028</w:t>
            </w:r>
          </w:p>
        </w:tc>
        <w:tc>
          <w:tcPr>
            <w:tcW w:w="1220" w:type="dxa"/>
            <w:vAlign w:val="bottom"/>
            <w:shd w:val="clear" w:color="auto" w:fill="EDEDEE"/>
          </w:tcPr>
          <w:p>
            <w:pPr>
              <w:jc w:val="right"/>
              <w:ind w:right="197"/>
              <w:spacing w:after="0"/>
              <w:rPr>
                <w:sz w:val="20"/>
                <w:szCs w:val="20"/>
                <w:color w:val="auto"/>
              </w:rPr>
            </w:pPr>
            <w:r>
              <w:rPr>
                <w:rFonts w:ascii="Arial" w:cs="Arial" w:eastAsia="Arial" w:hAnsi="Arial"/>
                <w:sz w:val="13"/>
                <w:szCs w:val="13"/>
                <w:color w:val="auto"/>
              </w:rPr>
              <w:t>—</w:t>
            </w:r>
          </w:p>
        </w:tc>
        <w:tc>
          <w:tcPr>
            <w:tcW w:w="1380" w:type="dxa"/>
            <w:vAlign w:val="bottom"/>
            <w:shd w:val="clear" w:color="auto" w:fill="EDEDEE"/>
          </w:tcPr>
          <w:p>
            <w:pPr>
              <w:jc w:val="right"/>
              <w:ind w:right="197"/>
              <w:spacing w:after="0"/>
              <w:rPr>
                <w:sz w:val="20"/>
                <w:szCs w:val="20"/>
                <w:color w:val="auto"/>
              </w:rPr>
            </w:pPr>
            <w:r>
              <w:rPr>
                <w:rFonts w:ascii="Arial" w:cs="Arial" w:eastAsia="Arial" w:hAnsi="Arial"/>
                <w:sz w:val="13"/>
                <w:szCs w:val="13"/>
                <w:color w:val="auto"/>
              </w:rPr>
              <w:t>—</w:t>
            </w:r>
          </w:p>
        </w:tc>
        <w:tc>
          <w:tcPr>
            <w:tcW w:w="1320" w:type="dxa"/>
            <w:vAlign w:val="bottom"/>
            <w:shd w:val="clear" w:color="auto" w:fill="EDEDEE"/>
          </w:tcPr>
          <w:p>
            <w:pPr>
              <w:jc w:val="right"/>
              <w:ind w:right="197"/>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EDEDEE"/>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340" w:type="dxa"/>
            <w:vAlign w:val="bottom"/>
          </w:tcPr>
          <w:p>
            <w:pPr>
              <w:jc w:val="right"/>
              <w:ind w:right="177"/>
              <w:spacing w:after="0"/>
              <w:rPr>
                <w:sz w:val="20"/>
                <w:szCs w:val="20"/>
                <w:color w:val="auto"/>
              </w:rPr>
            </w:pPr>
            <w:r>
              <w:rPr>
                <w:rFonts w:ascii="Arial" w:cs="Arial" w:eastAsia="Arial" w:hAnsi="Arial"/>
                <w:sz w:val="13"/>
                <w:szCs w:val="13"/>
                <w:color w:val="auto"/>
              </w:rPr>
              <w:t>1,785</w:t>
            </w:r>
          </w:p>
        </w:tc>
        <w:tc>
          <w:tcPr>
            <w:tcW w:w="1380" w:type="dxa"/>
            <w:vAlign w:val="bottom"/>
          </w:tcPr>
          <w:p>
            <w:pPr>
              <w:jc w:val="right"/>
              <w:ind w:right="197"/>
              <w:spacing w:after="0"/>
              <w:rPr>
                <w:sz w:val="20"/>
                <w:szCs w:val="20"/>
                <w:color w:val="auto"/>
              </w:rPr>
            </w:pPr>
            <w:r>
              <w:rPr>
                <w:rFonts w:ascii="Arial" w:cs="Arial" w:eastAsia="Arial" w:hAnsi="Arial"/>
                <w:sz w:val="13"/>
                <w:szCs w:val="13"/>
                <w:color w:val="auto"/>
              </w:rPr>
              <w:t>892</w:t>
            </w:r>
          </w:p>
        </w:tc>
        <w:tc>
          <w:tcPr>
            <w:tcW w:w="800" w:type="dxa"/>
            <w:vAlign w:val="bottom"/>
          </w:tcPr>
          <w:p>
            <w:pPr>
              <w:jc w:val="right"/>
              <w:ind w:right="137"/>
              <w:spacing w:after="0"/>
              <w:rPr>
                <w:sz w:val="20"/>
                <w:szCs w:val="20"/>
                <w:color w:val="auto"/>
              </w:rPr>
            </w:pPr>
            <w:r>
              <w:rPr>
                <w:rFonts w:ascii="Arial" w:cs="Arial" w:eastAsia="Arial" w:hAnsi="Arial"/>
                <w:sz w:val="13"/>
                <w:szCs w:val="13"/>
                <w:color w:val="auto"/>
              </w:rPr>
              <w:t>57.62</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2/27/2030</w:t>
            </w:r>
          </w:p>
        </w:tc>
        <w:tc>
          <w:tcPr>
            <w:tcW w:w="122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1480" w:type="dxa"/>
            <w:vAlign w:val="bottom"/>
            <w:shd w:val="clear" w:color="auto" w:fill="EDEDEE"/>
          </w:tcPr>
          <w:p>
            <w:pPr>
              <w:spacing w:after="0"/>
              <w:rPr>
                <w:sz w:val="18"/>
                <w:szCs w:val="18"/>
                <w:color w:val="auto"/>
              </w:rPr>
            </w:pPr>
          </w:p>
        </w:tc>
        <w:tc>
          <w:tcPr>
            <w:tcW w:w="1340" w:type="dxa"/>
            <w:vAlign w:val="bottom"/>
            <w:shd w:val="clear" w:color="auto" w:fill="EDEDEE"/>
          </w:tcPr>
          <w:p>
            <w:pPr>
              <w:jc w:val="right"/>
              <w:ind w:right="177"/>
              <w:spacing w:after="0"/>
              <w:rPr>
                <w:sz w:val="20"/>
                <w:szCs w:val="20"/>
                <w:color w:val="auto"/>
              </w:rPr>
            </w:pPr>
            <w:r>
              <w:rPr>
                <w:rFonts w:ascii="Arial" w:cs="Arial" w:eastAsia="Arial" w:hAnsi="Arial"/>
                <w:sz w:val="13"/>
                <w:szCs w:val="13"/>
                <w:color w:val="auto"/>
              </w:rPr>
              <w:t>—</w:t>
            </w:r>
          </w:p>
        </w:tc>
        <w:tc>
          <w:tcPr>
            <w:tcW w:w="1380" w:type="dxa"/>
            <w:vAlign w:val="bottom"/>
            <w:shd w:val="clear" w:color="auto" w:fill="EDEDEE"/>
          </w:tcPr>
          <w:p>
            <w:pPr>
              <w:jc w:val="right"/>
              <w:ind w:right="197"/>
              <w:spacing w:after="0"/>
              <w:rPr>
                <w:sz w:val="20"/>
                <w:szCs w:val="20"/>
                <w:color w:val="auto"/>
              </w:rPr>
            </w:pPr>
            <w:r>
              <w:rPr>
                <w:rFonts w:ascii="Arial" w:cs="Arial" w:eastAsia="Arial" w:hAnsi="Arial"/>
                <w:sz w:val="13"/>
                <w:szCs w:val="13"/>
                <w:color w:val="auto"/>
              </w:rPr>
              <w:t>—</w:t>
            </w:r>
          </w:p>
        </w:tc>
        <w:tc>
          <w:tcPr>
            <w:tcW w:w="800" w:type="dxa"/>
            <w:vAlign w:val="bottom"/>
            <w:shd w:val="clear" w:color="auto" w:fill="EDEDEE"/>
          </w:tcPr>
          <w:p>
            <w:pPr>
              <w:jc w:val="right"/>
              <w:ind w:right="137"/>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EDEDEE"/>
          </w:tcPr>
          <w:p>
            <w:pPr>
              <w:jc w:val="right"/>
              <w:ind w:right="120"/>
              <w:spacing w:after="0"/>
              <w:rPr>
                <w:sz w:val="20"/>
                <w:szCs w:val="20"/>
                <w:color w:val="auto"/>
              </w:rPr>
            </w:pPr>
            <w:r>
              <w:rPr>
                <w:rFonts w:ascii="Arial" w:cs="Arial" w:eastAsia="Arial" w:hAnsi="Arial"/>
                <w:sz w:val="13"/>
                <w:szCs w:val="13"/>
                <w:color w:val="auto"/>
              </w:rPr>
              <w:t>—</w:t>
            </w:r>
          </w:p>
        </w:tc>
        <w:tc>
          <w:tcPr>
            <w:tcW w:w="1220" w:type="dxa"/>
            <w:vAlign w:val="bottom"/>
            <w:shd w:val="clear" w:color="auto" w:fill="EDEDEE"/>
          </w:tcPr>
          <w:p>
            <w:pPr>
              <w:jc w:val="right"/>
              <w:ind w:right="197"/>
              <w:spacing w:after="0"/>
              <w:rPr>
                <w:sz w:val="20"/>
                <w:szCs w:val="20"/>
                <w:color w:val="auto"/>
              </w:rPr>
            </w:pPr>
            <w:r>
              <w:rPr>
                <w:rFonts w:ascii="Arial" w:cs="Arial" w:eastAsia="Arial" w:hAnsi="Arial"/>
                <w:sz w:val="13"/>
                <w:szCs w:val="13"/>
                <w:color w:val="auto"/>
              </w:rPr>
              <w:t>23,363</w:t>
            </w:r>
          </w:p>
        </w:tc>
        <w:tc>
          <w:tcPr>
            <w:tcW w:w="1380" w:type="dxa"/>
            <w:vAlign w:val="bottom"/>
            <w:shd w:val="clear" w:color="auto" w:fill="EDEDEE"/>
          </w:tcPr>
          <w:p>
            <w:pPr>
              <w:jc w:val="right"/>
              <w:ind w:right="197"/>
              <w:spacing w:after="0"/>
              <w:rPr>
                <w:sz w:val="20"/>
                <w:szCs w:val="20"/>
                <w:color w:val="auto"/>
              </w:rPr>
            </w:pPr>
            <w:r>
              <w:rPr>
                <w:rFonts w:ascii="Arial" w:cs="Arial" w:eastAsia="Arial" w:hAnsi="Arial"/>
                <w:sz w:val="13"/>
                <w:szCs w:val="13"/>
                <w:color w:val="auto"/>
              </w:rPr>
              <w:t>622,390</w:t>
            </w:r>
          </w:p>
        </w:tc>
        <w:tc>
          <w:tcPr>
            <w:tcW w:w="1320" w:type="dxa"/>
            <w:vAlign w:val="bottom"/>
            <w:shd w:val="clear" w:color="auto" w:fill="EDEDEE"/>
          </w:tcPr>
          <w:p>
            <w:pPr>
              <w:jc w:val="right"/>
              <w:ind w:right="197"/>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EDEDEE"/>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1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24,303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348,771</w:t>
            </w: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1480" w:type="dxa"/>
            <w:vAlign w:val="bottom"/>
            <w:shd w:val="clear" w:color="auto" w:fill="EDEDEE"/>
          </w:tcPr>
          <w:p>
            <w:pPr>
              <w:spacing w:after="0" w:line="115" w:lineRule="exact"/>
              <w:rPr>
                <w:sz w:val="20"/>
                <w:szCs w:val="20"/>
                <w:color w:val="auto"/>
              </w:rPr>
            </w:pPr>
            <w:r>
              <w:rPr>
                <w:rFonts w:ascii="Arial" w:cs="Arial" w:eastAsia="Arial" w:hAnsi="Arial"/>
                <w:sz w:val="13"/>
                <w:szCs w:val="13"/>
                <w:b w:val="1"/>
                <w:bCs w:val="1"/>
                <w:color w:val="auto"/>
              </w:rPr>
              <w:t> Patricia Lang</w:t>
            </w:r>
          </w:p>
        </w:tc>
        <w:tc>
          <w:tcPr>
            <w:tcW w:w="1340" w:type="dxa"/>
            <w:vAlign w:val="bottom"/>
            <w:shd w:val="clear" w:color="auto" w:fill="EDEDEE"/>
          </w:tcPr>
          <w:p>
            <w:pPr>
              <w:jc w:val="right"/>
              <w:ind w:right="177"/>
              <w:spacing w:after="0" w:line="115" w:lineRule="exact"/>
              <w:rPr>
                <w:sz w:val="20"/>
                <w:szCs w:val="20"/>
                <w:color w:val="auto"/>
              </w:rPr>
            </w:pPr>
            <w:r>
              <w:rPr>
                <w:rFonts w:ascii="Arial" w:cs="Arial" w:eastAsia="Arial" w:hAnsi="Arial"/>
                <w:sz w:val="13"/>
                <w:szCs w:val="13"/>
                <w:color w:val="auto"/>
              </w:rPr>
              <w:t>7,258</w:t>
            </w:r>
          </w:p>
        </w:tc>
        <w:tc>
          <w:tcPr>
            <w:tcW w:w="1380" w:type="dxa"/>
            <w:vAlign w:val="bottom"/>
            <w:shd w:val="clear" w:color="auto" w:fill="EDEDEE"/>
          </w:tcPr>
          <w:p>
            <w:pPr>
              <w:jc w:val="right"/>
              <w:ind w:right="197"/>
              <w:spacing w:after="0" w:line="115" w:lineRule="exact"/>
              <w:rPr>
                <w:sz w:val="20"/>
                <w:szCs w:val="20"/>
                <w:color w:val="auto"/>
              </w:rPr>
            </w:pPr>
            <w:r>
              <w:rPr>
                <w:rFonts w:ascii="Arial" w:cs="Arial" w:eastAsia="Arial" w:hAnsi="Arial"/>
                <w:sz w:val="13"/>
                <w:szCs w:val="13"/>
                <w:color w:val="auto"/>
              </w:rPr>
              <w:t>—</w:t>
            </w:r>
          </w:p>
        </w:tc>
        <w:tc>
          <w:tcPr>
            <w:tcW w:w="800" w:type="dxa"/>
            <w:vAlign w:val="bottom"/>
            <w:shd w:val="clear" w:color="auto" w:fill="EDEDEE"/>
          </w:tcPr>
          <w:p>
            <w:pPr>
              <w:jc w:val="right"/>
              <w:ind w:right="137"/>
              <w:spacing w:after="0" w:line="115" w:lineRule="exact"/>
              <w:rPr>
                <w:sz w:val="20"/>
                <w:szCs w:val="20"/>
                <w:color w:val="auto"/>
              </w:rPr>
            </w:pPr>
            <w:r>
              <w:rPr>
                <w:rFonts w:ascii="Arial" w:cs="Arial" w:eastAsia="Arial" w:hAnsi="Arial"/>
                <w:sz w:val="13"/>
                <w:szCs w:val="13"/>
                <w:color w:val="auto"/>
              </w:rPr>
              <w:t>45.69</w:t>
            </w:r>
          </w:p>
        </w:tc>
        <w:tc>
          <w:tcPr>
            <w:tcW w:w="940" w:type="dxa"/>
            <w:vAlign w:val="bottom"/>
            <w:gridSpan w:val="2"/>
            <w:shd w:val="clear" w:color="auto" w:fill="EDEDEE"/>
          </w:tcPr>
          <w:p>
            <w:pPr>
              <w:jc w:val="right"/>
              <w:ind w:right="120"/>
              <w:spacing w:after="0" w:line="115" w:lineRule="exact"/>
              <w:rPr>
                <w:sz w:val="20"/>
                <w:szCs w:val="20"/>
                <w:color w:val="auto"/>
              </w:rPr>
            </w:pPr>
            <w:r>
              <w:rPr>
                <w:rFonts w:ascii="Arial" w:cs="Arial" w:eastAsia="Arial" w:hAnsi="Arial"/>
                <w:sz w:val="13"/>
                <w:szCs w:val="13"/>
                <w:color w:val="auto"/>
              </w:rPr>
              <w:t>2/24/2026</w:t>
            </w:r>
          </w:p>
        </w:tc>
        <w:tc>
          <w:tcPr>
            <w:tcW w:w="1220" w:type="dxa"/>
            <w:vAlign w:val="bottom"/>
            <w:shd w:val="clear" w:color="auto" w:fill="EDEDEE"/>
          </w:tcPr>
          <w:p>
            <w:pPr>
              <w:jc w:val="right"/>
              <w:ind w:right="197"/>
              <w:spacing w:after="0" w:line="115" w:lineRule="exact"/>
              <w:rPr>
                <w:sz w:val="20"/>
                <w:szCs w:val="20"/>
                <w:color w:val="auto"/>
              </w:rPr>
            </w:pPr>
            <w:r>
              <w:rPr>
                <w:rFonts w:ascii="Arial" w:cs="Arial" w:eastAsia="Arial" w:hAnsi="Arial"/>
                <w:sz w:val="13"/>
                <w:szCs w:val="13"/>
                <w:color w:val="auto"/>
              </w:rPr>
              <w:t>—</w:t>
            </w:r>
          </w:p>
        </w:tc>
        <w:tc>
          <w:tcPr>
            <w:tcW w:w="1380" w:type="dxa"/>
            <w:vAlign w:val="bottom"/>
            <w:shd w:val="clear" w:color="auto" w:fill="EDEDEE"/>
          </w:tcPr>
          <w:p>
            <w:pPr>
              <w:jc w:val="right"/>
              <w:ind w:right="197"/>
              <w:spacing w:after="0" w:line="115" w:lineRule="exact"/>
              <w:rPr>
                <w:sz w:val="20"/>
                <w:szCs w:val="20"/>
                <w:color w:val="auto"/>
              </w:rPr>
            </w:pPr>
            <w:r>
              <w:rPr>
                <w:rFonts w:ascii="Arial" w:cs="Arial" w:eastAsia="Arial" w:hAnsi="Arial"/>
                <w:sz w:val="13"/>
                <w:szCs w:val="13"/>
                <w:color w:val="auto"/>
              </w:rPr>
              <w:t>—</w:t>
            </w:r>
          </w:p>
        </w:tc>
        <w:tc>
          <w:tcPr>
            <w:tcW w:w="1320" w:type="dxa"/>
            <w:vAlign w:val="bottom"/>
            <w:shd w:val="clear" w:color="auto" w:fill="EDEDEE"/>
          </w:tcPr>
          <w:p>
            <w:pPr>
              <w:jc w:val="right"/>
              <w:ind w:right="197"/>
              <w:spacing w:after="0" w:line="115" w:lineRule="exact"/>
              <w:rPr>
                <w:sz w:val="20"/>
                <w:szCs w:val="20"/>
                <w:color w:val="auto"/>
              </w:rPr>
            </w:pPr>
            <w:r>
              <w:rPr>
                <w:rFonts w:ascii="Arial" w:cs="Arial" w:eastAsia="Arial" w:hAnsi="Arial"/>
                <w:sz w:val="13"/>
                <w:szCs w:val="13"/>
                <w:color w:val="auto"/>
              </w:rPr>
              <w:t>—</w:t>
            </w:r>
          </w:p>
        </w:tc>
        <w:tc>
          <w:tcPr>
            <w:tcW w:w="1160" w:type="dxa"/>
            <w:vAlign w:val="bottom"/>
            <w:gridSpan w:val="2"/>
            <w:shd w:val="clear" w:color="auto" w:fill="EDEDEE"/>
          </w:tcPr>
          <w:p>
            <w:pPr>
              <w:jc w:val="right"/>
              <w:ind w:right="80"/>
              <w:spacing w:after="0" w:line="11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134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8,514</w:t>
            </w:r>
          </w:p>
        </w:tc>
        <w:tc>
          <w:tcPr>
            <w:tcW w:w="13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64.03</w:t>
            </w: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2/23/2027</w:t>
            </w:r>
          </w:p>
        </w:tc>
        <w:tc>
          <w:tcPr>
            <w:tcW w:w="122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3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32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480" w:type="dxa"/>
            <w:vAlign w:val="bottom"/>
            <w:shd w:val="clear" w:color="auto" w:fill="EDEDEE"/>
          </w:tcPr>
          <w:p>
            <w:pPr>
              <w:spacing w:after="0"/>
              <w:rPr>
                <w:sz w:val="11"/>
                <w:szCs w:val="11"/>
                <w:color w:val="auto"/>
              </w:rPr>
            </w:pPr>
          </w:p>
        </w:tc>
        <w:tc>
          <w:tcPr>
            <w:tcW w:w="1340" w:type="dxa"/>
            <w:vAlign w:val="bottom"/>
            <w:shd w:val="clear" w:color="auto" w:fill="EDEDEE"/>
          </w:tcPr>
          <w:p>
            <w:pPr>
              <w:jc w:val="right"/>
              <w:ind w:right="177"/>
              <w:spacing w:after="0" w:line="135" w:lineRule="exact"/>
              <w:rPr>
                <w:sz w:val="20"/>
                <w:szCs w:val="20"/>
                <w:color w:val="auto"/>
              </w:rPr>
            </w:pPr>
            <w:r>
              <w:rPr>
                <w:rFonts w:ascii="Arial" w:cs="Arial" w:eastAsia="Arial" w:hAnsi="Arial"/>
                <w:sz w:val="13"/>
                <w:szCs w:val="13"/>
                <w:color w:val="auto"/>
              </w:rPr>
              <w:t>7,249</w:t>
            </w:r>
          </w:p>
        </w:tc>
        <w:tc>
          <w:tcPr>
            <w:tcW w:w="1380" w:type="dxa"/>
            <w:vAlign w:val="bottom"/>
            <w:shd w:val="clear" w:color="auto" w:fill="EDEDEE"/>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EDEDEE"/>
          </w:tcPr>
          <w:p>
            <w:pPr>
              <w:jc w:val="right"/>
              <w:ind w:right="137"/>
              <w:spacing w:after="0" w:line="135" w:lineRule="exact"/>
              <w:rPr>
                <w:sz w:val="20"/>
                <w:szCs w:val="20"/>
                <w:color w:val="auto"/>
              </w:rPr>
            </w:pPr>
            <w:r>
              <w:rPr>
                <w:rFonts w:ascii="Arial" w:cs="Arial" w:eastAsia="Arial" w:hAnsi="Arial"/>
                <w:sz w:val="13"/>
                <w:szCs w:val="13"/>
                <w:color w:val="auto"/>
              </w:rPr>
              <w:t>76.34</w:t>
            </w:r>
          </w:p>
        </w:tc>
        <w:tc>
          <w:tcPr>
            <w:tcW w:w="940" w:type="dxa"/>
            <w:vAlign w:val="bottom"/>
            <w:gridSpan w:val="2"/>
            <w:shd w:val="clear" w:color="auto" w:fill="EDEDEE"/>
          </w:tcPr>
          <w:p>
            <w:pPr>
              <w:jc w:val="right"/>
              <w:ind w:right="120"/>
              <w:spacing w:after="0" w:line="135" w:lineRule="exact"/>
              <w:rPr>
                <w:sz w:val="20"/>
                <w:szCs w:val="20"/>
                <w:color w:val="auto"/>
              </w:rPr>
            </w:pPr>
            <w:r>
              <w:rPr>
                <w:rFonts w:ascii="Arial" w:cs="Arial" w:eastAsia="Arial" w:hAnsi="Arial"/>
                <w:sz w:val="13"/>
                <w:szCs w:val="13"/>
                <w:color w:val="auto"/>
              </w:rPr>
              <w:t>2/21/2028</w:t>
            </w:r>
          </w:p>
        </w:tc>
        <w:tc>
          <w:tcPr>
            <w:tcW w:w="1220" w:type="dxa"/>
            <w:vAlign w:val="bottom"/>
            <w:shd w:val="clear" w:color="auto" w:fill="EDEDEE"/>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380" w:type="dxa"/>
            <w:vAlign w:val="bottom"/>
            <w:shd w:val="clear" w:color="auto" w:fill="EDEDEE"/>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320" w:type="dxa"/>
            <w:vAlign w:val="bottom"/>
            <w:shd w:val="clear" w:color="auto" w:fill="EDEDEE"/>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160" w:type="dxa"/>
            <w:vAlign w:val="bottom"/>
            <w:gridSpan w:val="2"/>
            <w:shd w:val="clear" w:color="auto" w:fill="EDEDEE"/>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134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9,360</w:t>
            </w:r>
          </w:p>
        </w:tc>
        <w:tc>
          <w:tcPr>
            <w:tcW w:w="13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70.88</w:t>
            </w: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2/16/2029</w:t>
            </w:r>
          </w:p>
        </w:tc>
        <w:tc>
          <w:tcPr>
            <w:tcW w:w="122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3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32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480" w:type="dxa"/>
            <w:vAlign w:val="bottom"/>
            <w:shd w:val="clear" w:color="auto" w:fill="EDEDEE"/>
          </w:tcPr>
          <w:p>
            <w:pPr>
              <w:spacing w:after="0"/>
              <w:rPr>
                <w:sz w:val="11"/>
                <w:szCs w:val="11"/>
                <w:color w:val="auto"/>
              </w:rPr>
            </w:pPr>
          </w:p>
        </w:tc>
        <w:tc>
          <w:tcPr>
            <w:tcW w:w="1340" w:type="dxa"/>
            <w:vAlign w:val="bottom"/>
            <w:shd w:val="clear" w:color="auto" w:fill="EDEDEE"/>
          </w:tcPr>
          <w:p>
            <w:pPr>
              <w:jc w:val="right"/>
              <w:ind w:right="177"/>
              <w:spacing w:after="0" w:line="135" w:lineRule="exact"/>
              <w:rPr>
                <w:sz w:val="20"/>
                <w:szCs w:val="20"/>
                <w:color w:val="auto"/>
              </w:rPr>
            </w:pPr>
            <w:r>
              <w:rPr>
                <w:rFonts w:ascii="Arial" w:cs="Arial" w:eastAsia="Arial" w:hAnsi="Arial"/>
                <w:sz w:val="13"/>
                <w:szCs w:val="13"/>
                <w:color w:val="auto"/>
              </w:rPr>
              <w:t>6,374</w:t>
            </w:r>
          </w:p>
        </w:tc>
        <w:tc>
          <w:tcPr>
            <w:tcW w:w="1380" w:type="dxa"/>
            <w:vAlign w:val="bottom"/>
            <w:shd w:val="clear" w:color="auto" w:fill="EDEDEE"/>
          </w:tcPr>
          <w:p>
            <w:pPr>
              <w:jc w:val="right"/>
              <w:ind w:right="197"/>
              <w:spacing w:after="0" w:line="135" w:lineRule="exact"/>
              <w:rPr>
                <w:sz w:val="20"/>
                <w:szCs w:val="20"/>
                <w:color w:val="auto"/>
              </w:rPr>
            </w:pPr>
            <w:r>
              <w:rPr>
                <w:rFonts w:ascii="Arial" w:cs="Arial" w:eastAsia="Arial" w:hAnsi="Arial"/>
                <w:sz w:val="13"/>
                <w:szCs w:val="13"/>
                <w:color w:val="auto"/>
              </w:rPr>
              <w:t>3,186</w:t>
            </w:r>
          </w:p>
        </w:tc>
        <w:tc>
          <w:tcPr>
            <w:tcW w:w="800" w:type="dxa"/>
            <w:vAlign w:val="bottom"/>
            <w:shd w:val="clear" w:color="auto" w:fill="EDEDEE"/>
          </w:tcPr>
          <w:p>
            <w:pPr>
              <w:jc w:val="right"/>
              <w:ind w:right="137"/>
              <w:spacing w:after="0" w:line="135" w:lineRule="exact"/>
              <w:rPr>
                <w:sz w:val="20"/>
                <w:szCs w:val="20"/>
                <w:color w:val="auto"/>
              </w:rPr>
            </w:pPr>
            <w:r>
              <w:rPr>
                <w:rFonts w:ascii="Arial" w:cs="Arial" w:eastAsia="Arial" w:hAnsi="Arial"/>
                <w:sz w:val="13"/>
                <w:szCs w:val="13"/>
                <w:color w:val="auto"/>
              </w:rPr>
              <w:t>57.62</w:t>
            </w:r>
          </w:p>
        </w:tc>
        <w:tc>
          <w:tcPr>
            <w:tcW w:w="940" w:type="dxa"/>
            <w:vAlign w:val="bottom"/>
            <w:gridSpan w:val="2"/>
            <w:shd w:val="clear" w:color="auto" w:fill="EDEDEE"/>
          </w:tcPr>
          <w:p>
            <w:pPr>
              <w:jc w:val="right"/>
              <w:ind w:right="120"/>
              <w:spacing w:after="0" w:line="135" w:lineRule="exact"/>
              <w:rPr>
                <w:sz w:val="20"/>
                <w:szCs w:val="20"/>
                <w:color w:val="auto"/>
              </w:rPr>
            </w:pPr>
            <w:r>
              <w:rPr>
                <w:rFonts w:ascii="Arial" w:cs="Arial" w:eastAsia="Arial" w:hAnsi="Arial"/>
                <w:sz w:val="13"/>
                <w:szCs w:val="13"/>
                <w:color w:val="auto"/>
              </w:rPr>
              <w:t>2/27/2030</w:t>
            </w:r>
          </w:p>
        </w:tc>
        <w:tc>
          <w:tcPr>
            <w:tcW w:w="1220" w:type="dxa"/>
            <w:vAlign w:val="bottom"/>
            <w:shd w:val="clear" w:color="auto" w:fill="EDEDEE"/>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380" w:type="dxa"/>
            <w:vAlign w:val="bottom"/>
            <w:shd w:val="clear" w:color="auto" w:fill="EDEDEE"/>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320" w:type="dxa"/>
            <w:vAlign w:val="bottom"/>
            <w:shd w:val="clear" w:color="auto" w:fill="EDEDEE"/>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160" w:type="dxa"/>
            <w:vAlign w:val="bottom"/>
            <w:gridSpan w:val="2"/>
            <w:shd w:val="clear" w:color="auto" w:fill="EDEDEE"/>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134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3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2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30,310</w:t>
            </w:r>
          </w:p>
        </w:tc>
        <w:tc>
          <w:tcPr>
            <w:tcW w:w="13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807,458</w:t>
            </w:r>
          </w:p>
        </w:tc>
        <w:tc>
          <w:tcPr>
            <w:tcW w:w="132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2"/>
        </w:trPr>
        <w:tc>
          <w:tcPr>
            <w:tcW w:w="1480" w:type="dxa"/>
            <w:vAlign w:val="bottom"/>
            <w:tcBorders>
              <w:bottom w:val="single" w:sz="8" w:color="auto"/>
            </w:tcBorders>
            <w:shd w:val="clear" w:color="auto" w:fill="EDEDEE"/>
          </w:tcPr>
          <w:p>
            <w:pPr>
              <w:spacing w:after="0"/>
              <w:rPr>
                <w:sz w:val="10"/>
                <w:szCs w:val="10"/>
                <w:color w:val="auto"/>
              </w:rPr>
            </w:pPr>
          </w:p>
        </w:tc>
        <w:tc>
          <w:tcPr>
            <w:tcW w:w="1340" w:type="dxa"/>
            <w:vAlign w:val="bottom"/>
            <w:tcBorders>
              <w:bottom w:val="single" w:sz="8" w:color="auto"/>
            </w:tcBorders>
            <w:shd w:val="clear" w:color="auto" w:fill="EDEDEE"/>
          </w:tcPr>
          <w:p>
            <w:pPr>
              <w:jc w:val="right"/>
              <w:ind w:right="177"/>
              <w:spacing w:after="0" w:line="122" w:lineRule="exact"/>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shd w:val="clear" w:color="auto" w:fill="EDEDEE"/>
          </w:tcPr>
          <w:p>
            <w:pPr>
              <w:jc w:val="right"/>
              <w:ind w:right="197"/>
              <w:spacing w:after="0" w:line="122"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EDEDEE"/>
          </w:tcPr>
          <w:p>
            <w:pPr>
              <w:jc w:val="right"/>
              <w:ind w:right="137"/>
              <w:spacing w:after="0" w:line="122" w:lineRule="exact"/>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gridSpan w:val="2"/>
            <w:shd w:val="clear" w:color="auto" w:fill="EDEDEE"/>
          </w:tcPr>
          <w:p>
            <w:pPr>
              <w:jc w:val="right"/>
              <w:ind w:right="120"/>
              <w:spacing w:after="0" w:line="122" w:lineRule="exact"/>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shd w:val="clear" w:color="auto" w:fill="EDEDEE"/>
          </w:tcPr>
          <w:p>
            <w:pPr>
              <w:jc w:val="right"/>
              <w:ind w:right="197"/>
              <w:spacing w:after="0" w:line="122" w:lineRule="exact"/>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shd w:val="clear" w:color="auto" w:fill="EDEDEE"/>
          </w:tcPr>
          <w:p>
            <w:pPr>
              <w:jc w:val="right"/>
              <w:ind w:right="197"/>
              <w:spacing w:after="0" w:line="122" w:lineRule="exact"/>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shd w:val="clear" w:color="auto" w:fill="EDEDEE"/>
          </w:tcPr>
          <w:p>
            <w:pPr>
              <w:jc w:val="right"/>
              <w:ind w:right="197"/>
              <w:spacing w:after="0" w:line="122" w:lineRule="exact"/>
              <w:rPr>
                <w:sz w:val="20"/>
                <w:szCs w:val="20"/>
                <w:color w:val="auto"/>
              </w:rPr>
            </w:pPr>
            <w:r>
              <w:rPr>
                <w:rFonts w:ascii="Arial" w:cs="Arial" w:eastAsia="Arial" w:hAnsi="Arial"/>
                <w:sz w:val="13"/>
                <w:szCs w:val="13"/>
                <w:color w:val="auto"/>
              </w:rPr>
              <w:t>25,113</w:t>
            </w:r>
          </w:p>
        </w:tc>
        <w:tc>
          <w:tcPr>
            <w:tcW w:w="1080" w:type="dxa"/>
            <w:vAlign w:val="bottom"/>
            <w:tcBorders>
              <w:bottom w:val="single" w:sz="8" w:color="auto"/>
            </w:tcBorders>
            <w:shd w:val="clear" w:color="auto" w:fill="EDEDEE"/>
          </w:tcPr>
          <w:p>
            <w:pPr>
              <w:jc w:val="right"/>
              <w:spacing w:after="0" w:line="122" w:lineRule="exact"/>
              <w:rPr>
                <w:sz w:val="20"/>
                <w:szCs w:val="20"/>
                <w:color w:val="auto"/>
              </w:rPr>
            </w:pPr>
            <w:r>
              <w:rPr>
                <w:rFonts w:ascii="Arial" w:cs="Arial" w:eastAsia="Arial" w:hAnsi="Arial"/>
                <w:sz w:val="13"/>
                <w:szCs w:val="13"/>
                <w:color w:val="auto"/>
              </w:rPr>
              <w:t>200,227</w:t>
            </w:r>
          </w:p>
        </w:tc>
        <w:tc>
          <w:tcPr>
            <w:tcW w:w="80" w:type="dxa"/>
            <w:vAlign w:val="bottom"/>
            <w:tcBorders>
              <w:bottom w:val="single" w:sz="8" w:color="auto"/>
            </w:tcBorders>
            <w:shd w:val="clear" w:color="auto" w:fill="EDEDE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80" w:type="dxa"/>
            <w:vAlign w:val="bottom"/>
          </w:tcPr>
          <w:p>
            <w:pPr>
              <w:spacing w:after="0"/>
              <w:rPr>
                <w:sz w:val="20"/>
                <w:szCs w:val="20"/>
                <w:color w:val="auto"/>
              </w:rPr>
            </w:pPr>
            <w:r>
              <w:rPr>
                <w:rFonts w:ascii="Arial" w:cs="Arial" w:eastAsia="Arial" w:hAnsi="Arial"/>
                <w:sz w:val="13"/>
                <w:szCs w:val="13"/>
                <w:b w:val="1"/>
                <w:bCs w:val="1"/>
                <w:color w:val="auto"/>
              </w:rPr>
              <w:t>Louis Vogt</w:t>
            </w:r>
          </w:p>
        </w:tc>
        <w:tc>
          <w:tcPr>
            <w:tcW w:w="1340" w:type="dxa"/>
            <w:vAlign w:val="bottom"/>
            <w:vMerge w:val="restart"/>
          </w:tcPr>
          <w:p>
            <w:pPr>
              <w:jc w:val="right"/>
              <w:ind w:right="177"/>
              <w:spacing w:after="0"/>
              <w:rPr>
                <w:sz w:val="20"/>
                <w:szCs w:val="20"/>
                <w:color w:val="auto"/>
              </w:rPr>
            </w:pPr>
            <w:r>
              <w:rPr>
                <w:rFonts w:ascii="Arial" w:cs="Arial" w:eastAsia="Arial" w:hAnsi="Arial"/>
                <w:sz w:val="13"/>
                <w:szCs w:val="13"/>
                <w:color w:val="auto"/>
              </w:rPr>
              <w:t>8,064</w:t>
            </w:r>
          </w:p>
        </w:tc>
        <w:tc>
          <w:tcPr>
            <w:tcW w:w="1380" w:type="dxa"/>
            <w:vAlign w:val="bottom"/>
            <w:vMerge w:val="restart"/>
          </w:tcPr>
          <w:p>
            <w:pPr>
              <w:jc w:val="right"/>
              <w:ind w:right="197"/>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137"/>
              <w:spacing w:after="0"/>
              <w:rPr>
                <w:sz w:val="20"/>
                <w:szCs w:val="20"/>
                <w:color w:val="auto"/>
              </w:rPr>
            </w:pPr>
            <w:r>
              <w:rPr>
                <w:rFonts w:ascii="Arial" w:cs="Arial" w:eastAsia="Arial" w:hAnsi="Arial"/>
                <w:sz w:val="13"/>
                <w:szCs w:val="13"/>
                <w:color w:val="auto"/>
              </w:rPr>
              <w:t>76.34</w:t>
            </w: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2/21/2028</w:t>
            </w:r>
          </w:p>
        </w:tc>
        <w:tc>
          <w:tcPr>
            <w:tcW w:w="1220" w:type="dxa"/>
            <w:vAlign w:val="bottom"/>
            <w:vMerge w:val="restart"/>
          </w:tcPr>
          <w:p>
            <w:pPr>
              <w:jc w:val="right"/>
              <w:ind w:right="197"/>
              <w:spacing w:after="0"/>
              <w:rPr>
                <w:sz w:val="20"/>
                <w:szCs w:val="20"/>
                <w:color w:val="auto"/>
              </w:rPr>
            </w:pPr>
            <w:r>
              <w:rPr>
                <w:rFonts w:ascii="Arial" w:cs="Arial" w:eastAsia="Arial" w:hAnsi="Arial"/>
                <w:sz w:val="13"/>
                <w:szCs w:val="13"/>
                <w:color w:val="auto"/>
              </w:rPr>
              <w:t>—</w:t>
            </w:r>
          </w:p>
        </w:tc>
        <w:tc>
          <w:tcPr>
            <w:tcW w:w="1380" w:type="dxa"/>
            <w:vAlign w:val="bottom"/>
            <w:vMerge w:val="restart"/>
          </w:tcPr>
          <w:p>
            <w:pPr>
              <w:jc w:val="right"/>
              <w:ind w:right="197"/>
              <w:spacing w:after="0"/>
              <w:rPr>
                <w:sz w:val="20"/>
                <w:szCs w:val="20"/>
                <w:color w:val="auto"/>
              </w:rPr>
            </w:pPr>
            <w:r>
              <w:rPr>
                <w:rFonts w:ascii="Arial" w:cs="Arial" w:eastAsia="Arial" w:hAnsi="Arial"/>
                <w:sz w:val="13"/>
                <w:szCs w:val="13"/>
                <w:color w:val="auto"/>
              </w:rPr>
              <w:t>—</w:t>
            </w:r>
          </w:p>
        </w:tc>
        <w:tc>
          <w:tcPr>
            <w:tcW w:w="1320" w:type="dxa"/>
            <w:vAlign w:val="bottom"/>
            <w:vMerge w:val="restart"/>
          </w:tcPr>
          <w:p>
            <w:pPr>
              <w:jc w:val="right"/>
              <w:ind w:right="197"/>
              <w:spacing w:after="0"/>
              <w:rPr>
                <w:sz w:val="20"/>
                <w:szCs w:val="20"/>
                <w:color w:val="auto"/>
              </w:rPr>
            </w:pPr>
            <w:r>
              <w:rPr>
                <w:rFonts w:ascii="Arial" w:cs="Arial" w:eastAsia="Arial" w:hAnsi="Arial"/>
                <w:sz w:val="13"/>
                <w:szCs w:val="13"/>
                <w:color w:val="auto"/>
              </w:rPr>
              <w:t>—</w:t>
            </w:r>
          </w:p>
        </w:tc>
        <w:tc>
          <w:tcPr>
            <w:tcW w:w="116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4"/>
        </w:trPr>
        <w:tc>
          <w:tcPr>
            <w:tcW w:w="1480" w:type="dxa"/>
            <w:vAlign w:val="bottom"/>
          </w:tcPr>
          <w:p>
            <w:pPr>
              <w:spacing w:after="0"/>
              <w:rPr>
                <w:sz w:val="3"/>
                <w:szCs w:val="3"/>
                <w:color w:val="auto"/>
              </w:rPr>
            </w:pPr>
          </w:p>
        </w:tc>
        <w:tc>
          <w:tcPr>
            <w:tcW w:w="134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22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132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EDEDEE"/>
          </w:tcPr>
          <w:p>
            <w:pPr>
              <w:spacing w:after="0"/>
              <w:rPr>
                <w:sz w:val="18"/>
                <w:szCs w:val="18"/>
                <w:color w:val="auto"/>
              </w:rPr>
            </w:pPr>
          </w:p>
        </w:tc>
        <w:tc>
          <w:tcPr>
            <w:tcW w:w="1340" w:type="dxa"/>
            <w:vAlign w:val="bottom"/>
            <w:shd w:val="clear" w:color="auto" w:fill="EDEDEE"/>
          </w:tcPr>
          <w:p>
            <w:pPr>
              <w:jc w:val="right"/>
              <w:ind w:right="177"/>
              <w:spacing w:after="0"/>
              <w:rPr>
                <w:sz w:val="20"/>
                <w:szCs w:val="20"/>
                <w:color w:val="auto"/>
              </w:rPr>
            </w:pPr>
            <w:r>
              <w:rPr>
                <w:rFonts w:ascii="Arial" w:cs="Arial" w:eastAsia="Arial" w:hAnsi="Arial"/>
                <w:sz w:val="13"/>
                <w:szCs w:val="13"/>
                <w:color w:val="auto"/>
              </w:rPr>
              <w:t>1,875</w:t>
            </w:r>
          </w:p>
        </w:tc>
        <w:tc>
          <w:tcPr>
            <w:tcW w:w="1380" w:type="dxa"/>
            <w:vAlign w:val="bottom"/>
            <w:shd w:val="clear" w:color="auto" w:fill="EDEDEE"/>
          </w:tcPr>
          <w:p>
            <w:pPr>
              <w:jc w:val="right"/>
              <w:ind w:right="197"/>
              <w:spacing w:after="0"/>
              <w:rPr>
                <w:sz w:val="20"/>
                <w:szCs w:val="20"/>
                <w:color w:val="auto"/>
              </w:rPr>
            </w:pPr>
            <w:r>
              <w:rPr>
                <w:rFonts w:ascii="Arial" w:cs="Arial" w:eastAsia="Arial" w:hAnsi="Arial"/>
                <w:sz w:val="13"/>
                <w:szCs w:val="13"/>
                <w:color w:val="auto"/>
              </w:rPr>
              <w:t>936</w:t>
            </w:r>
          </w:p>
        </w:tc>
        <w:tc>
          <w:tcPr>
            <w:tcW w:w="800" w:type="dxa"/>
            <w:vAlign w:val="bottom"/>
            <w:shd w:val="clear" w:color="auto" w:fill="EDEDEE"/>
          </w:tcPr>
          <w:p>
            <w:pPr>
              <w:jc w:val="right"/>
              <w:ind w:right="137"/>
              <w:spacing w:after="0"/>
              <w:rPr>
                <w:sz w:val="20"/>
                <w:szCs w:val="20"/>
                <w:color w:val="auto"/>
              </w:rPr>
            </w:pPr>
            <w:r>
              <w:rPr>
                <w:rFonts w:ascii="Arial" w:cs="Arial" w:eastAsia="Arial" w:hAnsi="Arial"/>
                <w:sz w:val="13"/>
                <w:szCs w:val="13"/>
                <w:color w:val="auto"/>
              </w:rPr>
              <w:t>57.62</w:t>
            </w:r>
          </w:p>
        </w:tc>
        <w:tc>
          <w:tcPr>
            <w:tcW w:w="940" w:type="dxa"/>
            <w:vAlign w:val="bottom"/>
            <w:gridSpan w:val="2"/>
            <w:shd w:val="clear" w:color="auto" w:fill="EDEDEE"/>
          </w:tcPr>
          <w:p>
            <w:pPr>
              <w:jc w:val="right"/>
              <w:ind w:right="120"/>
              <w:spacing w:after="0"/>
              <w:rPr>
                <w:sz w:val="20"/>
                <w:szCs w:val="20"/>
                <w:color w:val="auto"/>
              </w:rPr>
            </w:pPr>
            <w:r>
              <w:rPr>
                <w:rFonts w:ascii="Arial" w:cs="Arial" w:eastAsia="Arial" w:hAnsi="Arial"/>
                <w:sz w:val="13"/>
                <w:szCs w:val="13"/>
                <w:color w:val="auto"/>
              </w:rPr>
              <w:t>2/27/2030</w:t>
            </w:r>
          </w:p>
        </w:tc>
        <w:tc>
          <w:tcPr>
            <w:tcW w:w="1220" w:type="dxa"/>
            <w:vAlign w:val="bottom"/>
            <w:shd w:val="clear" w:color="auto" w:fill="EDEDEE"/>
          </w:tcPr>
          <w:p>
            <w:pPr>
              <w:jc w:val="right"/>
              <w:ind w:right="197"/>
              <w:spacing w:after="0"/>
              <w:rPr>
                <w:sz w:val="20"/>
                <w:szCs w:val="20"/>
                <w:color w:val="auto"/>
              </w:rPr>
            </w:pPr>
            <w:r>
              <w:rPr>
                <w:rFonts w:ascii="Arial" w:cs="Arial" w:eastAsia="Arial" w:hAnsi="Arial"/>
                <w:sz w:val="13"/>
                <w:szCs w:val="13"/>
                <w:color w:val="auto"/>
              </w:rPr>
              <w:t>—</w:t>
            </w:r>
          </w:p>
        </w:tc>
        <w:tc>
          <w:tcPr>
            <w:tcW w:w="1380" w:type="dxa"/>
            <w:vAlign w:val="bottom"/>
            <w:shd w:val="clear" w:color="auto" w:fill="EDEDEE"/>
          </w:tcPr>
          <w:p>
            <w:pPr>
              <w:jc w:val="right"/>
              <w:ind w:right="197"/>
              <w:spacing w:after="0"/>
              <w:rPr>
                <w:sz w:val="20"/>
                <w:szCs w:val="20"/>
                <w:color w:val="auto"/>
              </w:rPr>
            </w:pPr>
            <w:r>
              <w:rPr>
                <w:rFonts w:ascii="Arial" w:cs="Arial" w:eastAsia="Arial" w:hAnsi="Arial"/>
                <w:sz w:val="13"/>
                <w:szCs w:val="13"/>
                <w:color w:val="auto"/>
              </w:rPr>
              <w:t>—</w:t>
            </w:r>
          </w:p>
        </w:tc>
        <w:tc>
          <w:tcPr>
            <w:tcW w:w="1320" w:type="dxa"/>
            <w:vAlign w:val="bottom"/>
            <w:shd w:val="clear" w:color="auto" w:fill="EDEDEE"/>
          </w:tcPr>
          <w:p>
            <w:pPr>
              <w:jc w:val="right"/>
              <w:ind w:right="197"/>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EDEDEE"/>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34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197"/>
              <w:spacing w:after="0"/>
              <w:rPr>
                <w:sz w:val="20"/>
                <w:szCs w:val="20"/>
                <w:color w:val="auto"/>
              </w:rPr>
            </w:pPr>
            <w:r>
              <w:rPr>
                <w:rFonts w:ascii="Arial" w:cs="Arial" w:eastAsia="Arial" w:hAnsi="Arial"/>
                <w:sz w:val="13"/>
                <w:szCs w:val="13"/>
                <w:color w:val="auto"/>
              </w:rPr>
              <w:t>21,209</w:t>
            </w:r>
          </w:p>
        </w:tc>
        <w:tc>
          <w:tcPr>
            <w:tcW w:w="1380" w:type="dxa"/>
            <w:vAlign w:val="bottom"/>
          </w:tcPr>
          <w:p>
            <w:pPr>
              <w:jc w:val="right"/>
              <w:ind w:right="197"/>
              <w:spacing w:after="0"/>
              <w:rPr>
                <w:sz w:val="20"/>
                <w:szCs w:val="20"/>
                <w:color w:val="auto"/>
              </w:rPr>
            </w:pPr>
            <w:r>
              <w:rPr>
                <w:rFonts w:ascii="Arial" w:cs="Arial" w:eastAsia="Arial" w:hAnsi="Arial"/>
                <w:sz w:val="13"/>
                <w:szCs w:val="13"/>
                <w:color w:val="auto"/>
              </w:rPr>
              <w:t>565,008</w:t>
            </w:r>
          </w:p>
        </w:tc>
        <w:tc>
          <w:tcPr>
            <w:tcW w:w="132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1480" w:type="dxa"/>
            <w:vAlign w:val="bottom"/>
            <w:tcBorders>
              <w:bottom w:val="single" w:sz="8" w:color="auto"/>
            </w:tcBorders>
            <w:shd w:val="clear" w:color="auto" w:fill="EDEDEE"/>
          </w:tcPr>
          <w:p>
            <w:pPr>
              <w:spacing w:after="0"/>
              <w:rPr>
                <w:sz w:val="18"/>
                <w:szCs w:val="18"/>
                <w:color w:val="auto"/>
              </w:rPr>
            </w:pPr>
          </w:p>
        </w:tc>
        <w:tc>
          <w:tcPr>
            <w:tcW w:w="1340" w:type="dxa"/>
            <w:vAlign w:val="bottom"/>
            <w:tcBorders>
              <w:bottom w:val="single" w:sz="8" w:color="auto"/>
            </w:tcBorders>
            <w:shd w:val="clear" w:color="auto" w:fill="EDEDEE"/>
          </w:tcPr>
          <w:p>
            <w:pPr>
              <w:jc w:val="right"/>
              <w:ind w:right="177"/>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shd w:val="clear" w:color="auto" w:fill="EDEDEE"/>
          </w:tcPr>
          <w:p>
            <w:pPr>
              <w:jc w:val="right"/>
              <w:ind w:right="19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EDEDEE"/>
          </w:tcPr>
          <w:p>
            <w:pPr>
              <w:jc w:val="right"/>
              <w:ind w:right="13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gridSpan w:val="2"/>
            <w:shd w:val="clear" w:color="auto" w:fill="EDEDEE"/>
          </w:tcPr>
          <w:p>
            <w:pPr>
              <w:jc w:val="right"/>
              <w:ind w:right="120"/>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shd w:val="clear" w:color="auto" w:fill="EDEDEE"/>
          </w:tcPr>
          <w:p>
            <w:pPr>
              <w:jc w:val="right"/>
              <w:ind w:right="197"/>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shd w:val="clear" w:color="auto" w:fill="EDEDEE"/>
          </w:tcPr>
          <w:p>
            <w:pPr>
              <w:jc w:val="right"/>
              <w:ind w:right="197"/>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shd w:val="clear" w:color="auto" w:fill="EDEDEE"/>
          </w:tcPr>
          <w:p>
            <w:pPr>
              <w:jc w:val="right"/>
              <w:ind w:right="197"/>
              <w:spacing w:after="0"/>
              <w:rPr>
                <w:sz w:val="20"/>
                <w:szCs w:val="20"/>
                <w:color w:val="auto"/>
              </w:rPr>
            </w:pPr>
            <w:r>
              <w:rPr>
                <w:rFonts w:ascii="Arial" w:cs="Arial" w:eastAsia="Arial" w:hAnsi="Arial"/>
                <w:sz w:val="13"/>
                <w:szCs w:val="13"/>
                <w:color w:val="auto"/>
              </w:rPr>
              <w:t>21,286</w:t>
            </w:r>
          </w:p>
        </w:tc>
        <w:tc>
          <w:tcPr>
            <w:tcW w:w="1080" w:type="dxa"/>
            <w:vAlign w:val="bottom"/>
            <w:tcBorders>
              <w:bottom w:val="single" w:sz="8" w:color="auto"/>
            </w:tcBorders>
            <w:shd w:val="clear" w:color="auto" w:fill="EDEDEE"/>
          </w:tcPr>
          <w:p>
            <w:pPr>
              <w:jc w:val="right"/>
              <w:spacing w:after="0"/>
              <w:rPr>
                <w:sz w:val="20"/>
                <w:szCs w:val="20"/>
                <w:color w:val="auto"/>
              </w:rPr>
            </w:pPr>
            <w:r>
              <w:rPr>
                <w:rFonts w:ascii="Arial" w:cs="Arial" w:eastAsia="Arial" w:hAnsi="Arial"/>
                <w:sz w:val="13"/>
                <w:szCs w:val="13"/>
                <w:color w:val="auto"/>
              </w:rPr>
              <w:t>298,839</w:t>
            </w:r>
          </w:p>
        </w:tc>
        <w:tc>
          <w:tcPr>
            <w:tcW w:w="80" w:type="dxa"/>
            <w:vAlign w:val="bottom"/>
            <w:tcBorders>
              <w:bottom w:val="single" w:sz="8" w:color="auto"/>
            </w:tcBorders>
            <w:shd w:val="clear" w:color="auto" w:fill="EDEDEE"/>
          </w:tcPr>
          <w:p>
            <w:pPr>
              <w:spacing w:after="0"/>
              <w:rPr>
                <w:sz w:val="18"/>
                <w:szCs w:val="18"/>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424" w:hanging="424"/>
        <w:spacing w:after="0" w:line="241" w:lineRule="auto"/>
        <w:tabs>
          <w:tab w:leader="none" w:pos="424" w:val="left"/>
        </w:tabs>
        <w:numPr>
          <w:ilvl w:val="0"/>
          <w:numId w:val="86"/>
        </w:numPr>
        <w:rPr>
          <w:rFonts w:ascii="Arial" w:cs="Arial" w:eastAsia="Arial" w:hAnsi="Arial"/>
          <w:sz w:val="14"/>
          <w:szCs w:val="14"/>
          <w:i w:val="1"/>
          <w:iCs w:val="1"/>
          <w:color w:val="auto"/>
        </w:rPr>
      </w:pPr>
      <w:r>
        <w:rPr>
          <w:rFonts w:ascii="Arial" w:cs="Arial" w:eastAsia="Arial" w:hAnsi="Arial"/>
          <w:sz w:val="14"/>
          <w:szCs w:val="14"/>
          <w:i w:val="1"/>
          <w:iCs w:val="1"/>
          <w:color w:val="auto"/>
        </w:rPr>
        <w:t>The vesting date of unvested stock option awards is set forth beside each option expiration date in the following chart. Note that the vesting date provided reflects when the options fully vest. Stock option awards vest ratably over three years beginning on the first anniversary of the grant date.</w:t>
      </w:r>
    </w:p>
    <w:p>
      <w:pPr>
        <w:spacing w:after="0" w:line="138" w:lineRule="exact"/>
        <w:rPr>
          <w:sz w:val="20"/>
          <w:szCs w:val="20"/>
          <w:color w:val="auto"/>
        </w:rPr>
      </w:pPr>
    </w:p>
    <w:p>
      <w:pPr>
        <w:ind w:left="4"/>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-118745</wp:posOffset>
            </wp:positionV>
            <wp:extent cx="762635" cy="3860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62635" cy="386080"/>
                    </a:xfrm>
                    <a:prstGeom prst="rect">
                      <a:avLst/>
                    </a:prstGeom>
                    <a:noFill/>
                  </pic:spPr>
                </pic:pic>
              </a:graphicData>
            </a:graphic>
          </wp:anchor>
        </w:drawing>
      </w:r>
    </w:p>
    <w:p>
      <w:pPr>
        <w:ind w:left="1584"/>
        <w:spacing w:after="0"/>
        <w:rPr>
          <w:sz w:val="20"/>
          <w:szCs w:val="20"/>
          <w:color w:val="auto"/>
        </w:rPr>
      </w:pPr>
      <w:r>
        <w:rPr>
          <w:rFonts w:ascii="Arial" w:cs="Arial" w:eastAsia="Arial" w:hAnsi="Arial"/>
          <w:sz w:val="18"/>
          <w:szCs w:val="18"/>
          <w:color w:val="auto"/>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699516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609" w:right="439" w:bottom="1440" w:gutter="0" w:footer="0" w:header="0"/>
        </w:sectPr>
      </w:pPr>
    </w:p>
    <w:bookmarkStart w:id="50" w:name="page51"/>
    <w:bookmarkEnd w:id="50"/>
    <w:tbl>
      <w:tblPr>
        <w:tblLayout w:type="fixed"/>
        <w:tblInd w:w="4" w:type="dxa"/>
        <w:tblCellMar>
          <w:top w:w="0" w:type="dxa"/>
          <w:left w:w="0" w:type="dxa"/>
          <w:bottom w:w="0" w:type="dxa"/>
          <w:right w:w="0" w:type="dxa"/>
        </w:tblCellMar>
      </w:tblPr>
      <w:tr>
        <w:trPr>
          <w:trHeight w:val="184"/>
        </w:trPr>
        <w:tc>
          <w:tcPr>
            <w:tcW w:w="3100" w:type="dxa"/>
            <w:vAlign w:val="bottom"/>
            <w:vMerge w:val="restart"/>
          </w:tcPr>
          <w:p>
            <w:pPr>
              <w:ind w:left="80"/>
              <w:spacing w:after="0"/>
              <w:rPr>
                <w:sz w:val="20"/>
                <w:szCs w:val="20"/>
                <w:color w:val="auto"/>
              </w:rPr>
            </w:pPr>
            <w:r>
              <w:rPr>
                <w:rFonts w:ascii="Arial" w:cs="Arial" w:eastAsia="Arial" w:hAnsi="Arial"/>
                <w:sz w:val="16"/>
                <w:szCs w:val="16"/>
                <w:b w:val="1"/>
                <w:bCs w:val="1"/>
                <w:color w:val="C8102E"/>
              </w:rPr>
              <w:t>Option Grant Date</w:t>
            </w:r>
          </w:p>
        </w:tc>
        <w:tc>
          <w:tcPr>
            <w:tcW w:w="3980" w:type="dxa"/>
            <w:vAlign w:val="bottom"/>
            <w:vMerge w:val="restart"/>
          </w:tcPr>
          <w:p>
            <w:pPr>
              <w:jc w:val="right"/>
              <w:ind w:right="539"/>
              <w:spacing w:after="0"/>
              <w:rPr>
                <w:sz w:val="20"/>
                <w:szCs w:val="20"/>
                <w:color w:val="auto"/>
              </w:rPr>
            </w:pPr>
            <w:r>
              <w:rPr>
                <w:rFonts w:ascii="Arial" w:cs="Arial" w:eastAsia="Arial" w:hAnsi="Arial"/>
                <w:sz w:val="16"/>
                <w:szCs w:val="16"/>
                <w:b w:val="1"/>
                <w:bCs w:val="1"/>
                <w:color w:val="C8102E"/>
              </w:rPr>
              <w:t>Option Expiration Date</w:t>
            </w:r>
          </w:p>
        </w:tc>
        <w:tc>
          <w:tcPr>
            <w:tcW w:w="3940" w:type="dxa"/>
            <w:vAlign w:val="bottom"/>
          </w:tcPr>
          <w:p>
            <w:pPr>
              <w:jc w:val="right"/>
              <w:spacing w:after="0"/>
              <w:rPr>
                <w:sz w:val="20"/>
                <w:szCs w:val="20"/>
                <w:color w:val="auto"/>
              </w:rPr>
            </w:pPr>
            <w:r>
              <w:rPr>
                <w:rFonts w:ascii="Arial" w:cs="Arial" w:eastAsia="Arial" w:hAnsi="Arial"/>
                <w:sz w:val="16"/>
                <w:szCs w:val="16"/>
                <w:b w:val="1"/>
                <w:bCs w:val="1"/>
                <w:color w:val="C8102E"/>
              </w:rPr>
              <w:t>Option Full Vesting Date (options vest over</w:t>
            </w:r>
          </w:p>
        </w:tc>
        <w:tc>
          <w:tcPr>
            <w:tcW w:w="0" w:type="dxa"/>
            <w:vAlign w:val="bottom"/>
          </w:tcPr>
          <w:p>
            <w:pPr>
              <w:spacing w:after="0"/>
              <w:rPr>
                <w:sz w:val="1"/>
                <w:szCs w:val="1"/>
                <w:color w:val="auto"/>
              </w:rPr>
            </w:pPr>
          </w:p>
        </w:tc>
      </w:tr>
      <w:tr>
        <w:trPr>
          <w:trHeight w:val="189"/>
        </w:trPr>
        <w:tc>
          <w:tcPr>
            <w:tcW w:w="3100" w:type="dxa"/>
            <w:vAlign w:val="bottom"/>
            <w:tcBorders>
              <w:bottom w:val="single" w:sz="8" w:color="auto"/>
            </w:tcBorders>
            <w:vMerge w:val="continue"/>
          </w:tcPr>
          <w:p>
            <w:pPr>
              <w:spacing w:after="0"/>
              <w:rPr>
                <w:sz w:val="16"/>
                <w:szCs w:val="16"/>
                <w:color w:val="auto"/>
              </w:rPr>
            </w:pPr>
          </w:p>
        </w:tc>
        <w:tc>
          <w:tcPr>
            <w:tcW w:w="3980" w:type="dxa"/>
            <w:vAlign w:val="bottom"/>
            <w:tcBorders>
              <w:bottom w:val="single" w:sz="8" w:color="auto"/>
            </w:tcBorders>
            <w:vMerge w:val="continue"/>
          </w:tcPr>
          <w:p>
            <w:pPr>
              <w:spacing w:after="0"/>
              <w:rPr>
                <w:sz w:val="16"/>
                <w:szCs w:val="16"/>
                <w:color w:val="auto"/>
              </w:rPr>
            </w:pPr>
          </w:p>
        </w:tc>
        <w:tc>
          <w:tcPr>
            <w:tcW w:w="3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C8102E"/>
              </w:rPr>
              <w:t>three-year period except as noted above)</w:t>
            </w:r>
          </w:p>
        </w:tc>
        <w:tc>
          <w:tcPr>
            <w:tcW w:w="0" w:type="dxa"/>
            <w:vAlign w:val="bottom"/>
          </w:tcPr>
          <w:p>
            <w:pPr>
              <w:spacing w:after="0"/>
              <w:rPr>
                <w:sz w:val="1"/>
                <w:szCs w:val="1"/>
                <w:color w:val="auto"/>
              </w:rPr>
            </w:pPr>
          </w:p>
        </w:tc>
      </w:tr>
      <w:tr>
        <w:trPr>
          <w:trHeight w:val="183"/>
        </w:trPr>
        <w:tc>
          <w:tcPr>
            <w:tcW w:w="3100" w:type="dxa"/>
            <w:vAlign w:val="bottom"/>
          </w:tcPr>
          <w:p>
            <w:pPr>
              <w:ind w:left="60"/>
              <w:spacing w:after="0" w:line="183" w:lineRule="exact"/>
              <w:rPr>
                <w:sz w:val="20"/>
                <w:szCs w:val="20"/>
                <w:color w:val="auto"/>
              </w:rPr>
            </w:pPr>
            <w:r>
              <w:rPr>
                <w:rFonts w:ascii="Arial" w:cs="Arial" w:eastAsia="Arial" w:hAnsi="Arial"/>
                <w:sz w:val="16"/>
                <w:szCs w:val="16"/>
                <w:color w:val="auto"/>
              </w:rPr>
              <w:t>2/25/2019</w:t>
            </w:r>
          </w:p>
        </w:tc>
        <w:tc>
          <w:tcPr>
            <w:tcW w:w="3980" w:type="dxa"/>
            <w:vAlign w:val="bottom"/>
          </w:tcPr>
          <w:p>
            <w:pPr>
              <w:jc w:val="right"/>
              <w:ind w:right="539"/>
              <w:spacing w:after="0" w:line="183" w:lineRule="exact"/>
              <w:rPr>
                <w:sz w:val="20"/>
                <w:szCs w:val="20"/>
                <w:color w:val="auto"/>
              </w:rPr>
            </w:pPr>
            <w:r>
              <w:rPr>
                <w:rFonts w:ascii="Arial" w:cs="Arial" w:eastAsia="Arial" w:hAnsi="Arial"/>
                <w:sz w:val="16"/>
                <w:szCs w:val="16"/>
                <w:color w:val="auto"/>
              </w:rPr>
              <w:t>2/24/2026</w:t>
            </w:r>
          </w:p>
        </w:tc>
        <w:tc>
          <w:tcPr>
            <w:tcW w:w="3940" w:type="dxa"/>
            <w:vAlign w:val="bottom"/>
          </w:tcPr>
          <w:p>
            <w:pPr>
              <w:jc w:val="right"/>
              <w:spacing w:after="0" w:line="183" w:lineRule="exact"/>
              <w:rPr>
                <w:sz w:val="20"/>
                <w:szCs w:val="20"/>
                <w:color w:val="auto"/>
              </w:rPr>
            </w:pPr>
            <w:r>
              <w:rPr>
                <w:rFonts w:ascii="Arial" w:cs="Arial" w:eastAsia="Arial" w:hAnsi="Arial"/>
                <w:sz w:val="16"/>
                <w:szCs w:val="16"/>
                <w:color w:val="auto"/>
              </w:rPr>
              <w:t>2/25/2022</w:t>
            </w:r>
          </w:p>
        </w:tc>
        <w:tc>
          <w:tcPr>
            <w:tcW w:w="0" w:type="dxa"/>
            <w:vAlign w:val="bottom"/>
          </w:tcPr>
          <w:p>
            <w:pPr>
              <w:spacing w:after="0"/>
              <w:rPr>
                <w:sz w:val="1"/>
                <w:szCs w:val="1"/>
                <w:color w:val="auto"/>
              </w:rPr>
            </w:pPr>
          </w:p>
        </w:tc>
      </w:tr>
      <w:tr>
        <w:trPr>
          <w:trHeight w:val="216"/>
        </w:trPr>
        <w:tc>
          <w:tcPr>
            <w:tcW w:w="3100" w:type="dxa"/>
            <w:vAlign w:val="bottom"/>
            <w:shd w:val="clear" w:color="auto" w:fill="EDEDEE"/>
          </w:tcPr>
          <w:p>
            <w:pPr>
              <w:ind w:left="60"/>
              <w:spacing w:after="0"/>
              <w:rPr>
                <w:sz w:val="20"/>
                <w:szCs w:val="20"/>
                <w:color w:val="auto"/>
              </w:rPr>
            </w:pPr>
            <w:r>
              <w:rPr>
                <w:rFonts w:ascii="Arial" w:cs="Arial" w:eastAsia="Arial" w:hAnsi="Arial"/>
                <w:sz w:val="16"/>
                <w:szCs w:val="16"/>
                <w:color w:val="auto"/>
              </w:rPr>
              <w:t>2/24/2020</w:t>
            </w:r>
          </w:p>
        </w:tc>
        <w:tc>
          <w:tcPr>
            <w:tcW w:w="3980" w:type="dxa"/>
            <w:vAlign w:val="bottom"/>
            <w:shd w:val="clear" w:color="auto" w:fill="EDEDEE"/>
          </w:tcPr>
          <w:p>
            <w:pPr>
              <w:jc w:val="right"/>
              <w:ind w:right="539"/>
              <w:spacing w:after="0"/>
              <w:rPr>
                <w:sz w:val="20"/>
                <w:szCs w:val="20"/>
                <w:color w:val="auto"/>
              </w:rPr>
            </w:pPr>
            <w:r>
              <w:rPr>
                <w:rFonts w:ascii="Arial" w:cs="Arial" w:eastAsia="Arial" w:hAnsi="Arial"/>
                <w:sz w:val="16"/>
                <w:szCs w:val="16"/>
                <w:color w:val="auto"/>
              </w:rPr>
              <w:t>2/23/2027</w:t>
            </w:r>
          </w:p>
        </w:tc>
        <w:tc>
          <w:tcPr>
            <w:tcW w:w="3940" w:type="dxa"/>
            <w:vAlign w:val="bottom"/>
            <w:shd w:val="clear" w:color="auto" w:fill="EDEDEE"/>
          </w:tcPr>
          <w:p>
            <w:pPr>
              <w:jc w:val="right"/>
              <w:spacing w:after="0"/>
              <w:rPr>
                <w:sz w:val="20"/>
                <w:szCs w:val="20"/>
                <w:color w:val="auto"/>
              </w:rPr>
            </w:pPr>
            <w:r>
              <w:rPr>
                <w:rFonts w:ascii="Arial" w:cs="Arial" w:eastAsia="Arial" w:hAnsi="Arial"/>
                <w:sz w:val="16"/>
                <w:szCs w:val="16"/>
                <w:color w:val="auto"/>
              </w:rPr>
              <w:t>2/24/2023</w:t>
            </w:r>
          </w:p>
        </w:tc>
        <w:tc>
          <w:tcPr>
            <w:tcW w:w="0" w:type="dxa"/>
            <w:vAlign w:val="bottom"/>
          </w:tcPr>
          <w:p>
            <w:pPr>
              <w:spacing w:after="0"/>
              <w:rPr>
                <w:sz w:val="1"/>
                <w:szCs w:val="1"/>
                <w:color w:val="auto"/>
              </w:rPr>
            </w:pPr>
          </w:p>
        </w:tc>
      </w:tr>
      <w:tr>
        <w:trPr>
          <w:trHeight w:val="189"/>
        </w:trPr>
        <w:tc>
          <w:tcPr>
            <w:tcW w:w="3100" w:type="dxa"/>
            <w:vAlign w:val="bottom"/>
          </w:tcPr>
          <w:p>
            <w:pPr>
              <w:ind w:left="60"/>
              <w:spacing w:after="0"/>
              <w:rPr>
                <w:sz w:val="20"/>
                <w:szCs w:val="20"/>
                <w:color w:val="auto"/>
              </w:rPr>
            </w:pPr>
            <w:r>
              <w:rPr>
                <w:rFonts w:ascii="Arial" w:cs="Arial" w:eastAsia="Arial" w:hAnsi="Arial"/>
                <w:sz w:val="16"/>
                <w:szCs w:val="16"/>
                <w:color w:val="auto"/>
              </w:rPr>
              <w:t>3/17/2020</w:t>
            </w:r>
          </w:p>
        </w:tc>
        <w:tc>
          <w:tcPr>
            <w:tcW w:w="3980" w:type="dxa"/>
            <w:vAlign w:val="bottom"/>
          </w:tcPr>
          <w:p>
            <w:pPr>
              <w:jc w:val="right"/>
              <w:ind w:right="539"/>
              <w:spacing w:after="0"/>
              <w:rPr>
                <w:sz w:val="20"/>
                <w:szCs w:val="20"/>
                <w:color w:val="auto"/>
              </w:rPr>
            </w:pPr>
            <w:r>
              <w:rPr>
                <w:rFonts w:ascii="Arial" w:cs="Arial" w:eastAsia="Arial" w:hAnsi="Arial"/>
                <w:sz w:val="16"/>
                <w:szCs w:val="16"/>
                <w:color w:val="auto"/>
              </w:rPr>
              <w:t>3/16/2027</w:t>
            </w:r>
          </w:p>
        </w:tc>
        <w:tc>
          <w:tcPr>
            <w:tcW w:w="3940" w:type="dxa"/>
            <w:vAlign w:val="bottom"/>
          </w:tcPr>
          <w:p>
            <w:pPr>
              <w:jc w:val="right"/>
              <w:spacing w:after="0"/>
              <w:rPr>
                <w:sz w:val="20"/>
                <w:szCs w:val="20"/>
                <w:color w:val="auto"/>
              </w:rPr>
            </w:pPr>
            <w:r>
              <w:rPr>
                <w:rFonts w:ascii="Arial" w:cs="Arial" w:eastAsia="Arial" w:hAnsi="Arial"/>
                <w:sz w:val="16"/>
                <w:szCs w:val="16"/>
                <w:color w:val="auto"/>
              </w:rPr>
              <w:t>3/17/2023</w:t>
            </w:r>
          </w:p>
        </w:tc>
        <w:tc>
          <w:tcPr>
            <w:tcW w:w="0" w:type="dxa"/>
            <w:vAlign w:val="bottom"/>
          </w:tcPr>
          <w:p>
            <w:pPr>
              <w:spacing w:after="0"/>
              <w:rPr>
                <w:sz w:val="1"/>
                <w:szCs w:val="1"/>
                <w:color w:val="auto"/>
              </w:rPr>
            </w:pPr>
          </w:p>
        </w:tc>
      </w:tr>
      <w:tr>
        <w:trPr>
          <w:trHeight w:val="216"/>
        </w:trPr>
        <w:tc>
          <w:tcPr>
            <w:tcW w:w="3100" w:type="dxa"/>
            <w:vAlign w:val="bottom"/>
            <w:shd w:val="clear" w:color="auto" w:fill="EDEDEE"/>
          </w:tcPr>
          <w:p>
            <w:pPr>
              <w:ind w:left="60"/>
              <w:spacing w:after="0"/>
              <w:rPr>
                <w:sz w:val="20"/>
                <w:szCs w:val="20"/>
                <w:color w:val="auto"/>
              </w:rPr>
            </w:pPr>
            <w:r>
              <w:rPr>
                <w:rFonts w:ascii="Arial" w:cs="Arial" w:eastAsia="Arial" w:hAnsi="Arial"/>
                <w:sz w:val="16"/>
                <w:szCs w:val="16"/>
                <w:color w:val="auto"/>
              </w:rPr>
              <w:t>2/22/2021</w:t>
            </w:r>
          </w:p>
        </w:tc>
        <w:tc>
          <w:tcPr>
            <w:tcW w:w="3980" w:type="dxa"/>
            <w:vAlign w:val="bottom"/>
            <w:shd w:val="clear" w:color="auto" w:fill="EDEDEE"/>
          </w:tcPr>
          <w:p>
            <w:pPr>
              <w:jc w:val="right"/>
              <w:ind w:right="539"/>
              <w:spacing w:after="0"/>
              <w:rPr>
                <w:sz w:val="20"/>
                <w:szCs w:val="20"/>
                <w:color w:val="auto"/>
              </w:rPr>
            </w:pPr>
            <w:r>
              <w:rPr>
                <w:rFonts w:ascii="Arial" w:cs="Arial" w:eastAsia="Arial" w:hAnsi="Arial"/>
                <w:sz w:val="16"/>
                <w:szCs w:val="16"/>
                <w:color w:val="auto"/>
              </w:rPr>
              <w:t>2/21/2028</w:t>
            </w:r>
          </w:p>
        </w:tc>
        <w:tc>
          <w:tcPr>
            <w:tcW w:w="3940" w:type="dxa"/>
            <w:vAlign w:val="bottom"/>
            <w:shd w:val="clear" w:color="auto" w:fill="EDEDEE"/>
          </w:tcPr>
          <w:p>
            <w:pPr>
              <w:jc w:val="right"/>
              <w:spacing w:after="0"/>
              <w:rPr>
                <w:sz w:val="20"/>
                <w:szCs w:val="20"/>
                <w:color w:val="auto"/>
              </w:rPr>
            </w:pPr>
            <w:r>
              <w:rPr>
                <w:rFonts w:ascii="Arial" w:cs="Arial" w:eastAsia="Arial" w:hAnsi="Arial"/>
                <w:sz w:val="16"/>
                <w:szCs w:val="16"/>
                <w:color w:val="auto"/>
              </w:rPr>
              <w:t>2/22/2024</w:t>
            </w:r>
          </w:p>
        </w:tc>
        <w:tc>
          <w:tcPr>
            <w:tcW w:w="0" w:type="dxa"/>
            <w:vAlign w:val="bottom"/>
          </w:tcPr>
          <w:p>
            <w:pPr>
              <w:spacing w:after="0"/>
              <w:rPr>
                <w:sz w:val="1"/>
                <w:szCs w:val="1"/>
                <w:color w:val="auto"/>
              </w:rPr>
            </w:pPr>
          </w:p>
        </w:tc>
      </w:tr>
      <w:tr>
        <w:trPr>
          <w:trHeight w:val="189"/>
        </w:trPr>
        <w:tc>
          <w:tcPr>
            <w:tcW w:w="3100" w:type="dxa"/>
            <w:vAlign w:val="bottom"/>
          </w:tcPr>
          <w:p>
            <w:pPr>
              <w:ind w:left="60"/>
              <w:spacing w:after="0"/>
              <w:rPr>
                <w:sz w:val="20"/>
                <w:szCs w:val="20"/>
                <w:color w:val="auto"/>
              </w:rPr>
            </w:pPr>
            <w:r>
              <w:rPr>
                <w:rFonts w:ascii="Arial" w:cs="Arial" w:eastAsia="Arial" w:hAnsi="Arial"/>
                <w:sz w:val="16"/>
                <w:szCs w:val="16"/>
                <w:color w:val="auto"/>
              </w:rPr>
              <w:t>2/17/2022</w:t>
            </w:r>
          </w:p>
        </w:tc>
        <w:tc>
          <w:tcPr>
            <w:tcW w:w="3980" w:type="dxa"/>
            <w:vAlign w:val="bottom"/>
          </w:tcPr>
          <w:p>
            <w:pPr>
              <w:jc w:val="right"/>
              <w:ind w:right="539"/>
              <w:spacing w:after="0"/>
              <w:rPr>
                <w:sz w:val="20"/>
                <w:szCs w:val="20"/>
                <w:color w:val="auto"/>
              </w:rPr>
            </w:pPr>
            <w:r>
              <w:rPr>
                <w:rFonts w:ascii="Arial" w:cs="Arial" w:eastAsia="Arial" w:hAnsi="Arial"/>
                <w:sz w:val="16"/>
                <w:szCs w:val="16"/>
                <w:color w:val="auto"/>
              </w:rPr>
              <w:t>2/16/2029</w:t>
            </w:r>
          </w:p>
        </w:tc>
        <w:tc>
          <w:tcPr>
            <w:tcW w:w="3940" w:type="dxa"/>
            <w:vAlign w:val="bottom"/>
          </w:tcPr>
          <w:p>
            <w:pPr>
              <w:jc w:val="right"/>
              <w:spacing w:after="0"/>
              <w:rPr>
                <w:sz w:val="20"/>
                <w:szCs w:val="20"/>
                <w:color w:val="auto"/>
              </w:rPr>
            </w:pPr>
            <w:r>
              <w:rPr>
                <w:rFonts w:ascii="Arial" w:cs="Arial" w:eastAsia="Arial" w:hAnsi="Arial"/>
                <w:sz w:val="16"/>
                <w:szCs w:val="16"/>
                <w:color w:val="auto"/>
              </w:rPr>
              <w:t>2/17/2025</w:t>
            </w:r>
          </w:p>
        </w:tc>
        <w:tc>
          <w:tcPr>
            <w:tcW w:w="0" w:type="dxa"/>
            <w:vAlign w:val="bottom"/>
          </w:tcPr>
          <w:p>
            <w:pPr>
              <w:spacing w:after="0"/>
              <w:rPr>
                <w:sz w:val="1"/>
                <w:szCs w:val="1"/>
                <w:color w:val="auto"/>
              </w:rPr>
            </w:pPr>
          </w:p>
        </w:tc>
      </w:tr>
      <w:tr>
        <w:trPr>
          <w:trHeight w:val="162"/>
        </w:trPr>
        <w:tc>
          <w:tcPr>
            <w:tcW w:w="3100" w:type="dxa"/>
            <w:vAlign w:val="bottom"/>
            <w:tcBorders>
              <w:bottom w:val="single" w:sz="8" w:color="auto"/>
            </w:tcBorders>
            <w:shd w:val="clear" w:color="auto" w:fill="EDEDEE"/>
          </w:tcPr>
          <w:p>
            <w:pPr>
              <w:ind w:left="60"/>
              <w:spacing w:after="0" w:line="162" w:lineRule="exact"/>
              <w:rPr>
                <w:sz w:val="20"/>
                <w:szCs w:val="20"/>
                <w:color w:val="auto"/>
              </w:rPr>
            </w:pPr>
            <w:r>
              <w:rPr>
                <w:rFonts w:ascii="Arial" w:cs="Arial" w:eastAsia="Arial" w:hAnsi="Arial"/>
                <w:sz w:val="16"/>
                <w:szCs w:val="16"/>
                <w:color w:val="auto"/>
              </w:rPr>
              <w:t>2/28/2023</w:t>
            </w:r>
          </w:p>
        </w:tc>
        <w:tc>
          <w:tcPr>
            <w:tcW w:w="3980" w:type="dxa"/>
            <w:vAlign w:val="bottom"/>
            <w:tcBorders>
              <w:bottom w:val="single" w:sz="8" w:color="auto"/>
            </w:tcBorders>
            <w:shd w:val="clear" w:color="auto" w:fill="EDEDEE"/>
          </w:tcPr>
          <w:p>
            <w:pPr>
              <w:jc w:val="right"/>
              <w:ind w:right="539"/>
              <w:spacing w:after="0" w:line="162" w:lineRule="exact"/>
              <w:rPr>
                <w:sz w:val="20"/>
                <w:szCs w:val="20"/>
                <w:color w:val="auto"/>
              </w:rPr>
            </w:pPr>
            <w:r>
              <w:rPr>
                <w:rFonts w:ascii="Arial" w:cs="Arial" w:eastAsia="Arial" w:hAnsi="Arial"/>
                <w:sz w:val="16"/>
                <w:szCs w:val="16"/>
                <w:color w:val="auto"/>
              </w:rPr>
              <w:t>2/27/2030</w:t>
            </w:r>
          </w:p>
        </w:tc>
        <w:tc>
          <w:tcPr>
            <w:tcW w:w="3940" w:type="dxa"/>
            <w:vAlign w:val="bottom"/>
            <w:tcBorders>
              <w:bottom w:val="single" w:sz="8" w:color="auto"/>
            </w:tcBorders>
            <w:shd w:val="clear" w:color="auto" w:fill="EDEDEE"/>
          </w:tcPr>
          <w:p>
            <w:pPr>
              <w:jc w:val="right"/>
              <w:spacing w:after="0" w:line="162" w:lineRule="exact"/>
              <w:rPr>
                <w:sz w:val="20"/>
                <w:szCs w:val="20"/>
                <w:color w:val="auto"/>
              </w:rPr>
            </w:pPr>
            <w:r>
              <w:rPr>
                <w:rFonts w:ascii="Arial" w:cs="Arial" w:eastAsia="Arial" w:hAnsi="Arial"/>
                <w:sz w:val="16"/>
                <w:szCs w:val="16"/>
                <w:color w:val="auto"/>
              </w:rPr>
              <w:t>2/28/2026</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424" w:hanging="424"/>
        <w:spacing w:after="0"/>
        <w:tabs>
          <w:tab w:leader="none" w:pos="424" w:val="left"/>
        </w:tabs>
        <w:numPr>
          <w:ilvl w:val="0"/>
          <w:numId w:val="87"/>
        </w:numPr>
        <w:rPr>
          <w:rFonts w:ascii="Arial" w:cs="Arial" w:eastAsia="Arial" w:hAnsi="Arial"/>
          <w:sz w:val="14"/>
          <w:szCs w:val="14"/>
          <w:i w:val="1"/>
          <w:iCs w:val="1"/>
          <w:color w:val="auto"/>
        </w:rPr>
      </w:pPr>
      <w:r>
        <w:rPr>
          <w:rFonts w:ascii="Arial" w:cs="Arial" w:eastAsia="Arial" w:hAnsi="Arial"/>
          <w:sz w:val="14"/>
          <w:szCs w:val="14"/>
          <w:i w:val="1"/>
          <w:iCs w:val="1"/>
          <w:color w:val="auto"/>
        </w:rPr>
        <w:t>For Mr. McDonald, the amounts represent 96,296 RSUs, the remaining portion of an annual award that vests ratably over three years, beginning on May 12, 2026.</w:t>
      </w:r>
    </w:p>
    <w:p>
      <w:pPr>
        <w:spacing w:after="0" w:line="122" w:lineRule="exact"/>
        <w:rPr>
          <w:rFonts w:ascii="Arial" w:cs="Arial" w:eastAsia="Arial" w:hAnsi="Arial"/>
          <w:sz w:val="14"/>
          <w:szCs w:val="14"/>
          <w:i w:val="1"/>
          <w:iCs w:val="1"/>
          <w:color w:val="auto"/>
        </w:rPr>
      </w:pPr>
    </w:p>
    <w:p>
      <w:pPr>
        <w:jc w:val="both"/>
        <w:ind w:left="424"/>
        <w:spacing w:after="0" w:line="234" w:lineRule="auto"/>
        <w:rPr>
          <w:rFonts w:ascii="Arial" w:cs="Arial" w:eastAsia="Arial" w:hAnsi="Arial"/>
          <w:sz w:val="14"/>
          <w:szCs w:val="14"/>
          <w:i w:val="1"/>
          <w:iCs w:val="1"/>
          <w:color w:val="auto"/>
        </w:rPr>
      </w:pPr>
      <w:r>
        <w:rPr>
          <w:rFonts w:ascii="Arial" w:cs="Arial" w:eastAsia="Arial" w:hAnsi="Arial"/>
          <w:sz w:val="14"/>
          <w:szCs w:val="14"/>
          <w:i w:val="1"/>
          <w:iCs w:val="1"/>
          <w:color w:val="auto"/>
        </w:rPr>
        <w:t>For Mr. Trerotola, the amounts represent (i) 9,407 RSUs, the remaining portion of an annual award that vests ratably over three years, beginning on February 29, 2024, (ii) 42,985 RSUs, the remaining portion of an annual award that vests ratably over three years, beginning on March 4, 2025, and (iii) 94,135 RSUs, the remaining portion of an annual award that vests ratably over three years, beginning on March 7, 2026</w:t>
      </w:r>
    </w:p>
    <w:p>
      <w:pPr>
        <w:spacing w:after="0" w:line="136" w:lineRule="exact"/>
        <w:rPr>
          <w:sz w:val="20"/>
          <w:szCs w:val="20"/>
          <w:color w:val="auto"/>
        </w:rPr>
      </w:pPr>
    </w:p>
    <w:p>
      <w:pPr>
        <w:ind w:left="424" w:hanging="424"/>
        <w:spacing w:after="0"/>
        <w:tabs>
          <w:tab w:leader="none" w:pos="424" w:val="left"/>
        </w:tabs>
        <w:numPr>
          <w:ilvl w:val="0"/>
          <w:numId w:val="88"/>
        </w:numPr>
        <w:rPr>
          <w:rFonts w:ascii="Arial" w:cs="Arial" w:eastAsia="Arial" w:hAnsi="Arial"/>
          <w:sz w:val="14"/>
          <w:szCs w:val="14"/>
          <w:i w:val="1"/>
          <w:iCs w:val="1"/>
          <w:color w:val="auto"/>
        </w:rPr>
      </w:pPr>
      <w:r>
        <w:rPr>
          <w:rFonts w:ascii="Arial" w:cs="Arial" w:eastAsia="Arial" w:hAnsi="Arial"/>
          <w:sz w:val="14"/>
          <w:szCs w:val="14"/>
          <w:i w:val="1"/>
          <w:iCs w:val="1"/>
          <w:color w:val="auto"/>
        </w:rPr>
        <w:t>For Mr. Berry, the amounts represent (i) 1,612 RSUs, the remaining portion of an annual award that vests ratably over three years, beginning on February 29, 2024,</w:t>
      </w:r>
    </w:p>
    <w:p>
      <w:pPr>
        <w:jc w:val="both"/>
        <w:ind w:left="424" w:firstLine="8"/>
        <w:spacing w:after="0" w:line="228" w:lineRule="auto"/>
        <w:tabs>
          <w:tab w:leader="none" w:pos="628" w:val="left"/>
        </w:tabs>
        <w:numPr>
          <w:ilvl w:val="1"/>
          <w:numId w:val="88"/>
        </w:numPr>
        <w:rPr>
          <w:rFonts w:ascii="Arial" w:cs="Arial" w:eastAsia="Arial" w:hAnsi="Arial"/>
          <w:sz w:val="14"/>
          <w:szCs w:val="14"/>
          <w:i w:val="1"/>
          <w:iCs w:val="1"/>
          <w:color w:val="auto"/>
        </w:rPr>
      </w:pPr>
      <w:r>
        <w:rPr>
          <w:rFonts w:ascii="Arial" w:cs="Arial" w:eastAsia="Arial" w:hAnsi="Arial"/>
          <w:sz w:val="14"/>
          <w:szCs w:val="14"/>
          <w:i w:val="1"/>
          <w:iCs w:val="1"/>
          <w:color w:val="auto"/>
        </w:rPr>
        <w:t>11,021 RSUs, the remaining portion of an annual award that vests ratably over three years, beginning on March 4, 2025, (iii) 24,137 RSUs, the remaining portion that vests ratably over three years, beginning on March 7, 2026, and (iv) 59,259 RSUs, granted to Mr. Berry on May 12, 2025 as a retention award, the remaining portion that vests ratably over three years, beginning on May 12, 2026.</w:t>
      </w:r>
    </w:p>
    <w:p>
      <w:pPr>
        <w:spacing w:after="0" w:line="95" w:lineRule="exact"/>
        <w:rPr>
          <w:rFonts w:ascii="Arial" w:cs="Arial" w:eastAsia="Arial" w:hAnsi="Arial"/>
          <w:sz w:val="14"/>
          <w:szCs w:val="14"/>
          <w:i w:val="1"/>
          <w:iCs w:val="1"/>
          <w:color w:val="auto"/>
        </w:rPr>
      </w:pPr>
    </w:p>
    <w:p>
      <w:pPr>
        <w:ind w:left="424" w:hanging="424"/>
        <w:spacing w:after="0"/>
        <w:tabs>
          <w:tab w:leader="none" w:pos="424" w:val="left"/>
        </w:tabs>
        <w:numPr>
          <w:ilvl w:val="0"/>
          <w:numId w:val="88"/>
        </w:numPr>
        <w:rPr>
          <w:rFonts w:ascii="Arial" w:cs="Arial" w:eastAsia="Arial" w:hAnsi="Arial"/>
          <w:sz w:val="14"/>
          <w:szCs w:val="14"/>
          <w:i w:val="1"/>
          <w:iCs w:val="1"/>
          <w:color w:val="auto"/>
        </w:rPr>
      </w:pPr>
      <w:r>
        <w:rPr>
          <w:rFonts w:ascii="Arial" w:cs="Arial" w:eastAsia="Arial" w:hAnsi="Arial"/>
          <w:sz w:val="14"/>
          <w:szCs w:val="14"/>
          <w:i w:val="1"/>
          <w:iCs w:val="1"/>
          <w:color w:val="auto"/>
        </w:rPr>
        <w:t>For Mr. Pryor, the amounts represent (i) 2,620 RSUs, the remaining portion of an annual award that vests ratably over three years, beginning on February 29, 2024,</w:t>
      </w:r>
    </w:p>
    <w:p>
      <w:pPr>
        <w:jc w:val="both"/>
        <w:ind w:left="424" w:firstLine="8"/>
        <w:spacing w:after="0" w:line="228" w:lineRule="auto"/>
        <w:tabs>
          <w:tab w:leader="none" w:pos="638" w:val="left"/>
        </w:tabs>
        <w:numPr>
          <w:ilvl w:val="1"/>
          <w:numId w:val="88"/>
        </w:numPr>
        <w:rPr>
          <w:rFonts w:ascii="Arial" w:cs="Arial" w:eastAsia="Arial" w:hAnsi="Arial"/>
          <w:sz w:val="14"/>
          <w:szCs w:val="14"/>
          <w:i w:val="1"/>
          <w:iCs w:val="1"/>
          <w:color w:val="auto"/>
        </w:rPr>
      </w:pPr>
      <w:r>
        <w:rPr>
          <w:rFonts w:ascii="Arial" w:cs="Arial" w:eastAsia="Arial" w:hAnsi="Arial"/>
          <w:sz w:val="14"/>
          <w:szCs w:val="14"/>
          <w:i w:val="1"/>
          <w:iCs w:val="1"/>
          <w:color w:val="auto"/>
        </w:rPr>
        <w:t>8,062 RSUs, the remaining portion of an annual award that vests ratably over three years, beginning on February 29, 2024, (iii) 10,746 RSUs, , the remaining portion that vests ratably over three years, beginning on March 4, 2025, and (iv) 24,137 RSUs, the remaining portion of an annual award that vests ratably over three years, beginning on March 7, 2026</w:t>
      </w:r>
    </w:p>
    <w:p>
      <w:pPr>
        <w:spacing w:after="0" w:line="136" w:lineRule="exact"/>
        <w:rPr>
          <w:rFonts w:ascii="Arial" w:cs="Arial" w:eastAsia="Arial" w:hAnsi="Arial"/>
          <w:sz w:val="14"/>
          <w:szCs w:val="14"/>
          <w:i w:val="1"/>
          <w:iCs w:val="1"/>
          <w:color w:val="auto"/>
        </w:rPr>
      </w:pPr>
    </w:p>
    <w:p>
      <w:pPr>
        <w:ind w:left="424" w:hanging="424"/>
        <w:spacing w:after="0"/>
        <w:tabs>
          <w:tab w:leader="none" w:pos="424" w:val="left"/>
        </w:tabs>
        <w:numPr>
          <w:ilvl w:val="0"/>
          <w:numId w:val="88"/>
        </w:numPr>
        <w:rPr>
          <w:rFonts w:ascii="Arial" w:cs="Arial" w:eastAsia="Arial" w:hAnsi="Arial"/>
          <w:sz w:val="14"/>
          <w:szCs w:val="14"/>
          <w:i w:val="1"/>
          <w:iCs w:val="1"/>
          <w:color w:val="auto"/>
        </w:rPr>
      </w:pPr>
      <w:r>
        <w:rPr>
          <w:rFonts w:ascii="Arial" w:cs="Arial" w:eastAsia="Arial" w:hAnsi="Arial"/>
          <w:sz w:val="14"/>
          <w:szCs w:val="14"/>
          <w:i w:val="1"/>
          <w:iCs w:val="1"/>
          <w:color w:val="auto"/>
        </w:rPr>
        <w:t>For Mr. Ross, the amounts represent (i) 1,128 RSUs, the remaining portion of an annual award that vests ratably over three years, beginning on February 29, 2024,</w:t>
      </w:r>
    </w:p>
    <w:p>
      <w:pPr>
        <w:ind w:left="424" w:right="20" w:firstLine="8"/>
        <w:spacing w:after="0" w:line="244" w:lineRule="auto"/>
        <w:tabs>
          <w:tab w:leader="none" w:pos="624" w:val="left"/>
        </w:tabs>
        <w:numPr>
          <w:ilvl w:val="1"/>
          <w:numId w:val="88"/>
        </w:numPr>
        <w:rPr>
          <w:rFonts w:ascii="Arial" w:cs="Arial" w:eastAsia="Arial" w:hAnsi="Arial"/>
          <w:sz w:val="14"/>
          <w:szCs w:val="14"/>
          <w:i w:val="1"/>
          <w:iCs w:val="1"/>
          <w:color w:val="auto"/>
        </w:rPr>
      </w:pPr>
      <w:r>
        <w:rPr>
          <w:rFonts w:ascii="Arial" w:cs="Arial" w:eastAsia="Arial" w:hAnsi="Arial"/>
          <w:sz w:val="14"/>
          <w:szCs w:val="14"/>
          <w:i w:val="1"/>
          <w:iCs w:val="1"/>
          <w:color w:val="auto"/>
        </w:rPr>
        <w:t>4,132 RSUs, the remaining portion of an annual award that vests ratably over three years, beginning on March 4, 2025 and (iii) 18,103 RSUs, the remaining portion of an annual award that vests ratably over three years, beginning on March 7, 2026.</w:t>
      </w:r>
    </w:p>
    <w:p>
      <w:pPr>
        <w:spacing w:after="0" w:line="92" w:lineRule="exact"/>
        <w:rPr>
          <w:sz w:val="20"/>
          <w:szCs w:val="20"/>
          <w:color w:val="auto"/>
        </w:rPr>
      </w:pPr>
    </w:p>
    <w:p>
      <w:pPr>
        <w:ind w:left="424"/>
        <w:spacing w:after="0"/>
        <w:rPr>
          <w:sz w:val="20"/>
          <w:szCs w:val="20"/>
          <w:color w:val="auto"/>
        </w:rPr>
      </w:pPr>
      <w:r>
        <w:rPr>
          <w:rFonts w:ascii="Arial" w:cs="Arial" w:eastAsia="Arial" w:hAnsi="Arial"/>
          <w:sz w:val="14"/>
          <w:szCs w:val="14"/>
          <w:i w:val="1"/>
          <w:iCs w:val="1"/>
          <w:color w:val="auto"/>
        </w:rPr>
        <w:t>For Ms. Lang, the amounts represent (i) 1,343 RSUs, the remaining portion of an annual award that vests ratably over three years, beginning on February 29, 2024,</w:t>
      </w:r>
    </w:p>
    <w:p>
      <w:pPr>
        <w:ind w:left="424" w:right="20" w:firstLine="8"/>
        <w:spacing w:after="0" w:line="231" w:lineRule="auto"/>
        <w:tabs>
          <w:tab w:leader="none" w:pos="640" w:val="left"/>
        </w:tabs>
        <w:numPr>
          <w:ilvl w:val="0"/>
          <w:numId w:val="89"/>
        </w:numPr>
        <w:rPr>
          <w:rFonts w:ascii="Arial" w:cs="Arial" w:eastAsia="Arial" w:hAnsi="Arial"/>
          <w:sz w:val="14"/>
          <w:szCs w:val="14"/>
          <w:i w:val="1"/>
          <w:iCs w:val="1"/>
          <w:color w:val="auto"/>
        </w:rPr>
      </w:pPr>
      <w:r>
        <w:rPr>
          <w:rFonts w:ascii="Arial" w:cs="Arial" w:eastAsia="Arial" w:hAnsi="Arial"/>
          <w:sz w:val="14"/>
          <w:szCs w:val="14"/>
          <w:i w:val="1"/>
          <w:iCs w:val="1"/>
          <w:color w:val="auto"/>
        </w:rPr>
        <w:t>6,338 RSUs, the remaining portion of an annual award that vests ratably over three years, beginning on March 4, 2025, and (iii) 22,629 RSUs, the remaining portion of an annual award that vests ratably over three years, beginning on March 7,2026.</w:t>
      </w:r>
    </w:p>
    <w:p>
      <w:pPr>
        <w:spacing w:after="0" w:line="108" w:lineRule="exact"/>
        <w:rPr>
          <w:sz w:val="20"/>
          <w:szCs w:val="20"/>
          <w:color w:val="auto"/>
        </w:rPr>
      </w:pPr>
    </w:p>
    <w:p>
      <w:pPr>
        <w:ind w:left="424"/>
        <w:spacing w:after="0"/>
        <w:rPr>
          <w:sz w:val="20"/>
          <w:szCs w:val="20"/>
          <w:color w:val="auto"/>
        </w:rPr>
      </w:pPr>
      <w:r>
        <w:rPr>
          <w:rFonts w:ascii="Arial" w:cs="Arial" w:eastAsia="Arial" w:hAnsi="Arial"/>
          <w:sz w:val="14"/>
          <w:szCs w:val="14"/>
          <w:color w:val="auto"/>
        </w:rPr>
        <w:t>For Mr. Vogt, the amounts represent (i) 1,991 RSUs, the remaining portion of an annual award that vests ratably over three years, beginning on February 29, 2024, (ii)</w:t>
      </w:r>
    </w:p>
    <w:p>
      <w:pPr>
        <w:spacing w:after="0" w:line="2" w:lineRule="exact"/>
        <w:rPr>
          <w:sz w:val="20"/>
          <w:szCs w:val="20"/>
          <w:color w:val="auto"/>
        </w:rPr>
      </w:pPr>
    </w:p>
    <w:p>
      <w:pPr>
        <w:ind w:left="424" w:right="20"/>
        <w:spacing w:after="0" w:line="231" w:lineRule="auto"/>
        <w:rPr>
          <w:sz w:val="20"/>
          <w:szCs w:val="20"/>
          <w:color w:val="auto"/>
        </w:rPr>
      </w:pPr>
      <w:r>
        <w:rPr>
          <w:rFonts w:ascii="Arial" w:cs="Arial" w:eastAsia="Arial" w:hAnsi="Arial"/>
          <w:sz w:val="14"/>
          <w:szCs w:val="14"/>
          <w:color w:val="auto"/>
        </w:rPr>
        <w:t>4,132 RSUs, the remaining portion of an annual award that vests ratably over three years, beginning on March 4, 2025 and (iii) 15,086 RSUs, the remaining portion of an annual award that vests ratably over three years, beginning on March 7, 2026.</w:t>
      </w:r>
    </w:p>
    <w:p>
      <w:pPr>
        <w:spacing w:after="0" w:line="178" w:lineRule="exact"/>
        <w:rPr>
          <w:sz w:val="20"/>
          <w:szCs w:val="20"/>
          <w:color w:val="auto"/>
        </w:rPr>
      </w:pPr>
    </w:p>
    <w:p>
      <w:pPr>
        <w:ind w:left="424" w:right="20" w:hanging="424"/>
        <w:spacing w:after="0" w:line="261" w:lineRule="auto"/>
        <w:tabs>
          <w:tab w:leader="none" w:pos="424" w:val="left"/>
        </w:tabs>
        <w:numPr>
          <w:ilvl w:val="0"/>
          <w:numId w:val="90"/>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amounts shown in this column represent the market value of the unvested PRSUs or restricted stock units, as applicable, based on the closing price of the Company’s common stock on December 31, 2025, which was $26.64 per share, multiplied by the number of units, respectively, for each unvested award.</w:t>
      </w:r>
    </w:p>
    <w:p>
      <w:pPr>
        <w:spacing w:after="0" w:line="108" w:lineRule="exact"/>
        <w:rPr>
          <w:rFonts w:ascii="Arial" w:cs="Arial" w:eastAsia="Arial" w:hAnsi="Arial"/>
          <w:sz w:val="14"/>
          <w:szCs w:val="14"/>
          <w:i w:val="1"/>
          <w:iCs w:val="1"/>
          <w:color w:val="auto"/>
        </w:rPr>
      </w:pPr>
    </w:p>
    <w:p>
      <w:pPr>
        <w:jc w:val="both"/>
        <w:ind w:left="424" w:right="20" w:hanging="424"/>
        <w:spacing w:after="0" w:line="241" w:lineRule="auto"/>
        <w:tabs>
          <w:tab w:leader="none" w:pos="424" w:val="left"/>
        </w:tabs>
        <w:numPr>
          <w:ilvl w:val="0"/>
          <w:numId w:val="90"/>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amounts shown in this column reflect unearned PRSUs as of December 31, 2025. If earned, these PRSUs are then subject to an additional service-based vesting period. The amounts shown in this column reflect awards made in 2025 and show the target amount of PRSUs that may be earned at the end of the performance period upon certification by the CHCM Committee. These amounts would cliff vest at the end of the three-year performance period, if earned.</w:t>
      </w:r>
    </w:p>
    <w:p>
      <w:pPr>
        <w:spacing w:after="0" w:line="136" w:lineRule="exact"/>
        <w:rPr>
          <w:rFonts w:ascii="Arial" w:cs="Arial" w:eastAsia="Arial" w:hAnsi="Arial"/>
          <w:sz w:val="14"/>
          <w:szCs w:val="14"/>
          <w:i w:val="1"/>
          <w:iCs w:val="1"/>
          <w:color w:val="auto"/>
        </w:rPr>
      </w:pPr>
    </w:p>
    <w:p>
      <w:pPr>
        <w:jc w:val="both"/>
        <w:ind w:left="424" w:right="20" w:hanging="424"/>
        <w:spacing w:after="0" w:line="234" w:lineRule="auto"/>
        <w:tabs>
          <w:tab w:leader="none" w:pos="424" w:val="left"/>
        </w:tabs>
        <w:numPr>
          <w:ilvl w:val="0"/>
          <w:numId w:val="90"/>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amounts shown in this column represent the estimated value of the unearned PRSUs using a Monte Carlo simulation valuation model resulting in a value of $7.93 for the 2024 PRSUs and $16.55 for the 2025 PRSUs multiplied by the target number of units for each unvested and unearned performance stock award. A Monte Carlos simulation valuation was also completed for Mr. McDonald’s PRSUs granted on May 12, 2025 resulting in a value of $16.47 for this award.</w:t>
      </w:r>
    </w:p>
    <w:p>
      <w:pPr>
        <w:spacing w:after="0" w:line="157" w:lineRule="exact"/>
        <w:rPr>
          <w:sz w:val="20"/>
          <w:szCs w:val="20"/>
          <w:color w:val="auto"/>
        </w:rPr>
      </w:pPr>
    </w:p>
    <w:p>
      <w:pPr>
        <w:ind w:left="7524"/>
        <w:spacing w:after="0"/>
        <w:tabs>
          <w:tab w:leader="none" w:pos="10804" w:val="left"/>
        </w:tabs>
        <w:rPr>
          <w:sz w:val="20"/>
          <w:szCs w:val="20"/>
          <w:color w:val="auto"/>
        </w:rPr>
      </w:pPr>
      <w:r>
        <w:rPr>
          <w:sz w:val="1"/>
          <w:szCs w:val="1"/>
          <w:color w:val="auto"/>
        </w:rPr>
        <w:drawing>
          <wp:inline distT="0" distB="0" distL="0" distR="0">
            <wp:extent cx="685800" cy="163195"/>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0" cy="163195"/>
                    </a:xfrm>
                    <a:prstGeom prst="rect">
                      <a:avLst/>
                    </a:prstGeom>
                    <a:noFill/>
                    <a:ln>
                      <a:noFill/>
                    </a:ln>
                  </pic:spPr>
                </pic:pic>
              </a:graphicData>
            </a:graphic>
          </wp:inline>
        </w:drawing>
      </w:r>
      <w:r>
        <w:rPr>
          <w:rFonts w:ascii="Arial" w:cs="Arial" w:eastAsia="Arial" w:hAnsi="Arial"/>
          <w:sz w:val="18"/>
          <w:szCs w:val="18"/>
          <w:color w:val="auto"/>
        </w:rPr>
        <w:t xml:space="preserve"> - 2026 Proxy Statement</w:t>
      </w:r>
      <w:r>
        <w:rPr>
          <w:sz w:val="20"/>
          <w:szCs w:val="20"/>
          <w:color w:val="auto"/>
        </w:rPr>
        <w:tab/>
      </w: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-186690</wp:posOffset>
            </wp:positionV>
            <wp:extent cx="6995160" cy="3257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5160" cy="325755"/>
                    </a:xfrm>
                    <a:prstGeom prst="rect">
                      <a:avLst/>
                    </a:prstGeom>
                    <a:noFill/>
                  </pic:spPr>
                </pic:pic>
              </a:graphicData>
            </a:graphic>
          </wp:anchor>
        </w:drawing>
      </w:r>
    </w:p>
    <w:p>
      <w:pPr>
        <w:sectPr>
          <w:pgSz w:w="11900" w:h="16838" w:orient="portrait"/>
          <w:cols w:equalWidth="0" w:num="1">
            <w:col w:w="11024"/>
          </w:cols>
          <w:pgMar w:left="436" w:top="617" w:right="439" w:bottom="1440" w:gutter="0" w:footer="0" w:header="0"/>
        </w:sectPr>
      </w:pPr>
    </w:p>
    <w:bookmarkStart w:id="51" w:name="page52"/>
    <w:bookmarkEnd w:id="51"/>
    <w:p>
      <w:pPr>
        <w:ind w:right="320"/>
        <w:spacing w:after="0" w:line="247" w:lineRule="auto"/>
        <w:rPr>
          <w:sz w:val="20"/>
          <w:szCs w:val="20"/>
          <w:color w:val="auto"/>
        </w:rPr>
      </w:pPr>
      <w:r>
        <w:rPr>
          <w:rFonts w:ascii="Arial" w:cs="Arial" w:eastAsia="Arial" w:hAnsi="Arial"/>
          <w:sz w:val="23"/>
          <w:szCs w:val="23"/>
          <w:color w:val="auto"/>
        </w:rPr>
        <w:t>Employment Agreements, Change in Control Agreements, Retention Agreements and Executive Officer Severance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-342265</wp:posOffset>
            </wp:positionV>
            <wp:extent cx="699516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-25400</wp:posOffset>
            </wp:positionV>
            <wp:extent cx="699516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7" w:lineRule="exact"/>
        <w:rPr>
          <w:sz w:val="20"/>
          <w:szCs w:val="20"/>
          <w:color w:val="auto"/>
        </w:rPr>
      </w:pPr>
    </w:p>
    <w:p>
      <w:pPr>
        <w:jc w:val="both"/>
        <w:spacing w:after="0"/>
        <w:rPr>
          <w:sz w:val="20"/>
          <w:szCs w:val="20"/>
          <w:color w:val="auto"/>
        </w:rPr>
      </w:pPr>
      <w:r>
        <w:rPr>
          <w:rFonts w:ascii="Arial" w:cs="Arial" w:eastAsia="Arial" w:hAnsi="Arial"/>
          <w:sz w:val="16"/>
          <w:szCs w:val="16"/>
          <w:color w:val="auto"/>
        </w:rPr>
        <w:t>As further described below, Mr. McDonald is party to an employment letter agreement entered into upon his hire, Mr. Berry is party to an employment letter agreement entered into upon his promotion to the position of Chief Financial Officer, Ms. Lang is party to an employment letter agreement entered into upon her hire. Messrs. Ross and Vogt are parties to employment letter agreements entered into upon their promotion to positions of Business Unit Presidents.</w:t>
      </w:r>
    </w:p>
    <w:p>
      <w:pPr>
        <w:spacing w:after="0" w:line="258" w:lineRule="exact"/>
        <w:rPr>
          <w:sz w:val="20"/>
          <w:szCs w:val="20"/>
          <w:color w:val="auto"/>
        </w:rPr>
      </w:pPr>
    </w:p>
    <w:p>
      <w:pPr>
        <w:jc w:val="both"/>
        <w:ind w:right="20"/>
        <w:spacing w:after="0" w:line="228" w:lineRule="auto"/>
        <w:rPr>
          <w:sz w:val="20"/>
          <w:szCs w:val="20"/>
          <w:color w:val="auto"/>
        </w:rPr>
      </w:pPr>
      <w:r>
        <w:rPr>
          <w:rFonts w:ascii="Arial" w:cs="Arial" w:eastAsia="Arial" w:hAnsi="Arial"/>
          <w:sz w:val="16"/>
          <w:szCs w:val="16"/>
          <w:color w:val="auto"/>
        </w:rPr>
        <w:t>Each of our NEOs, with the exception of Mr. Trerotola, are party to our current form of change in control agreement for executive officers, which was approved by the Board on October 27, 2020. Mr. Trerotola and Ms. Lang are also party to retirement and transition agreements with the Company, and Mr. Pryor is party to a separation and general release agreement with the Company (in each case, as described below under “Potential Payments upon Termination or Change in Control”).</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Employment Agreements</w:t>
      </w:r>
    </w:p>
    <w:p>
      <w:pPr>
        <w:spacing w:after="0" w:line="131" w:lineRule="exact"/>
        <w:rPr>
          <w:sz w:val="20"/>
          <w:szCs w:val="20"/>
          <w:color w:val="auto"/>
        </w:rPr>
      </w:pPr>
    </w:p>
    <w:p>
      <w:pPr>
        <w:jc w:val="both"/>
        <w:spacing w:after="0" w:line="222" w:lineRule="auto"/>
        <w:rPr>
          <w:sz w:val="20"/>
          <w:szCs w:val="20"/>
          <w:color w:val="auto"/>
        </w:rPr>
      </w:pPr>
      <w:r>
        <w:rPr>
          <w:rFonts w:ascii="Arial" w:cs="Arial" w:eastAsia="Arial" w:hAnsi="Arial"/>
          <w:sz w:val="16"/>
          <w:szCs w:val="16"/>
          <w:color w:val="auto"/>
        </w:rPr>
        <w:t>Mr. McDonald is party to a letter agreement with the Company, which has an initial three-year term, subject to automatic one-year term extensions thereafter, unless we or Mr. McDonald provides written notice in advance to terminate the automatic extension provision. Mr. McDonald’s base salary may not be reduced below the amount previously in effect. In addition, Mr. McDonald is entitled to participate in our Annual Incentive Plan with a target bonus amount no less than 125% of his base salary then in effect. Mr. McDonald’s agreement also provides for standard executive severance benefits including enhanced change in control severance benefits only if a termination for “good reason” or other than for “cause” occurs within two years following the change in control (i.e., “double trigger” provisions).</w:t>
      </w:r>
    </w:p>
    <w:p>
      <w:pPr>
        <w:spacing w:after="0" w:line="113" w:lineRule="exact"/>
        <w:rPr>
          <w:sz w:val="20"/>
          <w:szCs w:val="20"/>
          <w:color w:val="auto"/>
        </w:rPr>
      </w:pPr>
    </w:p>
    <w:p>
      <w:pPr>
        <w:jc w:val="both"/>
        <w:ind w:right="20"/>
        <w:spacing w:after="0" w:line="218" w:lineRule="auto"/>
        <w:rPr>
          <w:sz w:val="20"/>
          <w:szCs w:val="20"/>
          <w:color w:val="auto"/>
        </w:rPr>
      </w:pPr>
      <w:r>
        <w:rPr>
          <w:rFonts w:ascii="Arial" w:cs="Arial" w:eastAsia="Arial" w:hAnsi="Arial"/>
          <w:sz w:val="16"/>
          <w:szCs w:val="16"/>
          <w:color w:val="auto"/>
        </w:rPr>
        <w:t>Mr. Trerotola is party to a retirement and transition agreement with the Company, entered into on March 13, 2025 following his notification to the Board of his intention to retire from his position as CEO of the Company, and effective as of May 12, 2025 upon the Board’s appointment of Mr. McDonald as CEO. The agreement sets forth the terms of Mr. Trerotola’s continued employment with the Company as an Executive Advisor for a one year transition period commencing from May 12, 2025. Pursuant to the agreement, Mr. Trerotola continued to receive his original annual base salary for 2025 through the second calendar month following the appointment of his successor, and thereafter, for the duration of the transition period, will receive a reduced base salary that is commensurate with his level of involvement in transition matters; provided that such reduced base salary shall not be less than 50% of his original 2025 base salary. During the transition period, Mr. Trerotola will remain eligible to receive the perquisites and participate in the employee benefit plans and programs in which he currently participates, but will not be eligible to receive any additional equity or long-term incentive cash awards under the Company’s long-term incentive plans.</w:t>
      </w:r>
    </w:p>
    <w:p>
      <w:pPr>
        <w:spacing w:after="0" w:line="116"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Mr. Berry’s letter agreement, entered into upon his promotion to the position of Chief Financial Officer, provides that his base salary is a specified amount and that he is entitled to annual merit salary increases based on benchmarking and Company merit increase guidelines. In addition, Mr. Berry is entitled to receive an annual bonus as a percentage of his base salary. Mr. Berry’s letter agreement also provides severance and other benefits.</w:t>
      </w:r>
    </w:p>
    <w:p>
      <w:pPr>
        <w:spacing w:after="0" w:line="110" w:lineRule="exact"/>
        <w:rPr>
          <w:sz w:val="20"/>
          <w:szCs w:val="20"/>
          <w:color w:val="auto"/>
        </w:rPr>
      </w:pPr>
    </w:p>
    <w:p>
      <w:pPr>
        <w:jc w:val="both"/>
        <w:ind w:right="20"/>
        <w:spacing w:after="0" w:line="225" w:lineRule="auto"/>
        <w:rPr>
          <w:sz w:val="20"/>
          <w:szCs w:val="20"/>
          <w:color w:val="auto"/>
        </w:rPr>
      </w:pPr>
      <w:r>
        <w:rPr>
          <w:rFonts w:ascii="Arial" w:cs="Arial" w:eastAsia="Arial" w:hAnsi="Arial"/>
          <w:sz w:val="16"/>
          <w:szCs w:val="16"/>
          <w:color w:val="auto"/>
        </w:rPr>
        <w:t>In connection with his departure from the Company on March 31, 2026, Mr. Pryor and the Company entered into a Separation and General Release Agreement dated November 14, 2025. Pursuant to the agreement, Mr. Pryor will receive a lump sum payment equal to one times his base salary and his target annual incentive compensation (or, if greater, the average of the two highest actual annual incentive payments made to him during the last three years) (the “Pryor Severance Agreement”). Mr. Pryor will also receive a lump sum payment equal to his pro rata annual incentive compensation for 2026 subject to the performance criteria having been met for 2026 under the Annual Incentive Plan.</w:t>
      </w:r>
    </w:p>
    <w:p>
      <w:pPr>
        <w:spacing w:after="0" w:line="11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Messrs. Ross and Vogt each received a promotion to Group President effective January 1, 2024 which provided for base salary in a specified amount and annual merit salary increases based on benchmarking and Company merit guidelines, annual bonus as a percentage of base salary, personal financial planning services of up to $10,000 annually and other benefits.</w:t>
      </w:r>
    </w:p>
    <w:p>
      <w:pPr>
        <w:spacing w:after="0" w:line="110" w:lineRule="exact"/>
        <w:rPr>
          <w:sz w:val="20"/>
          <w:szCs w:val="20"/>
          <w:color w:val="auto"/>
        </w:rPr>
      </w:pPr>
    </w:p>
    <w:p>
      <w:pPr>
        <w:jc w:val="both"/>
        <w:ind w:right="20"/>
        <w:spacing w:after="0"/>
        <w:rPr>
          <w:sz w:val="20"/>
          <w:szCs w:val="20"/>
          <w:color w:val="auto"/>
        </w:rPr>
      </w:pPr>
      <w:r>
        <w:rPr>
          <w:rFonts w:ascii="Arial" w:cs="Arial" w:eastAsia="Arial" w:hAnsi="Arial"/>
          <w:sz w:val="16"/>
          <w:szCs w:val="16"/>
          <w:color w:val="auto"/>
        </w:rPr>
        <w:t>Ms. Lang and the Company entered into a retirement and transition agreement, dated December 10, 2025. Effective April 3, 2026, Ms. Lang will transition from the position of the Company’s Senior Vice President and Chief Human Resources Officer to a non-executive, advisory role for the Company. Ms. Lang will continue to receive her current salary during the first 6 months of the transition period, while she mentors her successor and completes other projects. For the remainder of the transition period until her retirement from the Company on April 3, 2027, her salary will be reduced to 50% of its current level.</w:t>
      </w:r>
    </w:p>
    <w:p>
      <w:pPr>
        <w:spacing w:after="0" w:line="236" w:lineRule="exact"/>
        <w:rPr>
          <w:sz w:val="20"/>
          <w:szCs w:val="20"/>
          <w:color w:val="auto"/>
        </w:rPr>
      </w:pPr>
    </w:p>
    <w:p>
      <w:pPr>
        <w:jc w:val="both"/>
        <w:ind w:right="20"/>
        <w:spacing w:after="0" w:line="228" w:lineRule="auto"/>
        <w:rPr>
          <w:sz w:val="20"/>
          <w:szCs w:val="20"/>
          <w:color w:val="auto"/>
        </w:rPr>
      </w:pPr>
      <w:r>
        <w:rPr>
          <w:rFonts w:ascii="Arial" w:cs="Arial" w:eastAsia="Arial" w:hAnsi="Arial"/>
          <w:sz w:val="16"/>
          <w:szCs w:val="16"/>
          <w:color w:val="auto"/>
        </w:rPr>
        <w:t>In addition, each of our NEOs other than Mr. Trerotola is party to a change in control agreement with the Company. Under the change in control agreements, severance payable upon a change in control is only received upon the executive officer’s termination without cause or resignation for good reason within two years following, or the three months preceding, the change in control. The change in control agreements are designed to retain these executive officers and ensure their continued dedication to the Company notwithstanding a possible change in control.</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Agreements and Other Agreements</w:t>
      </w:r>
    </w:p>
    <w:p>
      <w:pPr>
        <w:spacing w:after="0" w:line="149" w:lineRule="exact"/>
        <w:rPr>
          <w:sz w:val="20"/>
          <w:szCs w:val="20"/>
          <w:color w:val="auto"/>
        </w:rPr>
      </w:pPr>
    </w:p>
    <w:p>
      <w:pPr>
        <w:jc w:val="both"/>
        <w:ind w:right="20"/>
        <w:spacing w:after="0" w:line="228" w:lineRule="auto"/>
        <w:rPr>
          <w:sz w:val="20"/>
          <w:szCs w:val="20"/>
          <w:color w:val="auto"/>
        </w:rPr>
      </w:pPr>
      <w:r>
        <w:rPr>
          <w:rFonts w:ascii="Arial" w:cs="Arial" w:eastAsia="Arial" w:hAnsi="Arial"/>
          <w:sz w:val="16"/>
          <w:szCs w:val="16"/>
          <w:color w:val="auto"/>
        </w:rPr>
        <w:t>On October 27, 2020, the Board approved a new form of change in control agreement for certain executive officers. Messrs. McDonald, Berry, Pryor, Ross, Vogt and Ms. Lang are each parties to change in control agreements based on this form. The change in control agreements supersede and replace any prior agreement between the Company and such executive officers with respect to a “change in control” of the Company (as described below under “Potential Payments Upon Termination or Change in Control”).</w:t>
      </w:r>
    </w:p>
    <w:p>
      <w:pPr>
        <w:spacing w:after="0" w:line="111" w:lineRule="exact"/>
        <w:rPr>
          <w:sz w:val="20"/>
          <w:szCs w:val="20"/>
          <w:color w:val="auto"/>
        </w:rPr>
      </w:pPr>
    </w:p>
    <w:p>
      <w:pPr>
        <w:jc w:val="both"/>
        <w:spacing w:after="0" w:line="219" w:lineRule="auto"/>
        <w:rPr>
          <w:sz w:val="20"/>
          <w:szCs w:val="20"/>
          <w:color w:val="auto"/>
        </w:rPr>
      </w:pPr>
      <w:r>
        <w:rPr>
          <w:rFonts w:ascii="Arial" w:cs="Arial" w:eastAsia="Arial" w:hAnsi="Arial"/>
          <w:sz w:val="16"/>
          <w:szCs w:val="16"/>
          <w:color w:val="auto"/>
        </w:rPr>
        <w:t>Pursuant to the change in control agreements, upon a change in control of the Company, each executive officer will be entitled to an annual base salary, cash bonus opportunity and benefits package equal to or greater than the base salary, cash bonus opportunity or benefits package in effect for such executive officer immediately prior to the change in control. If during the two year period following, or the three month period preceding, a change in control of the Company, (a) the Company terminates the executive officer’s employment other than for cause or by reason of death or disability (as such terms are defined in the change in control agreements) or (b) the executive officer resigns for good reason (as such term is defined in the change in control agreements), the Company will pay the executive officer an amount equal to: (i) two times the annual base salary of such executive officer plus (ii) two times the target cash bonus opportunity of such executive officer. Any outstanding long-term equity incentive awards held by the executive officer will continue to be treated in accordance with the terms and conditions of the award agreements and plans pursuant to which such awards were granted.</w:t>
      </w:r>
    </w:p>
    <w:p>
      <w:pPr>
        <w:spacing w:after="0" w:line="115"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Each change in control agreement has an initial two-year term, subject to automatic extension for successive one-year periods unless either the Company or the executive officer gives notice of non-renewal to the other or the agreement is otherwise terminated pursuant to its terms.</w:t>
      </w:r>
    </w:p>
    <w:p>
      <w:pPr>
        <w:spacing w:after="0" w:line="101"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Additional information on certain benefits provided under the forms of employment agreement and change in control agreement in certain terminations or in connection with a change of control is discussed below under “Potential Payments Upon Termination or Change in Control.”</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-118745</wp:posOffset>
            </wp:positionV>
            <wp:extent cx="762635" cy="3860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62635" cy="38608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699516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689" w:right="439" w:bottom="1440" w:gutter="0" w:footer="0" w:header="0"/>
        </w:sectPr>
      </w:pPr>
    </w:p>
    <w:bookmarkStart w:id="52" w:name="page53"/>
    <w:bookmarkEnd w:id="52"/>
    <w:p>
      <w:pPr>
        <w:spacing w:after="0"/>
        <w:rPr>
          <w:sz w:val="20"/>
          <w:szCs w:val="20"/>
          <w:color w:val="auto"/>
        </w:rPr>
      </w:pPr>
      <w:r>
        <w:rPr>
          <w:rFonts w:ascii="Arial" w:cs="Arial" w:eastAsia="Arial" w:hAnsi="Arial"/>
          <w:sz w:val="23"/>
          <w:szCs w:val="23"/>
          <w:color w:val="auto"/>
        </w:rPr>
        <w:drawing>
          <wp:anchor simplePos="0" relativeHeight="251657728" behindDoc="1" locked="0" layoutInCell="0" allowOverlap="1">
            <wp:simplePos x="0" y="0"/>
            <wp:positionH relativeFrom="page">
              <wp:posOffset>276860</wp:posOffset>
            </wp:positionH>
            <wp:positionV relativeFrom="page">
              <wp:posOffset>423545</wp:posOffset>
            </wp:positionV>
            <wp:extent cx="699516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95160" cy="8890"/>
                    </a:xfrm>
                    <a:prstGeom prst="rect">
                      <a:avLst/>
                    </a:prstGeom>
                    <a:noFill/>
                  </pic:spPr>
                </pic:pic>
              </a:graphicData>
            </a:graphic>
          </wp:anchor>
        </w:drawing>
        <w:t>Option Exercises and Stock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699516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8"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following table provides information regarding the vesting of earned PRSUs and RSUs during 2025. There were no stock options exercised by NEOs in 2025. The number of shares acquired upon vesting and the value realized before payment of any taxes and broker commissions is reflected below. Value realized represents the product of the number of shares received upon vesting and the closing market price of our common stock on the vesting date.</w:t>
      </w:r>
    </w:p>
    <w:p>
      <w:pPr>
        <w:spacing w:after="0" w:line="242" w:lineRule="exact"/>
        <w:rPr>
          <w:sz w:val="20"/>
          <w:szCs w:val="20"/>
          <w:color w:val="auto"/>
        </w:rPr>
      </w:pPr>
    </w:p>
    <w:p>
      <w:pPr>
        <w:spacing w:after="0"/>
        <w:rPr>
          <w:sz w:val="20"/>
          <w:szCs w:val="20"/>
          <w:color w:val="auto"/>
        </w:rPr>
      </w:pPr>
      <w:r>
        <w:rPr>
          <w:rFonts w:ascii="Arial" w:cs="Arial" w:eastAsia="Arial" w:hAnsi="Arial"/>
          <w:sz w:val="32"/>
          <w:szCs w:val="32"/>
          <w:b w:val="1"/>
          <w:bCs w:val="1"/>
          <w:color w:val="C8102E"/>
        </w:rPr>
        <w:t>Option Exercises and Stock Vested During Fiscal 2025</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00" w:type="dxa"/>
            <w:vAlign w:val="bottom"/>
          </w:tcPr>
          <w:p>
            <w:pPr>
              <w:spacing w:after="0"/>
              <w:rPr>
                <w:sz w:val="16"/>
                <w:szCs w:val="16"/>
                <w:color w:val="auto"/>
              </w:rPr>
            </w:pPr>
          </w:p>
        </w:tc>
        <w:tc>
          <w:tcPr>
            <w:tcW w:w="3320" w:type="dxa"/>
            <w:vAlign w:val="bottom"/>
            <w:gridSpan w:val="3"/>
          </w:tcPr>
          <w:p>
            <w:pPr>
              <w:jc w:val="right"/>
              <w:ind w:right="1160"/>
              <w:spacing w:after="0"/>
              <w:rPr>
                <w:sz w:val="20"/>
                <w:szCs w:val="20"/>
                <w:color w:val="auto"/>
              </w:rPr>
            </w:pPr>
            <w:r>
              <w:rPr>
                <w:rFonts w:ascii="Arial" w:cs="Arial" w:eastAsia="Arial" w:hAnsi="Arial"/>
                <w:sz w:val="16"/>
                <w:szCs w:val="16"/>
                <w:b w:val="1"/>
                <w:bCs w:val="1"/>
                <w:color w:val="C8102E"/>
              </w:rPr>
              <w:t>Option Awards</w:t>
            </w:r>
          </w:p>
        </w:tc>
        <w:tc>
          <w:tcPr>
            <w:tcW w:w="3200" w:type="dxa"/>
            <w:vAlign w:val="bottom"/>
            <w:gridSpan w:val="3"/>
          </w:tcPr>
          <w:p>
            <w:pPr>
              <w:jc w:val="right"/>
              <w:ind w:right="1100"/>
              <w:spacing w:after="0"/>
              <w:rPr>
                <w:sz w:val="20"/>
                <w:szCs w:val="20"/>
                <w:color w:val="auto"/>
              </w:rPr>
            </w:pPr>
            <w:r>
              <w:rPr>
                <w:rFonts w:ascii="Arial" w:cs="Arial" w:eastAsia="Arial" w:hAnsi="Arial"/>
                <w:sz w:val="16"/>
                <w:szCs w:val="16"/>
                <w:b w:val="1"/>
                <w:bCs w:val="1"/>
                <w:color w:val="C8102E"/>
              </w:rPr>
              <w:t>Stock Awards</w:t>
            </w:r>
          </w:p>
        </w:tc>
        <w:tc>
          <w:tcPr>
            <w:tcW w:w="0" w:type="dxa"/>
            <w:vAlign w:val="bottom"/>
          </w:tcPr>
          <w:p>
            <w:pPr>
              <w:spacing w:after="0"/>
              <w:rPr>
                <w:sz w:val="1"/>
                <w:szCs w:val="1"/>
                <w:color w:val="auto"/>
              </w:rPr>
            </w:pPr>
          </w:p>
        </w:tc>
      </w:tr>
      <w:tr>
        <w:trPr>
          <w:trHeight w:val="128"/>
        </w:trPr>
        <w:tc>
          <w:tcPr>
            <w:tcW w:w="4500" w:type="dxa"/>
            <w:vAlign w:val="bottom"/>
          </w:tcPr>
          <w:p>
            <w:pPr>
              <w:spacing w:after="0"/>
              <w:rPr>
                <w:sz w:val="11"/>
                <w:szCs w:val="11"/>
                <w:color w:val="auto"/>
              </w:rPr>
            </w:pPr>
          </w:p>
        </w:tc>
        <w:tc>
          <w:tcPr>
            <w:tcW w:w="1920" w:type="dxa"/>
            <w:vAlign w:val="bottom"/>
            <w:tcBorders>
              <w:top w:val="single" w:sz="8" w:color="auto"/>
            </w:tcBorders>
          </w:tcPr>
          <w:p>
            <w:pPr>
              <w:jc w:val="right"/>
              <w:ind w:right="60"/>
              <w:spacing w:after="0" w:line="129" w:lineRule="exact"/>
              <w:rPr>
                <w:sz w:val="20"/>
                <w:szCs w:val="20"/>
                <w:color w:val="auto"/>
              </w:rPr>
            </w:pPr>
            <w:r>
              <w:rPr>
                <w:rFonts w:ascii="Arial" w:cs="Arial" w:eastAsia="Arial" w:hAnsi="Arial"/>
                <w:sz w:val="14"/>
                <w:szCs w:val="14"/>
                <w:b w:val="1"/>
                <w:bCs w:val="1"/>
                <w:color w:val="C8102E"/>
              </w:rPr>
              <w:t>Number of Shares</w:t>
            </w:r>
          </w:p>
        </w:tc>
        <w:tc>
          <w:tcPr>
            <w:tcW w:w="12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C8102E"/>
              </w:rPr>
              <w:t>Value Realized</w:t>
            </w:r>
          </w:p>
        </w:tc>
        <w:tc>
          <w:tcPr>
            <w:tcW w:w="160" w:type="dxa"/>
            <w:vAlign w:val="bottom"/>
          </w:tcPr>
          <w:p>
            <w:pPr>
              <w:spacing w:after="0"/>
              <w:rPr>
                <w:sz w:val="11"/>
                <w:szCs w:val="11"/>
                <w:color w:val="auto"/>
              </w:rPr>
            </w:pPr>
          </w:p>
        </w:tc>
        <w:tc>
          <w:tcPr>
            <w:tcW w:w="1860" w:type="dxa"/>
            <w:vAlign w:val="bottom"/>
            <w:tcBorders>
              <w:top w:val="single" w:sz="8" w:color="auto"/>
            </w:tcBorders>
          </w:tcPr>
          <w:p>
            <w:pPr>
              <w:jc w:val="right"/>
              <w:ind w:right="60"/>
              <w:spacing w:after="0" w:line="129" w:lineRule="exact"/>
              <w:rPr>
                <w:sz w:val="20"/>
                <w:szCs w:val="20"/>
                <w:color w:val="auto"/>
              </w:rPr>
            </w:pPr>
            <w:r>
              <w:rPr>
                <w:rFonts w:ascii="Arial" w:cs="Arial" w:eastAsia="Arial" w:hAnsi="Arial"/>
                <w:sz w:val="14"/>
                <w:szCs w:val="14"/>
                <w:b w:val="1"/>
                <w:bCs w:val="1"/>
                <w:color w:val="C8102E"/>
              </w:rPr>
              <w:t>Number of Shares</w:t>
            </w:r>
          </w:p>
        </w:tc>
        <w:tc>
          <w:tcPr>
            <w:tcW w:w="12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C8102E"/>
              </w:rPr>
              <w:t>Value Realized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500" w:type="dxa"/>
            <w:vAlign w:val="bottom"/>
            <w:vMerge w:val="restart"/>
          </w:tcPr>
          <w:p>
            <w:pPr>
              <w:spacing w:after="0"/>
              <w:rPr>
                <w:sz w:val="20"/>
                <w:szCs w:val="20"/>
                <w:color w:val="auto"/>
              </w:rPr>
            </w:pPr>
            <w:r>
              <w:rPr>
                <w:rFonts w:ascii="Arial" w:cs="Arial" w:eastAsia="Arial" w:hAnsi="Arial"/>
                <w:sz w:val="16"/>
                <w:szCs w:val="16"/>
                <w:b w:val="1"/>
                <w:bCs w:val="1"/>
                <w:color w:val="C8102E"/>
              </w:rPr>
              <w:t>  Name</w:t>
            </w:r>
          </w:p>
        </w:tc>
        <w:tc>
          <w:tcPr>
            <w:tcW w:w="1920" w:type="dxa"/>
            <w:vAlign w:val="bottom"/>
          </w:tcPr>
          <w:p>
            <w:pPr>
              <w:jc w:val="right"/>
              <w:ind w:right="60"/>
              <w:spacing w:after="0" w:line="162" w:lineRule="exact"/>
              <w:rPr>
                <w:sz w:val="20"/>
                <w:szCs w:val="20"/>
                <w:color w:val="auto"/>
              </w:rPr>
            </w:pPr>
            <w:r>
              <w:rPr>
                <w:rFonts w:ascii="Arial" w:cs="Arial" w:eastAsia="Arial" w:hAnsi="Arial"/>
                <w:sz w:val="16"/>
                <w:szCs w:val="16"/>
                <w:b w:val="1"/>
                <w:bCs w:val="1"/>
                <w:color w:val="C8102E"/>
              </w:rPr>
              <w:t>Acquired on Exercise</w:t>
            </w:r>
          </w:p>
        </w:tc>
        <w:tc>
          <w:tcPr>
            <w:tcW w:w="1400" w:type="dxa"/>
            <w:vAlign w:val="bottom"/>
            <w:gridSpan w:val="2"/>
          </w:tcPr>
          <w:p>
            <w:pPr>
              <w:jc w:val="right"/>
              <w:ind w:right="160"/>
              <w:spacing w:after="0" w:line="162" w:lineRule="exact"/>
              <w:rPr>
                <w:sz w:val="20"/>
                <w:szCs w:val="20"/>
                <w:color w:val="auto"/>
              </w:rPr>
            </w:pPr>
            <w:r>
              <w:rPr>
                <w:rFonts w:ascii="Arial" w:cs="Arial" w:eastAsia="Arial" w:hAnsi="Arial"/>
                <w:sz w:val="16"/>
                <w:szCs w:val="16"/>
                <w:b w:val="1"/>
                <w:bCs w:val="1"/>
                <w:color w:val="C8102E"/>
              </w:rPr>
              <w:t>on Exercise</w:t>
            </w:r>
          </w:p>
        </w:tc>
        <w:tc>
          <w:tcPr>
            <w:tcW w:w="1860" w:type="dxa"/>
            <w:vAlign w:val="bottom"/>
          </w:tcPr>
          <w:p>
            <w:pPr>
              <w:jc w:val="right"/>
              <w:ind w:right="60"/>
              <w:spacing w:after="0" w:line="162" w:lineRule="exact"/>
              <w:rPr>
                <w:sz w:val="20"/>
                <w:szCs w:val="20"/>
                <w:color w:val="auto"/>
              </w:rPr>
            </w:pPr>
            <w:r>
              <w:rPr>
                <w:rFonts w:ascii="Arial" w:cs="Arial" w:eastAsia="Arial" w:hAnsi="Arial"/>
                <w:sz w:val="16"/>
                <w:szCs w:val="16"/>
                <w:b w:val="1"/>
                <w:bCs w:val="1"/>
                <w:color w:val="C8102E"/>
              </w:rPr>
              <w:t>Acquired on Vesting</w:t>
            </w:r>
          </w:p>
        </w:tc>
        <w:tc>
          <w:tcPr>
            <w:tcW w:w="1340" w:type="dxa"/>
            <w:vAlign w:val="bottom"/>
            <w:gridSpan w:val="2"/>
          </w:tcPr>
          <w:p>
            <w:pPr>
              <w:jc w:val="right"/>
              <w:ind w:right="80"/>
              <w:spacing w:after="0" w:line="162" w:lineRule="exact"/>
              <w:rPr>
                <w:sz w:val="20"/>
                <w:szCs w:val="20"/>
                <w:color w:val="auto"/>
              </w:rPr>
            </w:pPr>
            <w:r>
              <w:rPr>
                <w:rFonts w:ascii="Arial" w:cs="Arial" w:eastAsia="Arial" w:hAnsi="Arial"/>
                <w:sz w:val="16"/>
                <w:szCs w:val="16"/>
                <w:b w:val="1"/>
                <w:bCs w:val="1"/>
                <w:color w:val="C8102E"/>
              </w:rPr>
              <w:t>on Vesting</w:t>
            </w:r>
          </w:p>
        </w:tc>
        <w:tc>
          <w:tcPr>
            <w:tcW w:w="0" w:type="dxa"/>
            <w:vAlign w:val="bottom"/>
          </w:tcPr>
          <w:p>
            <w:pPr>
              <w:spacing w:after="0"/>
              <w:rPr>
                <w:sz w:val="1"/>
                <w:szCs w:val="1"/>
                <w:color w:val="auto"/>
              </w:rPr>
            </w:pPr>
          </w:p>
        </w:tc>
      </w:tr>
      <w:tr>
        <w:trPr>
          <w:trHeight w:val="162"/>
        </w:trPr>
        <w:tc>
          <w:tcPr>
            <w:tcW w:w="4500" w:type="dxa"/>
            <w:vAlign w:val="bottom"/>
            <w:vMerge w:val="continue"/>
          </w:tcPr>
          <w:p>
            <w:pPr>
              <w:spacing w:after="0"/>
              <w:rPr>
                <w:sz w:val="14"/>
                <w:szCs w:val="14"/>
                <w:color w:val="auto"/>
              </w:rPr>
            </w:pPr>
          </w:p>
        </w:tc>
        <w:tc>
          <w:tcPr>
            <w:tcW w:w="1920" w:type="dxa"/>
            <w:vAlign w:val="bottom"/>
          </w:tcPr>
          <w:p>
            <w:pPr>
              <w:jc w:val="right"/>
              <w:ind w:right="60"/>
              <w:spacing w:after="0" w:line="162" w:lineRule="exact"/>
              <w:rPr>
                <w:sz w:val="20"/>
                <w:szCs w:val="20"/>
                <w:color w:val="auto"/>
              </w:rPr>
            </w:pPr>
            <w:r>
              <w:rPr>
                <w:rFonts w:ascii="Arial" w:cs="Arial" w:eastAsia="Arial" w:hAnsi="Arial"/>
                <w:sz w:val="16"/>
                <w:szCs w:val="16"/>
                <w:b w:val="1"/>
                <w:bCs w:val="1"/>
                <w:color w:val="C8102E"/>
              </w:rPr>
              <w:t>(#)</w:t>
            </w:r>
          </w:p>
        </w:tc>
        <w:tc>
          <w:tcPr>
            <w:tcW w:w="1400" w:type="dxa"/>
            <w:vAlign w:val="bottom"/>
            <w:gridSpan w:val="2"/>
          </w:tcPr>
          <w:p>
            <w:pPr>
              <w:jc w:val="right"/>
              <w:ind w:right="160"/>
              <w:spacing w:after="0" w:line="162" w:lineRule="exact"/>
              <w:rPr>
                <w:sz w:val="20"/>
                <w:szCs w:val="20"/>
                <w:color w:val="auto"/>
              </w:rPr>
            </w:pPr>
            <w:r>
              <w:rPr>
                <w:rFonts w:ascii="Arial" w:cs="Arial" w:eastAsia="Arial" w:hAnsi="Arial"/>
                <w:sz w:val="16"/>
                <w:szCs w:val="16"/>
                <w:b w:val="1"/>
                <w:bCs w:val="1"/>
                <w:color w:val="C8102E"/>
              </w:rPr>
              <w:t>($)</w:t>
            </w:r>
          </w:p>
        </w:tc>
        <w:tc>
          <w:tcPr>
            <w:tcW w:w="1860" w:type="dxa"/>
            <w:vAlign w:val="bottom"/>
          </w:tcPr>
          <w:p>
            <w:pPr>
              <w:jc w:val="right"/>
              <w:ind w:right="60"/>
              <w:spacing w:after="0" w:line="162" w:lineRule="exact"/>
              <w:rPr>
                <w:sz w:val="20"/>
                <w:szCs w:val="20"/>
                <w:color w:val="auto"/>
              </w:rPr>
            </w:pPr>
            <w:r>
              <w:rPr>
                <w:rFonts w:ascii="Arial" w:cs="Arial" w:eastAsia="Arial" w:hAnsi="Arial"/>
                <w:sz w:val="16"/>
                <w:szCs w:val="16"/>
                <w:b w:val="1"/>
                <w:bCs w:val="1"/>
                <w:color w:val="C8102E"/>
              </w:rPr>
              <w:t>(#)</w:t>
            </w:r>
          </w:p>
        </w:tc>
        <w:tc>
          <w:tcPr>
            <w:tcW w:w="1340" w:type="dxa"/>
            <w:vAlign w:val="bottom"/>
            <w:gridSpan w:val="2"/>
          </w:tcPr>
          <w:p>
            <w:pPr>
              <w:jc w:val="right"/>
              <w:ind w:right="80"/>
              <w:spacing w:after="0" w:line="162" w:lineRule="exact"/>
              <w:rPr>
                <w:sz w:val="20"/>
                <w:szCs w:val="20"/>
                <w:color w:val="auto"/>
              </w:rPr>
            </w:pPr>
            <w:r>
              <w:rPr>
                <w:rFonts w:ascii="Arial" w:cs="Arial" w:eastAsia="Arial" w:hAnsi="Arial"/>
                <w:sz w:val="16"/>
                <w:szCs w:val="16"/>
                <w:b w:val="1"/>
                <w:bCs w:val="1"/>
                <w:color w:val="C8102E"/>
              </w:rPr>
              <w:t>($)</w:t>
            </w:r>
          </w:p>
        </w:tc>
        <w:tc>
          <w:tcPr>
            <w:tcW w:w="0" w:type="dxa"/>
            <w:vAlign w:val="bottom"/>
          </w:tcPr>
          <w:p>
            <w:pPr>
              <w:spacing w:after="0"/>
              <w:rPr>
                <w:sz w:val="1"/>
                <w:szCs w:val="1"/>
                <w:color w:val="auto"/>
              </w:rPr>
            </w:pPr>
          </w:p>
        </w:tc>
      </w:tr>
      <w:tr>
        <w:trPr>
          <w:trHeight w:val="189"/>
        </w:trPr>
        <w:tc>
          <w:tcPr>
            <w:tcW w:w="45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C8102E"/>
              </w:rPr>
              <w:t xml:space="preserve">  </w:t>
            </w:r>
            <w:r>
              <w:rPr>
                <w:rFonts w:ascii="Arial" w:cs="Arial" w:eastAsia="Arial" w:hAnsi="Arial"/>
                <w:sz w:val="16"/>
                <w:szCs w:val="16"/>
                <w:b w:val="1"/>
                <w:bCs w:val="1"/>
                <w:color w:val="000000"/>
              </w:rPr>
              <w:t>Damien McDonald</w:t>
            </w:r>
          </w:p>
        </w:tc>
        <w:tc>
          <w:tcPr>
            <w:tcW w:w="1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5"/>
        </w:trPr>
        <w:tc>
          <w:tcPr>
            <w:tcW w:w="4500" w:type="dxa"/>
            <w:vAlign w:val="bottom"/>
            <w:shd w:val="clear" w:color="auto" w:fill="EDEDEE"/>
          </w:tcPr>
          <w:p>
            <w:pPr>
              <w:spacing w:after="0" w:line="155" w:lineRule="exact"/>
              <w:rPr>
                <w:sz w:val="20"/>
                <w:szCs w:val="20"/>
                <w:color w:val="auto"/>
              </w:rPr>
            </w:pPr>
            <w:r>
              <w:rPr>
                <w:rFonts w:ascii="Arial" w:cs="Arial" w:eastAsia="Arial" w:hAnsi="Arial"/>
                <w:sz w:val="16"/>
                <w:szCs w:val="16"/>
                <w:b w:val="1"/>
                <w:bCs w:val="1"/>
                <w:color w:val="auto"/>
              </w:rPr>
              <w:t>  Matthew L. Trerotola</w:t>
            </w:r>
          </w:p>
        </w:tc>
        <w:tc>
          <w:tcPr>
            <w:tcW w:w="1920" w:type="dxa"/>
            <w:vAlign w:val="bottom"/>
            <w:shd w:val="clear" w:color="auto" w:fill="EDEDEE"/>
          </w:tcPr>
          <w:p>
            <w:pPr>
              <w:jc w:val="right"/>
              <w:ind w:right="60"/>
              <w:spacing w:after="0" w:line="155" w:lineRule="exact"/>
              <w:rPr>
                <w:sz w:val="20"/>
                <w:szCs w:val="20"/>
                <w:color w:val="auto"/>
              </w:rPr>
            </w:pPr>
            <w:r>
              <w:rPr>
                <w:rFonts w:ascii="Arial" w:cs="Arial" w:eastAsia="Arial" w:hAnsi="Arial"/>
                <w:sz w:val="16"/>
                <w:szCs w:val="16"/>
                <w:color w:val="auto"/>
              </w:rPr>
              <w:t>—</w:t>
            </w:r>
          </w:p>
        </w:tc>
        <w:tc>
          <w:tcPr>
            <w:tcW w:w="1400" w:type="dxa"/>
            <w:vAlign w:val="bottom"/>
            <w:gridSpan w:val="2"/>
            <w:shd w:val="clear" w:color="auto" w:fill="EDEDEE"/>
          </w:tcPr>
          <w:p>
            <w:pPr>
              <w:jc w:val="right"/>
              <w:ind w:right="160"/>
              <w:spacing w:after="0" w:line="155" w:lineRule="exact"/>
              <w:rPr>
                <w:sz w:val="20"/>
                <w:szCs w:val="20"/>
                <w:color w:val="auto"/>
              </w:rPr>
            </w:pPr>
            <w:r>
              <w:rPr>
                <w:rFonts w:ascii="Arial" w:cs="Arial" w:eastAsia="Arial" w:hAnsi="Arial"/>
                <w:sz w:val="16"/>
                <w:szCs w:val="16"/>
                <w:color w:val="auto"/>
              </w:rPr>
              <w:t>—</w:t>
            </w:r>
          </w:p>
        </w:tc>
        <w:tc>
          <w:tcPr>
            <w:tcW w:w="1860" w:type="dxa"/>
            <w:vAlign w:val="bottom"/>
            <w:shd w:val="clear" w:color="auto" w:fill="EDEDEE"/>
          </w:tcPr>
          <w:p>
            <w:pPr>
              <w:jc w:val="right"/>
              <w:ind w:right="60"/>
              <w:spacing w:after="0" w:line="155" w:lineRule="exact"/>
              <w:rPr>
                <w:sz w:val="20"/>
                <w:szCs w:val="20"/>
                <w:color w:val="auto"/>
              </w:rPr>
            </w:pPr>
            <w:r>
              <w:rPr>
                <w:rFonts w:ascii="Arial" w:cs="Arial" w:eastAsia="Arial" w:hAnsi="Arial"/>
                <w:sz w:val="16"/>
                <w:szCs w:val="16"/>
                <w:color w:val="auto"/>
              </w:rPr>
              <w:t>86,199</w:t>
            </w:r>
          </w:p>
        </w:tc>
        <w:tc>
          <w:tcPr>
            <w:tcW w:w="1340" w:type="dxa"/>
            <w:vAlign w:val="bottom"/>
            <w:gridSpan w:val="2"/>
            <w:shd w:val="clear" w:color="auto" w:fill="EDEDEE"/>
          </w:tcPr>
          <w:p>
            <w:pPr>
              <w:jc w:val="right"/>
              <w:ind w:right="80"/>
              <w:spacing w:after="0" w:line="155" w:lineRule="exact"/>
              <w:rPr>
                <w:sz w:val="20"/>
                <w:szCs w:val="20"/>
                <w:color w:val="auto"/>
              </w:rPr>
            </w:pPr>
            <w:r>
              <w:rPr>
                <w:rFonts w:ascii="Arial" w:cs="Arial" w:eastAsia="Arial" w:hAnsi="Arial"/>
                <w:sz w:val="16"/>
                <w:szCs w:val="16"/>
                <w:color w:val="auto"/>
              </w:rPr>
              <w:t>3,577,684</w:t>
            </w:r>
          </w:p>
        </w:tc>
        <w:tc>
          <w:tcPr>
            <w:tcW w:w="0" w:type="dxa"/>
            <w:vAlign w:val="bottom"/>
          </w:tcPr>
          <w:p>
            <w:pPr>
              <w:spacing w:after="0"/>
              <w:rPr>
                <w:sz w:val="1"/>
                <w:szCs w:val="1"/>
                <w:color w:val="auto"/>
              </w:rPr>
            </w:pPr>
          </w:p>
        </w:tc>
      </w:tr>
      <w:tr>
        <w:trPr>
          <w:trHeight w:val="162"/>
        </w:trPr>
        <w:tc>
          <w:tcPr>
            <w:tcW w:w="4500" w:type="dxa"/>
            <w:vAlign w:val="bottom"/>
          </w:tcPr>
          <w:p>
            <w:pPr>
              <w:spacing w:after="0" w:line="162" w:lineRule="exact"/>
              <w:rPr>
                <w:sz w:val="20"/>
                <w:szCs w:val="20"/>
                <w:color w:val="auto"/>
              </w:rPr>
            </w:pPr>
            <w:r>
              <w:rPr>
                <w:rFonts w:ascii="Arial" w:cs="Arial" w:eastAsia="Arial" w:hAnsi="Arial"/>
                <w:sz w:val="16"/>
                <w:szCs w:val="16"/>
                <w:b w:val="1"/>
                <w:bCs w:val="1"/>
                <w:color w:val="auto"/>
              </w:rPr>
              <w:t>  Phillip “Ben” Berry</w:t>
            </w:r>
          </w:p>
        </w:tc>
        <w:tc>
          <w:tcPr>
            <w:tcW w:w="1920" w:type="dxa"/>
            <w:vAlign w:val="bottom"/>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160"/>
              <w:spacing w:after="0" w:line="162" w:lineRule="exact"/>
              <w:rPr>
                <w:sz w:val="20"/>
                <w:szCs w:val="20"/>
                <w:color w:val="auto"/>
              </w:rPr>
            </w:pPr>
            <w:r>
              <w:rPr>
                <w:rFonts w:ascii="Arial" w:cs="Arial" w:eastAsia="Arial" w:hAnsi="Arial"/>
                <w:sz w:val="16"/>
                <w:szCs w:val="16"/>
                <w:color w:val="auto"/>
              </w:rPr>
              <w:t>—</w:t>
            </w:r>
          </w:p>
        </w:tc>
        <w:tc>
          <w:tcPr>
            <w:tcW w:w="1860" w:type="dxa"/>
            <w:vAlign w:val="bottom"/>
          </w:tcPr>
          <w:p>
            <w:pPr>
              <w:jc w:val="right"/>
              <w:ind w:right="60"/>
              <w:spacing w:after="0" w:line="162" w:lineRule="exact"/>
              <w:rPr>
                <w:sz w:val="20"/>
                <w:szCs w:val="20"/>
                <w:color w:val="auto"/>
              </w:rPr>
            </w:pPr>
            <w:r>
              <w:rPr>
                <w:rFonts w:ascii="Arial" w:cs="Arial" w:eastAsia="Arial" w:hAnsi="Arial"/>
                <w:sz w:val="16"/>
                <w:szCs w:val="16"/>
                <w:color w:val="auto"/>
              </w:rPr>
              <w:t>10,897</w:t>
            </w:r>
          </w:p>
        </w:tc>
        <w:tc>
          <w:tcPr>
            <w:tcW w:w="1260" w:type="dxa"/>
            <w:vAlign w:val="bottom"/>
          </w:tcPr>
          <w:p>
            <w:pPr>
              <w:jc w:val="right"/>
              <w:spacing w:after="0" w:line="162" w:lineRule="exact"/>
              <w:rPr>
                <w:sz w:val="20"/>
                <w:szCs w:val="20"/>
                <w:color w:val="auto"/>
              </w:rPr>
            </w:pPr>
            <w:r>
              <w:rPr>
                <w:rFonts w:ascii="Arial" w:cs="Arial" w:eastAsia="Arial" w:hAnsi="Arial"/>
                <w:sz w:val="16"/>
                <w:szCs w:val="16"/>
                <w:color w:val="auto"/>
              </w:rPr>
              <w:t>397,356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00" w:type="dxa"/>
            <w:vAlign w:val="bottom"/>
            <w:shd w:val="clear" w:color="auto" w:fill="EDEDEE"/>
          </w:tcPr>
          <w:p>
            <w:pPr>
              <w:spacing w:after="0" w:line="162" w:lineRule="exact"/>
              <w:rPr>
                <w:sz w:val="20"/>
                <w:szCs w:val="20"/>
                <w:color w:val="auto"/>
              </w:rPr>
            </w:pPr>
            <w:r>
              <w:rPr>
                <w:rFonts w:ascii="Arial" w:cs="Arial" w:eastAsia="Arial" w:hAnsi="Arial"/>
                <w:sz w:val="16"/>
                <w:szCs w:val="16"/>
                <w:b w:val="1"/>
                <w:bCs w:val="1"/>
                <w:color w:val="auto"/>
              </w:rPr>
              <w:t>  Daniel A. Pryor</w:t>
            </w:r>
          </w:p>
        </w:tc>
        <w:tc>
          <w:tcPr>
            <w:tcW w:w="1920" w:type="dxa"/>
            <w:vAlign w:val="bottom"/>
            <w:shd w:val="clear" w:color="auto" w:fill="EDEDEE"/>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1400" w:type="dxa"/>
            <w:vAlign w:val="bottom"/>
            <w:gridSpan w:val="2"/>
            <w:shd w:val="clear" w:color="auto" w:fill="EDEDEE"/>
          </w:tcPr>
          <w:p>
            <w:pPr>
              <w:jc w:val="right"/>
              <w:ind w:right="160"/>
              <w:spacing w:after="0" w:line="162" w:lineRule="exact"/>
              <w:rPr>
                <w:sz w:val="20"/>
                <w:szCs w:val="20"/>
                <w:color w:val="auto"/>
              </w:rPr>
            </w:pPr>
            <w:r>
              <w:rPr>
                <w:rFonts w:ascii="Arial" w:cs="Arial" w:eastAsia="Arial" w:hAnsi="Arial"/>
                <w:sz w:val="16"/>
                <w:szCs w:val="16"/>
                <w:color w:val="auto"/>
              </w:rPr>
              <w:t>—</w:t>
            </w:r>
          </w:p>
        </w:tc>
        <w:tc>
          <w:tcPr>
            <w:tcW w:w="1860" w:type="dxa"/>
            <w:vAlign w:val="bottom"/>
            <w:shd w:val="clear" w:color="auto" w:fill="EDEDEE"/>
          </w:tcPr>
          <w:p>
            <w:pPr>
              <w:jc w:val="right"/>
              <w:ind w:right="60"/>
              <w:spacing w:after="0" w:line="162" w:lineRule="exact"/>
              <w:rPr>
                <w:sz w:val="20"/>
                <w:szCs w:val="20"/>
                <w:color w:val="auto"/>
              </w:rPr>
            </w:pPr>
            <w:r>
              <w:rPr>
                <w:rFonts w:ascii="Arial" w:cs="Arial" w:eastAsia="Arial" w:hAnsi="Arial"/>
                <w:sz w:val="16"/>
                <w:szCs w:val="16"/>
                <w:color w:val="auto"/>
              </w:rPr>
              <w:t>32,151</w:t>
            </w:r>
          </w:p>
        </w:tc>
        <w:tc>
          <w:tcPr>
            <w:tcW w:w="1340" w:type="dxa"/>
            <w:vAlign w:val="bottom"/>
            <w:gridSpan w:val="2"/>
            <w:shd w:val="clear" w:color="auto" w:fill="EDEDEE"/>
          </w:tcPr>
          <w:p>
            <w:pPr>
              <w:jc w:val="right"/>
              <w:ind w:right="80"/>
              <w:spacing w:after="0" w:line="162" w:lineRule="exact"/>
              <w:rPr>
                <w:sz w:val="20"/>
                <w:szCs w:val="20"/>
                <w:color w:val="auto"/>
              </w:rPr>
            </w:pPr>
            <w:r>
              <w:rPr>
                <w:rFonts w:ascii="Arial" w:cs="Arial" w:eastAsia="Arial" w:hAnsi="Arial"/>
                <w:sz w:val="16"/>
                <w:szCs w:val="16"/>
                <w:color w:val="auto"/>
              </w:rPr>
              <w:t>1,316,052</w:t>
            </w:r>
          </w:p>
        </w:tc>
        <w:tc>
          <w:tcPr>
            <w:tcW w:w="0" w:type="dxa"/>
            <w:vAlign w:val="bottom"/>
          </w:tcPr>
          <w:p>
            <w:pPr>
              <w:spacing w:after="0"/>
              <w:rPr>
                <w:sz w:val="1"/>
                <w:szCs w:val="1"/>
                <w:color w:val="auto"/>
              </w:rPr>
            </w:pPr>
          </w:p>
        </w:tc>
      </w:tr>
      <w:tr>
        <w:trPr>
          <w:trHeight w:val="162"/>
        </w:trPr>
        <w:tc>
          <w:tcPr>
            <w:tcW w:w="4500" w:type="dxa"/>
            <w:vAlign w:val="bottom"/>
          </w:tcPr>
          <w:p>
            <w:pPr>
              <w:spacing w:after="0" w:line="162" w:lineRule="exact"/>
              <w:rPr>
                <w:sz w:val="20"/>
                <w:szCs w:val="20"/>
                <w:color w:val="auto"/>
              </w:rPr>
            </w:pPr>
            <w:r>
              <w:rPr>
                <w:rFonts w:ascii="Arial" w:cs="Arial" w:eastAsia="Arial" w:hAnsi="Arial"/>
                <w:sz w:val="16"/>
                <w:szCs w:val="16"/>
                <w:b w:val="1"/>
                <w:bCs w:val="1"/>
                <w:color w:val="auto"/>
              </w:rPr>
              <w:t>  Terry Ross</w:t>
            </w:r>
          </w:p>
        </w:tc>
        <w:tc>
          <w:tcPr>
            <w:tcW w:w="1920" w:type="dxa"/>
            <w:vAlign w:val="bottom"/>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160"/>
              <w:spacing w:after="0" w:line="162" w:lineRule="exact"/>
              <w:rPr>
                <w:sz w:val="20"/>
                <w:szCs w:val="20"/>
                <w:color w:val="auto"/>
              </w:rPr>
            </w:pPr>
            <w:r>
              <w:rPr>
                <w:rFonts w:ascii="Arial" w:cs="Arial" w:eastAsia="Arial" w:hAnsi="Arial"/>
                <w:sz w:val="16"/>
                <w:szCs w:val="16"/>
                <w:color w:val="auto"/>
              </w:rPr>
              <w:t>—</w:t>
            </w:r>
          </w:p>
        </w:tc>
        <w:tc>
          <w:tcPr>
            <w:tcW w:w="1860" w:type="dxa"/>
            <w:vAlign w:val="bottom"/>
          </w:tcPr>
          <w:p>
            <w:pPr>
              <w:jc w:val="right"/>
              <w:ind w:right="60"/>
              <w:spacing w:after="0" w:line="162" w:lineRule="exact"/>
              <w:rPr>
                <w:sz w:val="20"/>
                <w:szCs w:val="20"/>
                <w:color w:val="auto"/>
              </w:rPr>
            </w:pPr>
            <w:r>
              <w:rPr>
                <w:rFonts w:ascii="Arial" w:cs="Arial" w:eastAsia="Arial" w:hAnsi="Arial"/>
                <w:sz w:val="16"/>
                <w:szCs w:val="16"/>
                <w:color w:val="auto"/>
              </w:rPr>
              <w:t>4,923</w:t>
            </w:r>
          </w:p>
        </w:tc>
        <w:tc>
          <w:tcPr>
            <w:tcW w:w="1260" w:type="dxa"/>
            <w:vAlign w:val="bottom"/>
          </w:tcPr>
          <w:p>
            <w:pPr>
              <w:jc w:val="right"/>
              <w:spacing w:after="0" w:line="162" w:lineRule="exact"/>
              <w:rPr>
                <w:sz w:val="20"/>
                <w:szCs w:val="20"/>
                <w:color w:val="auto"/>
              </w:rPr>
            </w:pPr>
            <w:r>
              <w:rPr>
                <w:rFonts w:ascii="Arial" w:cs="Arial" w:eastAsia="Arial" w:hAnsi="Arial"/>
                <w:sz w:val="16"/>
                <w:szCs w:val="16"/>
                <w:color w:val="auto"/>
              </w:rPr>
              <w:t>179,851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00" w:type="dxa"/>
            <w:vAlign w:val="bottom"/>
            <w:shd w:val="clear" w:color="auto" w:fill="EDEDEE"/>
          </w:tcPr>
          <w:p>
            <w:pPr>
              <w:spacing w:after="0" w:line="162" w:lineRule="exact"/>
              <w:rPr>
                <w:sz w:val="20"/>
                <w:szCs w:val="20"/>
                <w:color w:val="auto"/>
              </w:rPr>
            </w:pPr>
            <w:r>
              <w:rPr>
                <w:rFonts w:ascii="Arial" w:cs="Arial" w:eastAsia="Arial" w:hAnsi="Arial"/>
                <w:sz w:val="16"/>
                <w:szCs w:val="16"/>
                <w:b w:val="1"/>
                <w:bCs w:val="1"/>
                <w:color w:val="auto"/>
              </w:rPr>
              <w:t>  Patricia Lang</w:t>
            </w:r>
          </w:p>
        </w:tc>
        <w:tc>
          <w:tcPr>
            <w:tcW w:w="1920" w:type="dxa"/>
            <w:vAlign w:val="bottom"/>
            <w:shd w:val="clear" w:color="auto" w:fill="EDEDEE"/>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1400" w:type="dxa"/>
            <w:vAlign w:val="bottom"/>
            <w:gridSpan w:val="2"/>
            <w:shd w:val="clear" w:color="auto" w:fill="EDEDEE"/>
          </w:tcPr>
          <w:p>
            <w:pPr>
              <w:jc w:val="right"/>
              <w:ind w:right="160"/>
              <w:spacing w:after="0" w:line="162" w:lineRule="exact"/>
              <w:rPr>
                <w:sz w:val="20"/>
                <w:szCs w:val="20"/>
                <w:color w:val="auto"/>
              </w:rPr>
            </w:pPr>
            <w:r>
              <w:rPr>
                <w:rFonts w:ascii="Arial" w:cs="Arial" w:eastAsia="Arial" w:hAnsi="Arial"/>
                <w:sz w:val="16"/>
                <w:szCs w:val="16"/>
                <w:color w:val="auto"/>
              </w:rPr>
              <w:t>—</w:t>
            </w:r>
          </w:p>
        </w:tc>
        <w:tc>
          <w:tcPr>
            <w:tcW w:w="1860" w:type="dxa"/>
            <w:vAlign w:val="bottom"/>
            <w:shd w:val="clear" w:color="auto" w:fill="EDEDEE"/>
          </w:tcPr>
          <w:p>
            <w:pPr>
              <w:jc w:val="right"/>
              <w:ind w:right="60"/>
              <w:spacing w:after="0" w:line="162" w:lineRule="exact"/>
              <w:rPr>
                <w:sz w:val="20"/>
                <w:szCs w:val="20"/>
                <w:color w:val="auto"/>
              </w:rPr>
            </w:pPr>
            <w:r>
              <w:rPr>
                <w:rFonts w:ascii="Arial" w:cs="Arial" w:eastAsia="Arial" w:hAnsi="Arial"/>
                <w:sz w:val="16"/>
                <w:szCs w:val="16"/>
                <w:color w:val="auto"/>
              </w:rPr>
              <w:t>12,766</w:t>
            </w:r>
          </w:p>
        </w:tc>
        <w:tc>
          <w:tcPr>
            <w:tcW w:w="1260" w:type="dxa"/>
            <w:vAlign w:val="bottom"/>
            <w:shd w:val="clear" w:color="auto" w:fill="EDEDEE"/>
          </w:tcPr>
          <w:p>
            <w:pPr>
              <w:jc w:val="right"/>
              <w:spacing w:after="0" w:line="162" w:lineRule="exact"/>
              <w:rPr>
                <w:sz w:val="20"/>
                <w:szCs w:val="20"/>
                <w:color w:val="auto"/>
              </w:rPr>
            </w:pPr>
            <w:r>
              <w:rPr>
                <w:rFonts w:ascii="Arial" w:cs="Arial" w:eastAsia="Arial" w:hAnsi="Arial"/>
                <w:sz w:val="16"/>
                <w:szCs w:val="16"/>
                <w:color w:val="auto"/>
              </w:rPr>
              <w:t>530,219</w:t>
            </w:r>
          </w:p>
        </w:tc>
        <w:tc>
          <w:tcPr>
            <w:tcW w:w="80" w:type="dxa"/>
            <w:vAlign w:val="bottom"/>
            <w:shd w:val="clear" w:color="auto" w:fill="EDEDE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6"/>
                <w:szCs w:val="16"/>
                <w:b w:val="1"/>
                <w:bCs w:val="1"/>
                <w:color w:val="auto"/>
              </w:rPr>
              <w:t>  Louis Vogt</w:t>
            </w:r>
          </w:p>
        </w:tc>
        <w:tc>
          <w:tcPr>
            <w:tcW w:w="19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60"/>
              <w:spacing w:after="0"/>
              <w:rPr>
                <w:sz w:val="20"/>
                <w:szCs w:val="20"/>
                <w:color w:val="auto"/>
              </w:rPr>
            </w:pPr>
            <w:r>
              <w:rPr>
                <w:rFonts w:ascii="Arial" w:cs="Arial" w:eastAsia="Arial" w:hAnsi="Arial"/>
                <w:sz w:val="16"/>
                <w:szCs w:val="16"/>
                <w:color w:val="auto"/>
              </w:rPr>
              <w:t>6,548</w:t>
            </w:r>
          </w:p>
        </w:tc>
        <w:tc>
          <w:tcPr>
            <w:tcW w:w="1260" w:type="dxa"/>
            <w:vAlign w:val="bottom"/>
          </w:tcPr>
          <w:p>
            <w:pPr>
              <w:jc w:val="right"/>
              <w:spacing w:after="0"/>
              <w:rPr>
                <w:sz w:val="20"/>
                <w:szCs w:val="20"/>
                <w:color w:val="auto"/>
              </w:rPr>
            </w:pPr>
            <w:r>
              <w:rPr>
                <w:rFonts w:ascii="Arial" w:cs="Arial" w:eastAsia="Arial" w:hAnsi="Arial"/>
                <w:sz w:val="16"/>
                <w:szCs w:val="16"/>
                <w:color w:val="auto"/>
              </w:rPr>
              <w:t>241,566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81280</wp:posOffset>
            </wp:positionV>
            <wp:extent cx="699516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23"/>
          <w:szCs w:val="23"/>
          <w:color w:val="auto"/>
        </w:rPr>
        <w:t>Nonqualified Deferred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699516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38" w:lineRule="exact"/>
        <w:rPr>
          <w:sz w:val="20"/>
          <w:szCs w:val="20"/>
          <w:color w:val="auto"/>
        </w:rPr>
      </w:pPr>
    </w:p>
    <w:p>
      <w:pPr>
        <w:jc w:val="both"/>
        <w:ind w:right="20"/>
        <w:spacing w:after="0" w:line="222" w:lineRule="auto"/>
        <w:rPr>
          <w:sz w:val="20"/>
          <w:szCs w:val="20"/>
          <w:color w:val="auto"/>
        </w:rPr>
      </w:pPr>
      <w:r>
        <w:rPr>
          <w:rFonts w:ascii="Arial" w:cs="Arial" w:eastAsia="Arial" w:hAnsi="Arial"/>
          <w:sz w:val="16"/>
          <w:szCs w:val="16"/>
          <w:color w:val="auto"/>
        </w:rPr>
        <w:t>We maintain the Enovis (formerly Colfax) Corporation Nonqualified Deferred Compensation Plan (the “Nonqualified Plan”) to provide certain select members of management and other highly compensated employees, including each of the NEOs, with an opportunity to defer a stated percentage of their base compensation or their bonus compensation without regard to the compensation limits imposed by the Internal Revenue Code for our 401(k) plan. We established the Nonqualified Plan to allow these individuals to contribute toward retirement on a tax-effective basis in a manner that is consistent with other Enovis employees who are not limited by the Internal Revenue Code limits. The plan is “unfunded,” meaning there are no assets segregated for the exclusive benefit of plan participants.</w:t>
      </w:r>
    </w:p>
    <w:p>
      <w:pPr>
        <w:spacing w:after="0" w:line="113"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The Nonqualified Plan allows the NEOs to defer up to 50% of their base salaries and up to 75% of their bonus compensation. In addition, during 2025 we matched up to 4% of all excess deferrals by the NEOs and provided a 2% Company contribution to our NEOs, other than Mr. Berry. Eligible NEOs vest in these Company contributions to the Nonqualified Plan on the same terms as comparably contributions vest under the Company’s 401(k) plan.</w:t>
      </w:r>
    </w:p>
    <w:p>
      <w:pPr>
        <w:spacing w:after="0" w:line="110" w:lineRule="exact"/>
        <w:rPr>
          <w:sz w:val="20"/>
          <w:szCs w:val="20"/>
          <w:color w:val="auto"/>
        </w:rPr>
      </w:pPr>
    </w:p>
    <w:p>
      <w:pPr>
        <w:jc w:val="both"/>
        <w:spacing w:after="0" w:line="225" w:lineRule="auto"/>
        <w:rPr>
          <w:sz w:val="20"/>
          <w:szCs w:val="20"/>
          <w:color w:val="auto"/>
        </w:rPr>
      </w:pPr>
      <w:r>
        <w:rPr>
          <w:rFonts w:ascii="Arial" w:cs="Arial" w:eastAsia="Arial" w:hAnsi="Arial"/>
          <w:sz w:val="16"/>
          <w:szCs w:val="16"/>
          <w:color w:val="auto"/>
        </w:rPr>
        <w:t>Deferrals under the Nonqualified Plan are notionally invested among a number of different mutual funds, insurance company separate accounts, indexed rates or other measurement funds, which are selected periodically by the plan administrator to best match the funds offered in the qualified 401(k) plan. Each participating NEO can allocate his deferrals among these notional fund investment options and may change elections at any time by making a change of election with the plan administrator. Enovis notionally invests its match and contribution amounts in the same investment options in the same amounts and allocations as the reference funds selected by the officer.</w:t>
      </w:r>
    </w:p>
    <w:p>
      <w:pPr>
        <w:spacing w:after="0" w:line="110" w:lineRule="exact"/>
        <w:rPr>
          <w:sz w:val="20"/>
          <w:szCs w:val="20"/>
          <w:color w:val="auto"/>
        </w:rPr>
      </w:pPr>
    </w:p>
    <w:p>
      <w:pPr>
        <w:jc w:val="both"/>
        <w:spacing w:after="0" w:line="218" w:lineRule="auto"/>
        <w:rPr>
          <w:sz w:val="20"/>
          <w:szCs w:val="20"/>
          <w:color w:val="auto"/>
        </w:rPr>
      </w:pPr>
      <w:r>
        <w:rPr>
          <w:rFonts w:ascii="Arial" w:cs="Arial" w:eastAsia="Arial" w:hAnsi="Arial"/>
          <w:sz w:val="16"/>
          <w:szCs w:val="16"/>
          <w:color w:val="auto"/>
        </w:rPr>
        <w:t>Simultaneously with the executive’s election to defer amounts under the Nonqualified Plan, the executive must elect the time and form of payment for the deferred amounts, which may generally be either a lump sum distribution or in annual installments payable over a period of one to ten years following a specified date (that must be at least one year following the end of the year to which the officer’s deferral election relates) or at least six months following the officer’s separation from service. Limited changes to deferral elections are permitted in accordance with the terms of the Nonqualified Plan. If no election is made, the benefit will be paid in a lump sum on the last day of the month which occurs six months after the executive’s separation from service. Deferred amounts may alternatively be paid out in a lump sum in the event of an executive’s death or disability or in the event of an unforeseeable financial emergency, Furthermore, in the event the executive’s account balance at the time of his or her separation from service is less than $15,000, payment of the account balance will be made in a lump sum on or before the later of (i) December 31 of the calendar year of separation, or (ii) the date that is 2.5 months after the executive’s separation from service.</w:t>
      </w:r>
    </w:p>
    <w:p>
      <w:pPr>
        <w:spacing w:after="0" w:line="116" w:lineRule="exact"/>
        <w:rPr>
          <w:sz w:val="20"/>
          <w:szCs w:val="20"/>
          <w:color w:val="auto"/>
        </w:rPr>
      </w:pPr>
    </w:p>
    <w:p>
      <w:pPr>
        <w:jc w:val="both"/>
        <w:spacing w:after="0" w:line="225" w:lineRule="auto"/>
        <w:rPr>
          <w:sz w:val="20"/>
          <w:szCs w:val="20"/>
          <w:color w:val="auto"/>
        </w:rPr>
      </w:pPr>
      <w:r>
        <w:rPr>
          <w:rFonts w:ascii="Arial" w:cs="Arial" w:eastAsia="Arial" w:hAnsi="Arial"/>
          <w:sz w:val="16"/>
          <w:szCs w:val="16"/>
          <w:color w:val="auto"/>
        </w:rPr>
        <w:t>The Company also maintains the Enovis (formerly Colfax) Corporation Excess Benefit Plan (the “Excess Benefit Plan”) which was frozen to new participants and future new deferrals on December 31, 2015. Like the Nonqualified Plan, the Excess Benefit Plan is an unfunded non-qualified deferred compensation plan in which Mr. Pryor holds an account balance. Like the Nonqualified Plan, amounts deferred under the Excess Benefit Plan are notionally invested in offered measurement funds as selected by the plan participant and will be distributed in accordance with participant elections and the terms of the Excess Benefit Plan following a participant’s separation from service, death or disability.</w:t>
      </w:r>
    </w:p>
    <w:p>
      <w:pPr>
        <w:spacing w:after="0" w:line="137" w:lineRule="exact"/>
        <w:rPr>
          <w:sz w:val="20"/>
          <w:szCs w:val="20"/>
          <w:color w:val="auto"/>
        </w:rPr>
      </w:pPr>
    </w:p>
    <w:p>
      <w:pPr>
        <w:ind w:left="7520"/>
        <w:spacing w:after="0"/>
        <w:tabs>
          <w:tab w:leader="none" w:pos="10800" w:val="left"/>
        </w:tabs>
        <w:rPr>
          <w:sz w:val="20"/>
          <w:szCs w:val="20"/>
          <w:color w:val="auto"/>
        </w:rPr>
      </w:pPr>
      <w:r>
        <w:rPr>
          <w:sz w:val="1"/>
          <w:szCs w:val="1"/>
          <w:color w:val="auto"/>
        </w:rPr>
        <w:drawing>
          <wp:inline distT="0" distB="0" distL="0" distR="0">
            <wp:extent cx="685800" cy="162560"/>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0" cy="162560"/>
                    </a:xfrm>
                    <a:prstGeom prst="rect">
                      <a:avLst/>
                    </a:prstGeom>
                    <a:noFill/>
                    <a:ln>
                      <a:noFill/>
                    </a:ln>
                  </pic:spPr>
                </pic:pic>
              </a:graphicData>
            </a:graphic>
          </wp:inline>
        </w:drawing>
      </w:r>
      <w:r>
        <w:rPr>
          <w:rFonts w:ascii="Arial" w:cs="Arial" w:eastAsia="Arial" w:hAnsi="Arial"/>
          <w:sz w:val="18"/>
          <w:szCs w:val="18"/>
          <w:color w:val="auto"/>
        </w:rPr>
        <w:t xml:space="preserve"> - 2026 Proxy Statement</w:t>
      </w:r>
      <w:r>
        <w:rPr>
          <w:sz w:val="20"/>
          <w:szCs w:val="20"/>
          <w:color w:val="auto"/>
        </w:rPr>
        <w:tab/>
      </w: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-186690</wp:posOffset>
            </wp:positionV>
            <wp:extent cx="6995160" cy="3257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95160" cy="325755"/>
                    </a:xfrm>
                    <a:prstGeom prst="rect">
                      <a:avLst/>
                    </a:prstGeom>
                    <a:noFill/>
                  </pic:spPr>
                </pic:pic>
              </a:graphicData>
            </a:graphic>
          </wp:anchor>
        </w:drawing>
      </w:r>
    </w:p>
    <w:p>
      <w:pPr>
        <w:sectPr>
          <w:pgSz w:w="11900" w:h="16838" w:orient="portrait"/>
          <w:cols w:equalWidth="0" w:num="1">
            <w:col w:w="11020"/>
          </w:cols>
          <w:pgMar w:left="440" w:top="675" w:right="439" w:bottom="1440" w:gutter="0" w:footer="0" w:header="0"/>
        </w:sectPr>
      </w:pPr>
    </w:p>
    <w:bookmarkStart w:id="53" w:name="page54"/>
    <w:bookmarkEnd w:id="53"/>
    <w:p>
      <w:pPr>
        <w:ind w:left="4"/>
        <w:spacing w:after="0"/>
        <w:rPr>
          <w:sz w:val="20"/>
          <w:szCs w:val="20"/>
          <w:color w:val="auto"/>
        </w:rPr>
      </w:pPr>
      <w:r>
        <w:rPr>
          <w:rFonts w:ascii="Arial" w:cs="Arial" w:eastAsia="Arial" w:hAnsi="Arial"/>
          <w:sz w:val="32"/>
          <w:szCs w:val="32"/>
          <w:b w:val="1"/>
          <w:bCs w:val="1"/>
          <w:color w:val="C8102E"/>
        </w:rPr>
        <w:t>Nonqualified Deferred Compensation</w:t>
      </w:r>
    </w:p>
    <w:p>
      <w:pPr>
        <w:spacing w:after="0" w:line="153" w:lineRule="exact"/>
        <w:rPr>
          <w:sz w:val="20"/>
          <w:szCs w:val="20"/>
          <w:color w:val="auto"/>
        </w:rPr>
      </w:pPr>
    </w:p>
    <w:tbl>
      <w:tblPr>
        <w:tblLayout w:type="fixed"/>
        <w:tblInd w:w="4" w:type="dxa"/>
        <w:tblCellMar>
          <w:top w:w="0" w:type="dxa"/>
          <w:left w:w="0" w:type="dxa"/>
          <w:bottom w:w="0" w:type="dxa"/>
          <w:right w:w="0" w:type="dxa"/>
        </w:tblCellMar>
      </w:tblPr>
      <w:tr>
        <w:trPr>
          <w:trHeight w:val="184"/>
        </w:trPr>
        <w:tc>
          <w:tcPr>
            <w:tcW w:w="2360" w:type="dxa"/>
            <w:vAlign w:val="bottom"/>
          </w:tcPr>
          <w:p>
            <w:pPr>
              <w:spacing w:after="0"/>
              <w:rPr>
                <w:sz w:val="16"/>
                <w:szCs w:val="16"/>
                <w:color w:val="auto"/>
              </w:rPr>
            </w:pPr>
          </w:p>
        </w:tc>
        <w:tc>
          <w:tcPr>
            <w:tcW w:w="2260" w:type="dxa"/>
            <w:vAlign w:val="bottom"/>
          </w:tcPr>
          <w:p>
            <w:pPr>
              <w:jc w:val="right"/>
              <w:ind w:right="319"/>
              <w:spacing w:after="0"/>
              <w:rPr>
                <w:sz w:val="20"/>
                <w:szCs w:val="20"/>
                <w:color w:val="auto"/>
              </w:rPr>
            </w:pPr>
            <w:r>
              <w:rPr>
                <w:rFonts w:ascii="Arial" w:cs="Arial" w:eastAsia="Arial" w:hAnsi="Arial"/>
                <w:sz w:val="16"/>
                <w:szCs w:val="16"/>
                <w:b w:val="1"/>
                <w:bCs w:val="1"/>
                <w:color w:val="C8102E"/>
              </w:rPr>
              <w:t>Executive</w:t>
            </w:r>
          </w:p>
        </w:tc>
        <w:tc>
          <w:tcPr>
            <w:tcW w:w="1820" w:type="dxa"/>
            <w:vAlign w:val="bottom"/>
          </w:tcPr>
          <w:p>
            <w:pPr>
              <w:jc w:val="right"/>
              <w:ind w:right="259"/>
              <w:spacing w:after="0"/>
              <w:rPr>
                <w:sz w:val="20"/>
                <w:szCs w:val="20"/>
                <w:color w:val="auto"/>
              </w:rPr>
            </w:pPr>
            <w:r>
              <w:rPr>
                <w:rFonts w:ascii="Arial" w:cs="Arial" w:eastAsia="Arial" w:hAnsi="Arial"/>
                <w:sz w:val="16"/>
                <w:szCs w:val="16"/>
                <w:b w:val="1"/>
                <w:bCs w:val="1"/>
                <w:color w:val="C8102E"/>
              </w:rPr>
              <w:t>Registrant</w:t>
            </w:r>
          </w:p>
        </w:tc>
        <w:tc>
          <w:tcPr>
            <w:tcW w:w="1540" w:type="dxa"/>
            <w:vAlign w:val="bottom"/>
          </w:tcPr>
          <w:p>
            <w:pPr>
              <w:jc w:val="right"/>
              <w:ind w:right="339"/>
              <w:spacing w:after="0"/>
              <w:rPr>
                <w:sz w:val="20"/>
                <w:szCs w:val="20"/>
                <w:color w:val="auto"/>
              </w:rPr>
            </w:pPr>
            <w:r>
              <w:rPr>
                <w:rFonts w:ascii="Arial" w:cs="Arial" w:eastAsia="Arial" w:hAnsi="Arial"/>
                <w:sz w:val="16"/>
                <w:szCs w:val="16"/>
                <w:b w:val="1"/>
                <w:bCs w:val="1"/>
                <w:color w:val="C8102E"/>
              </w:rPr>
              <w:t>Aggregate</w:t>
            </w:r>
          </w:p>
        </w:tc>
        <w:tc>
          <w:tcPr>
            <w:tcW w:w="1760" w:type="dxa"/>
            <w:vAlign w:val="bottom"/>
          </w:tcPr>
          <w:p>
            <w:pPr>
              <w:jc w:val="right"/>
              <w:ind w:right="279"/>
              <w:spacing w:after="0"/>
              <w:rPr>
                <w:sz w:val="20"/>
                <w:szCs w:val="20"/>
                <w:color w:val="auto"/>
              </w:rPr>
            </w:pPr>
            <w:r>
              <w:rPr>
                <w:rFonts w:ascii="Arial" w:cs="Arial" w:eastAsia="Arial" w:hAnsi="Arial"/>
                <w:sz w:val="16"/>
                <w:szCs w:val="16"/>
                <w:b w:val="1"/>
                <w:bCs w:val="1"/>
                <w:color w:val="C8102E"/>
              </w:rPr>
              <w:t>Aggregate</w:t>
            </w:r>
          </w:p>
        </w:tc>
        <w:tc>
          <w:tcPr>
            <w:tcW w:w="1280" w:type="dxa"/>
            <w:vAlign w:val="bottom"/>
          </w:tcPr>
          <w:p>
            <w:pPr>
              <w:jc w:val="right"/>
              <w:ind w:right="19"/>
              <w:spacing w:after="0"/>
              <w:rPr>
                <w:sz w:val="20"/>
                <w:szCs w:val="20"/>
                <w:color w:val="auto"/>
              </w:rPr>
            </w:pPr>
            <w:r>
              <w:rPr>
                <w:rFonts w:ascii="Arial" w:cs="Arial" w:eastAsia="Arial" w:hAnsi="Arial"/>
                <w:sz w:val="16"/>
                <w:szCs w:val="16"/>
                <w:b w:val="1"/>
                <w:bCs w:val="1"/>
                <w:color w:val="C8102E"/>
              </w:rPr>
              <w:t>Aggregate</w:t>
            </w: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2260" w:type="dxa"/>
            <w:vAlign w:val="bottom"/>
          </w:tcPr>
          <w:p>
            <w:pPr>
              <w:jc w:val="right"/>
              <w:ind w:right="319"/>
              <w:spacing w:after="0" w:line="162" w:lineRule="exact"/>
              <w:rPr>
                <w:sz w:val="20"/>
                <w:szCs w:val="20"/>
                <w:color w:val="auto"/>
              </w:rPr>
            </w:pPr>
            <w:r>
              <w:rPr>
                <w:rFonts w:ascii="Arial" w:cs="Arial" w:eastAsia="Arial" w:hAnsi="Arial"/>
                <w:sz w:val="16"/>
                <w:szCs w:val="16"/>
                <w:b w:val="1"/>
                <w:bCs w:val="1"/>
                <w:color w:val="C8102E"/>
              </w:rPr>
              <w:t>Contributions</w:t>
            </w:r>
          </w:p>
        </w:tc>
        <w:tc>
          <w:tcPr>
            <w:tcW w:w="1820" w:type="dxa"/>
            <w:vAlign w:val="bottom"/>
          </w:tcPr>
          <w:p>
            <w:pPr>
              <w:jc w:val="right"/>
              <w:ind w:right="259"/>
              <w:spacing w:after="0" w:line="162" w:lineRule="exact"/>
              <w:rPr>
                <w:sz w:val="20"/>
                <w:szCs w:val="20"/>
                <w:color w:val="auto"/>
              </w:rPr>
            </w:pPr>
            <w:r>
              <w:rPr>
                <w:rFonts w:ascii="Arial" w:cs="Arial" w:eastAsia="Arial" w:hAnsi="Arial"/>
                <w:sz w:val="16"/>
                <w:szCs w:val="16"/>
                <w:b w:val="1"/>
                <w:bCs w:val="1"/>
                <w:color w:val="C8102E"/>
              </w:rPr>
              <w:t>Contributions</w:t>
            </w:r>
          </w:p>
        </w:tc>
        <w:tc>
          <w:tcPr>
            <w:tcW w:w="1540" w:type="dxa"/>
            <w:vAlign w:val="bottom"/>
          </w:tcPr>
          <w:p>
            <w:pPr>
              <w:jc w:val="right"/>
              <w:ind w:right="339"/>
              <w:spacing w:after="0" w:line="162" w:lineRule="exact"/>
              <w:rPr>
                <w:sz w:val="20"/>
                <w:szCs w:val="20"/>
                <w:color w:val="auto"/>
              </w:rPr>
            </w:pPr>
            <w:r>
              <w:rPr>
                <w:rFonts w:ascii="Arial" w:cs="Arial" w:eastAsia="Arial" w:hAnsi="Arial"/>
                <w:sz w:val="16"/>
                <w:szCs w:val="16"/>
                <w:b w:val="1"/>
                <w:bCs w:val="1"/>
                <w:color w:val="C8102E"/>
              </w:rPr>
              <w:t>Earnings</w:t>
            </w:r>
          </w:p>
        </w:tc>
        <w:tc>
          <w:tcPr>
            <w:tcW w:w="1760" w:type="dxa"/>
            <w:vAlign w:val="bottom"/>
          </w:tcPr>
          <w:p>
            <w:pPr>
              <w:jc w:val="right"/>
              <w:ind w:right="279"/>
              <w:spacing w:after="0" w:line="162" w:lineRule="exact"/>
              <w:rPr>
                <w:sz w:val="20"/>
                <w:szCs w:val="20"/>
                <w:color w:val="auto"/>
              </w:rPr>
            </w:pPr>
            <w:r>
              <w:rPr>
                <w:rFonts w:ascii="Arial" w:cs="Arial" w:eastAsia="Arial" w:hAnsi="Arial"/>
                <w:sz w:val="16"/>
                <w:szCs w:val="16"/>
                <w:b w:val="1"/>
                <w:bCs w:val="1"/>
                <w:color w:val="C8102E"/>
              </w:rPr>
              <w:t>Withdrawals/</w:t>
            </w:r>
          </w:p>
        </w:tc>
        <w:tc>
          <w:tcPr>
            <w:tcW w:w="1280" w:type="dxa"/>
            <w:vAlign w:val="bottom"/>
          </w:tcPr>
          <w:p>
            <w:pPr>
              <w:jc w:val="right"/>
              <w:ind w:right="19"/>
              <w:spacing w:after="0" w:line="162" w:lineRule="exact"/>
              <w:rPr>
                <w:sz w:val="20"/>
                <w:szCs w:val="20"/>
                <w:color w:val="auto"/>
              </w:rPr>
            </w:pPr>
            <w:r>
              <w:rPr>
                <w:rFonts w:ascii="Arial" w:cs="Arial" w:eastAsia="Arial" w:hAnsi="Arial"/>
                <w:sz w:val="16"/>
                <w:szCs w:val="16"/>
                <w:b w:val="1"/>
                <w:bCs w:val="1"/>
                <w:color w:val="C8102E"/>
              </w:rPr>
              <w:t>Balance at</w:t>
            </w:r>
          </w:p>
        </w:tc>
        <w:tc>
          <w:tcPr>
            <w:tcW w:w="0" w:type="dxa"/>
            <w:vAlign w:val="bottom"/>
          </w:tcPr>
          <w:p>
            <w:pPr>
              <w:spacing w:after="0"/>
              <w:rPr>
                <w:sz w:val="1"/>
                <w:szCs w:val="1"/>
                <w:color w:val="auto"/>
              </w:rPr>
            </w:pPr>
          </w:p>
        </w:tc>
      </w:tr>
      <w:tr>
        <w:trPr>
          <w:trHeight w:val="162"/>
        </w:trPr>
        <w:tc>
          <w:tcPr>
            <w:tcW w:w="2360" w:type="dxa"/>
            <w:vAlign w:val="bottom"/>
            <w:vMerge w:val="restart"/>
          </w:tcPr>
          <w:p>
            <w:pPr>
              <w:spacing w:after="0"/>
              <w:rPr>
                <w:sz w:val="20"/>
                <w:szCs w:val="20"/>
                <w:color w:val="auto"/>
              </w:rPr>
            </w:pPr>
            <w:r>
              <w:rPr>
                <w:rFonts w:ascii="Arial" w:cs="Arial" w:eastAsia="Arial" w:hAnsi="Arial"/>
                <w:sz w:val="16"/>
                <w:szCs w:val="16"/>
                <w:b w:val="1"/>
                <w:bCs w:val="1"/>
                <w:color w:val="C8102E"/>
              </w:rPr>
              <w:t>  Name</w:t>
            </w:r>
          </w:p>
        </w:tc>
        <w:tc>
          <w:tcPr>
            <w:tcW w:w="2260" w:type="dxa"/>
            <w:vAlign w:val="bottom"/>
          </w:tcPr>
          <w:p>
            <w:pPr>
              <w:jc w:val="right"/>
              <w:ind w:right="319"/>
              <w:spacing w:after="0" w:line="162" w:lineRule="exact"/>
              <w:rPr>
                <w:sz w:val="20"/>
                <w:szCs w:val="20"/>
                <w:color w:val="auto"/>
              </w:rPr>
            </w:pPr>
            <w:r>
              <w:rPr>
                <w:rFonts w:ascii="Arial" w:cs="Arial" w:eastAsia="Arial" w:hAnsi="Arial"/>
                <w:sz w:val="16"/>
                <w:szCs w:val="16"/>
                <w:b w:val="1"/>
                <w:bCs w:val="1"/>
                <w:color w:val="C8102E"/>
              </w:rPr>
              <w:t>in Last FY</w:t>
            </w:r>
          </w:p>
        </w:tc>
        <w:tc>
          <w:tcPr>
            <w:tcW w:w="1820" w:type="dxa"/>
            <w:vAlign w:val="bottom"/>
          </w:tcPr>
          <w:p>
            <w:pPr>
              <w:jc w:val="right"/>
              <w:ind w:right="259"/>
              <w:spacing w:after="0" w:line="162" w:lineRule="exact"/>
              <w:rPr>
                <w:sz w:val="20"/>
                <w:szCs w:val="20"/>
                <w:color w:val="auto"/>
              </w:rPr>
            </w:pPr>
            <w:r>
              <w:rPr>
                <w:rFonts w:ascii="Arial" w:cs="Arial" w:eastAsia="Arial" w:hAnsi="Arial"/>
                <w:sz w:val="16"/>
                <w:szCs w:val="16"/>
                <w:b w:val="1"/>
                <w:bCs w:val="1"/>
                <w:color w:val="C8102E"/>
              </w:rPr>
              <w:t>in Last FY</w:t>
            </w:r>
          </w:p>
        </w:tc>
        <w:tc>
          <w:tcPr>
            <w:tcW w:w="1540" w:type="dxa"/>
            <w:vAlign w:val="bottom"/>
          </w:tcPr>
          <w:p>
            <w:pPr>
              <w:jc w:val="right"/>
              <w:ind w:right="339"/>
              <w:spacing w:after="0" w:line="162" w:lineRule="exact"/>
              <w:rPr>
                <w:sz w:val="20"/>
                <w:szCs w:val="20"/>
                <w:color w:val="auto"/>
              </w:rPr>
            </w:pPr>
            <w:r>
              <w:rPr>
                <w:rFonts w:ascii="Arial" w:cs="Arial" w:eastAsia="Arial" w:hAnsi="Arial"/>
                <w:sz w:val="16"/>
                <w:szCs w:val="16"/>
                <w:b w:val="1"/>
                <w:bCs w:val="1"/>
                <w:color w:val="C8102E"/>
              </w:rPr>
              <w:t>in Last FY</w:t>
            </w:r>
          </w:p>
        </w:tc>
        <w:tc>
          <w:tcPr>
            <w:tcW w:w="1760" w:type="dxa"/>
            <w:vAlign w:val="bottom"/>
          </w:tcPr>
          <w:p>
            <w:pPr>
              <w:jc w:val="right"/>
              <w:ind w:right="279"/>
              <w:spacing w:after="0" w:line="162" w:lineRule="exact"/>
              <w:rPr>
                <w:sz w:val="20"/>
                <w:szCs w:val="20"/>
                <w:color w:val="auto"/>
              </w:rPr>
            </w:pPr>
            <w:r>
              <w:rPr>
                <w:rFonts w:ascii="Arial" w:cs="Arial" w:eastAsia="Arial" w:hAnsi="Arial"/>
                <w:sz w:val="16"/>
                <w:szCs w:val="16"/>
                <w:b w:val="1"/>
                <w:bCs w:val="1"/>
                <w:color w:val="C8102E"/>
              </w:rPr>
              <w:t>Distributions</w:t>
            </w:r>
          </w:p>
        </w:tc>
        <w:tc>
          <w:tcPr>
            <w:tcW w:w="1280" w:type="dxa"/>
            <w:vAlign w:val="bottom"/>
          </w:tcPr>
          <w:p>
            <w:pPr>
              <w:jc w:val="right"/>
              <w:ind w:right="19"/>
              <w:spacing w:after="0" w:line="162" w:lineRule="exact"/>
              <w:rPr>
                <w:sz w:val="20"/>
                <w:szCs w:val="20"/>
                <w:color w:val="auto"/>
              </w:rPr>
            </w:pPr>
            <w:r>
              <w:rPr>
                <w:rFonts w:ascii="Arial" w:cs="Arial" w:eastAsia="Arial" w:hAnsi="Arial"/>
                <w:sz w:val="16"/>
                <w:szCs w:val="16"/>
                <w:b w:val="1"/>
                <w:bCs w:val="1"/>
                <w:color w:val="C8102E"/>
              </w:rPr>
              <w:t>Last FYE</w:t>
            </w:r>
          </w:p>
        </w:tc>
        <w:tc>
          <w:tcPr>
            <w:tcW w:w="0" w:type="dxa"/>
            <w:vAlign w:val="bottom"/>
          </w:tcPr>
          <w:p>
            <w:pPr>
              <w:spacing w:after="0"/>
              <w:rPr>
                <w:sz w:val="1"/>
                <w:szCs w:val="1"/>
                <w:color w:val="auto"/>
              </w:rPr>
            </w:pPr>
          </w:p>
        </w:tc>
      </w:tr>
      <w:tr>
        <w:trPr>
          <w:trHeight w:val="189"/>
        </w:trPr>
        <w:tc>
          <w:tcPr>
            <w:tcW w:w="2360" w:type="dxa"/>
            <w:vAlign w:val="bottom"/>
            <w:vMerge w:val="continue"/>
          </w:tcPr>
          <w:p>
            <w:pPr>
              <w:spacing w:after="0"/>
              <w:rPr>
                <w:sz w:val="16"/>
                <w:szCs w:val="16"/>
                <w:color w:val="auto"/>
              </w:rPr>
            </w:pPr>
          </w:p>
        </w:tc>
        <w:tc>
          <w:tcPr>
            <w:tcW w:w="2260" w:type="dxa"/>
            <w:vAlign w:val="bottom"/>
          </w:tcPr>
          <w:p>
            <w:pPr>
              <w:jc w:val="right"/>
              <w:ind w:right="319"/>
              <w:spacing w:after="0" w:line="189" w:lineRule="exact"/>
              <w:rPr>
                <w:sz w:val="20"/>
                <w:szCs w:val="20"/>
                <w:color w:val="auto"/>
              </w:rPr>
            </w:pPr>
            <w:r>
              <w:rPr>
                <w:rFonts w:ascii="Arial" w:cs="Arial" w:eastAsia="Arial" w:hAnsi="Arial"/>
                <w:sz w:val="16"/>
                <w:szCs w:val="16"/>
                <w:b w:val="1"/>
                <w:bCs w:val="1"/>
                <w:color w:val="C8102E"/>
              </w:rPr>
              <w:t>($)</w:t>
            </w:r>
            <w:r>
              <w:rPr>
                <w:rFonts w:ascii="Arial" w:cs="Arial" w:eastAsia="Arial" w:hAnsi="Arial"/>
                <w:sz w:val="20"/>
                <w:szCs w:val="20"/>
                <w:b w:val="1"/>
                <w:bCs w:val="1"/>
                <w:color w:val="C8102E"/>
                <w:vertAlign w:val="superscript"/>
              </w:rPr>
              <w:t>(1)</w:t>
            </w:r>
          </w:p>
        </w:tc>
        <w:tc>
          <w:tcPr>
            <w:tcW w:w="1820" w:type="dxa"/>
            <w:vAlign w:val="bottom"/>
          </w:tcPr>
          <w:p>
            <w:pPr>
              <w:jc w:val="right"/>
              <w:ind w:right="259"/>
              <w:spacing w:after="0" w:line="189" w:lineRule="exact"/>
              <w:rPr>
                <w:sz w:val="20"/>
                <w:szCs w:val="20"/>
                <w:color w:val="auto"/>
              </w:rPr>
            </w:pPr>
            <w:r>
              <w:rPr>
                <w:rFonts w:ascii="Arial" w:cs="Arial" w:eastAsia="Arial" w:hAnsi="Arial"/>
                <w:sz w:val="16"/>
                <w:szCs w:val="16"/>
                <w:b w:val="1"/>
                <w:bCs w:val="1"/>
                <w:color w:val="C8102E"/>
              </w:rPr>
              <w:t>($)</w:t>
            </w:r>
            <w:r>
              <w:rPr>
                <w:rFonts w:ascii="Arial" w:cs="Arial" w:eastAsia="Arial" w:hAnsi="Arial"/>
                <w:sz w:val="20"/>
                <w:szCs w:val="20"/>
                <w:b w:val="1"/>
                <w:bCs w:val="1"/>
                <w:color w:val="C8102E"/>
                <w:vertAlign w:val="superscript"/>
              </w:rPr>
              <w:t>(2)</w:t>
            </w:r>
          </w:p>
        </w:tc>
        <w:tc>
          <w:tcPr>
            <w:tcW w:w="1540" w:type="dxa"/>
            <w:vAlign w:val="bottom"/>
          </w:tcPr>
          <w:p>
            <w:pPr>
              <w:jc w:val="right"/>
              <w:ind w:right="339"/>
              <w:spacing w:after="0" w:line="189" w:lineRule="exact"/>
              <w:rPr>
                <w:sz w:val="20"/>
                <w:szCs w:val="20"/>
                <w:color w:val="auto"/>
              </w:rPr>
            </w:pPr>
            <w:r>
              <w:rPr>
                <w:rFonts w:ascii="Arial" w:cs="Arial" w:eastAsia="Arial" w:hAnsi="Arial"/>
                <w:sz w:val="16"/>
                <w:szCs w:val="16"/>
                <w:b w:val="1"/>
                <w:bCs w:val="1"/>
                <w:color w:val="C8102E"/>
              </w:rPr>
              <w:t>($)</w:t>
            </w:r>
            <w:r>
              <w:rPr>
                <w:rFonts w:ascii="Arial" w:cs="Arial" w:eastAsia="Arial" w:hAnsi="Arial"/>
                <w:sz w:val="20"/>
                <w:szCs w:val="20"/>
                <w:b w:val="1"/>
                <w:bCs w:val="1"/>
                <w:color w:val="C8102E"/>
                <w:vertAlign w:val="superscript"/>
              </w:rPr>
              <w:t>(3)</w:t>
            </w:r>
          </w:p>
        </w:tc>
        <w:tc>
          <w:tcPr>
            <w:tcW w:w="1760" w:type="dxa"/>
            <w:vAlign w:val="bottom"/>
          </w:tcPr>
          <w:p>
            <w:pPr>
              <w:jc w:val="right"/>
              <w:ind w:right="279"/>
              <w:spacing w:after="0"/>
              <w:rPr>
                <w:sz w:val="20"/>
                <w:szCs w:val="20"/>
                <w:color w:val="auto"/>
              </w:rPr>
            </w:pPr>
            <w:r>
              <w:rPr>
                <w:rFonts w:ascii="Arial" w:cs="Arial" w:eastAsia="Arial" w:hAnsi="Arial"/>
                <w:sz w:val="16"/>
                <w:szCs w:val="16"/>
                <w:b w:val="1"/>
                <w:bCs w:val="1"/>
                <w:color w:val="C8102E"/>
              </w:rPr>
              <w:t>($)</w:t>
            </w:r>
          </w:p>
        </w:tc>
        <w:tc>
          <w:tcPr>
            <w:tcW w:w="1280" w:type="dxa"/>
            <w:vAlign w:val="bottom"/>
          </w:tcPr>
          <w:p>
            <w:pPr>
              <w:jc w:val="right"/>
              <w:ind w:right="19"/>
              <w:spacing w:after="0"/>
              <w:rPr>
                <w:sz w:val="20"/>
                <w:szCs w:val="20"/>
                <w:color w:val="auto"/>
              </w:rPr>
            </w:pPr>
            <w:r>
              <w:rPr>
                <w:rFonts w:ascii="Arial" w:cs="Arial" w:eastAsia="Arial" w:hAnsi="Arial"/>
                <w:sz w:val="16"/>
                <w:szCs w:val="16"/>
                <w:b w:val="1"/>
                <w:bCs w:val="1"/>
                <w:color w:val="C8102E"/>
              </w:rPr>
              <w:t>($)</w:t>
            </w:r>
          </w:p>
        </w:tc>
        <w:tc>
          <w:tcPr>
            <w:tcW w:w="0" w:type="dxa"/>
            <w:vAlign w:val="bottom"/>
          </w:tcPr>
          <w:p>
            <w:pPr>
              <w:spacing w:after="0"/>
              <w:rPr>
                <w:sz w:val="1"/>
                <w:szCs w:val="1"/>
                <w:color w:val="auto"/>
              </w:rPr>
            </w:pPr>
          </w:p>
        </w:tc>
      </w:tr>
      <w:tr>
        <w:trPr>
          <w:trHeight w:val="216"/>
        </w:trPr>
        <w:tc>
          <w:tcPr>
            <w:tcW w:w="2360" w:type="dxa"/>
            <w:vAlign w:val="bottom"/>
            <w:shd w:val="clear" w:color="auto" w:fill="EDEDEE"/>
          </w:tcPr>
          <w:p>
            <w:pPr>
              <w:ind w:left="80"/>
              <w:spacing w:after="0"/>
              <w:rPr>
                <w:sz w:val="20"/>
                <w:szCs w:val="20"/>
                <w:color w:val="auto"/>
              </w:rPr>
            </w:pPr>
            <w:r>
              <w:rPr>
                <w:rFonts w:ascii="Arial" w:cs="Arial" w:eastAsia="Arial" w:hAnsi="Arial"/>
                <w:sz w:val="16"/>
                <w:szCs w:val="16"/>
                <w:color w:val="auto"/>
              </w:rPr>
              <w:t>Damien McDonald</w:t>
            </w:r>
          </w:p>
        </w:tc>
        <w:tc>
          <w:tcPr>
            <w:tcW w:w="2260" w:type="dxa"/>
            <w:vAlign w:val="bottom"/>
            <w:shd w:val="clear" w:color="auto" w:fill="EDEDEE"/>
          </w:tcPr>
          <w:p>
            <w:pPr>
              <w:jc w:val="right"/>
              <w:ind w:right="319"/>
              <w:spacing w:after="0"/>
              <w:rPr>
                <w:sz w:val="20"/>
                <w:szCs w:val="20"/>
                <w:color w:val="auto"/>
              </w:rPr>
            </w:pPr>
            <w:r>
              <w:rPr>
                <w:rFonts w:ascii="Arial" w:cs="Arial" w:eastAsia="Arial" w:hAnsi="Arial"/>
                <w:sz w:val="16"/>
                <w:szCs w:val="16"/>
                <w:color w:val="auto"/>
              </w:rPr>
              <w:t>—</w:t>
            </w:r>
          </w:p>
        </w:tc>
        <w:tc>
          <w:tcPr>
            <w:tcW w:w="1820" w:type="dxa"/>
            <w:vAlign w:val="bottom"/>
            <w:shd w:val="clear" w:color="auto" w:fill="EDEDEE"/>
          </w:tcPr>
          <w:p>
            <w:pPr>
              <w:jc w:val="right"/>
              <w:ind w:right="259"/>
              <w:spacing w:after="0"/>
              <w:rPr>
                <w:sz w:val="20"/>
                <w:szCs w:val="20"/>
                <w:color w:val="auto"/>
              </w:rPr>
            </w:pPr>
            <w:r>
              <w:rPr>
                <w:rFonts w:ascii="Arial" w:cs="Arial" w:eastAsia="Arial" w:hAnsi="Arial"/>
                <w:sz w:val="16"/>
                <w:szCs w:val="16"/>
                <w:color w:val="auto"/>
              </w:rPr>
              <w:t>—</w:t>
            </w:r>
          </w:p>
        </w:tc>
        <w:tc>
          <w:tcPr>
            <w:tcW w:w="1540" w:type="dxa"/>
            <w:vAlign w:val="bottom"/>
            <w:shd w:val="clear" w:color="auto" w:fill="EDEDEE"/>
          </w:tcPr>
          <w:p>
            <w:pPr>
              <w:jc w:val="right"/>
              <w:ind w:right="339"/>
              <w:spacing w:after="0"/>
              <w:rPr>
                <w:sz w:val="20"/>
                <w:szCs w:val="20"/>
                <w:color w:val="auto"/>
              </w:rPr>
            </w:pPr>
            <w:r>
              <w:rPr>
                <w:rFonts w:ascii="Arial" w:cs="Arial" w:eastAsia="Arial" w:hAnsi="Arial"/>
                <w:sz w:val="16"/>
                <w:szCs w:val="16"/>
                <w:color w:val="auto"/>
              </w:rPr>
              <w:t>—</w:t>
            </w:r>
          </w:p>
        </w:tc>
        <w:tc>
          <w:tcPr>
            <w:tcW w:w="1760" w:type="dxa"/>
            <w:vAlign w:val="bottom"/>
            <w:shd w:val="clear" w:color="auto" w:fill="EDEDEE"/>
          </w:tcPr>
          <w:p>
            <w:pPr>
              <w:jc w:val="right"/>
              <w:ind w:right="2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EDEDEE"/>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360" w:type="dxa"/>
            <w:vAlign w:val="bottom"/>
          </w:tcPr>
          <w:p>
            <w:pPr>
              <w:spacing w:after="0"/>
              <w:rPr>
                <w:sz w:val="20"/>
                <w:szCs w:val="20"/>
                <w:color w:val="auto"/>
              </w:rPr>
            </w:pPr>
            <w:r>
              <w:rPr>
                <w:rFonts w:ascii="Arial" w:cs="Arial" w:eastAsia="Arial" w:hAnsi="Arial"/>
                <w:sz w:val="16"/>
                <w:szCs w:val="16"/>
                <w:color w:val="auto"/>
              </w:rPr>
              <w:t>  Matthew L. Trerotola</w:t>
            </w:r>
          </w:p>
        </w:tc>
        <w:tc>
          <w:tcPr>
            <w:tcW w:w="2260" w:type="dxa"/>
            <w:vAlign w:val="bottom"/>
          </w:tcPr>
          <w:p>
            <w:pPr>
              <w:jc w:val="right"/>
              <w:ind w:right="319"/>
              <w:spacing w:after="0"/>
              <w:rPr>
                <w:sz w:val="20"/>
                <w:szCs w:val="20"/>
                <w:color w:val="auto"/>
              </w:rPr>
            </w:pPr>
            <w:r>
              <w:rPr>
                <w:rFonts w:ascii="Arial" w:cs="Arial" w:eastAsia="Arial" w:hAnsi="Arial"/>
                <w:sz w:val="16"/>
                <w:szCs w:val="16"/>
                <w:color w:val="auto"/>
              </w:rPr>
              <w:t>182,158</w:t>
            </w:r>
          </w:p>
        </w:tc>
        <w:tc>
          <w:tcPr>
            <w:tcW w:w="1820" w:type="dxa"/>
            <w:vAlign w:val="bottom"/>
          </w:tcPr>
          <w:p>
            <w:pPr>
              <w:jc w:val="right"/>
              <w:ind w:right="259"/>
              <w:spacing w:after="0"/>
              <w:rPr>
                <w:sz w:val="20"/>
                <w:szCs w:val="20"/>
                <w:color w:val="auto"/>
              </w:rPr>
            </w:pPr>
            <w:r>
              <w:rPr>
                <w:rFonts w:ascii="Arial" w:cs="Arial" w:eastAsia="Arial" w:hAnsi="Arial"/>
                <w:sz w:val="16"/>
                <w:szCs w:val="16"/>
                <w:color w:val="auto"/>
              </w:rPr>
              <w:t>107,722</w:t>
            </w:r>
          </w:p>
        </w:tc>
        <w:tc>
          <w:tcPr>
            <w:tcW w:w="1540" w:type="dxa"/>
            <w:vAlign w:val="bottom"/>
          </w:tcPr>
          <w:p>
            <w:pPr>
              <w:jc w:val="right"/>
              <w:ind w:right="339"/>
              <w:spacing w:after="0"/>
              <w:rPr>
                <w:sz w:val="20"/>
                <w:szCs w:val="20"/>
                <w:color w:val="auto"/>
              </w:rPr>
            </w:pPr>
            <w:r>
              <w:rPr>
                <w:rFonts w:ascii="Arial" w:cs="Arial" w:eastAsia="Arial" w:hAnsi="Arial"/>
                <w:sz w:val="16"/>
                <w:szCs w:val="16"/>
                <w:color w:val="auto"/>
              </w:rPr>
              <w:t>550,583</w:t>
            </w:r>
          </w:p>
        </w:tc>
        <w:tc>
          <w:tcPr>
            <w:tcW w:w="17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4,012,786</w:t>
            </w:r>
          </w:p>
        </w:tc>
        <w:tc>
          <w:tcPr>
            <w:tcW w:w="0" w:type="dxa"/>
            <w:vAlign w:val="bottom"/>
          </w:tcPr>
          <w:p>
            <w:pPr>
              <w:spacing w:after="0"/>
              <w:rPr>
                <w:sz w:val="1"/>
                <w:szCs w:val="1"/>
                <w:color w:val="auto"/>
              </w:rPr>
            </w:pPr>
          </w:p>
        </w:tc>
      </w:tr>
      <w:tr>
        <w:trPr>
          <w:trHeight w:val="217"/>
        </w:trPr>
        <w:tc>
          <w:tcPr>
            <w:tcW w:w="2360" w:type="dxa"/>
            <w:vAlign w:val="bottom"/>
            <w:shd w:val="clear" w:color="auto" w:fill="EDEDEE"/>
          </w:tcPr>
          <w:p>
            <w:pPr>
              <w:spacing w:after="0"/>
              <w:rPr>
                <w:sz w:val="20"/>
                <w:szCs w:val="20"/>
                <w:color w:val="auto"/>
              </w:rPr>
            </w:pPr>
            <w:r>
              <w:rPr>
                <w:rFonts w:ascii="Arial" w:cs="Arial" w:eastAsia="Arial" w:hAnsi="Arial"/>
                <w:sz w:val="16"/>
                <w:szCs w:val="16"/>
                <w:color w:val="auto"/>
              </w:rPr>
              <w:t>  Phillip “Ben” Berry</w:t>
            </w:r>
          </w:p>
        </w:tc>
        <w:tc>
          <w:tcPr>
            <w:tcW w:w="2260" w:type="dxa"/>
            <w:vAlign w:val="bottom"/>
            <w:shd w:val="clear" w:color="auto" w:fill="EDEDEE"/>
          </w:tcPr>
          <w:p>
            <w:pPr>
              <w:jc w:val="right"/>
              <w:ind w:right="319"/>
              <w:spacing w:after="0"/>
              <w:rPr>
                <w:sz w:val="20"/>
                <w:szCs w:val="20"/>
                <w:color w:val="auto"/>
              </w:rPr>
            </w:pPr>
            <w:r>
              <w:rPr>
                <w:rFonts w:ascii="Arial" w:cs="Arial" w:eastAsia="Arial" w:hAnsi="Arial"/>
                <w:sz w:val="16"/>
                <w:szCs w:val="16"/>
                <w:color w:val="auto"/>
              </w:rPr>
              <w:t>—</w:t>
            </w:r>
          </w:p>
        </w:tc>
        <w:tc>
          <w:tcPr>
            <w:tcW w:w="1820" w:type="dxa"/>
            <w:vAlign w:val="bottom"/>
            <w:shd w:val="clear" w:color="auto" w:fill="EDEDEE"/>
          </w:tcPr>
          <w:p>
            <w:pPr>
              <w:jc w:val="right"/>
              <w:ind w:right="259"/>
              <w:spacing w:after="0"/>
              <w:rPr>
                <w:sz w:val="20"/>
                <w:szCs w:val="20"/>
                <w:color w:val="auto"/>
              </w:rPr>
            </w:pPr>
            <w:r>
              <w:rPr>
                <w:rFonts w:ascii="Arial" w:cs="Arial" w:eastAsia="Arial" w:hAnsi="Arial"/>
                <w:sz w:val="16"/>
                <w:szCs w:val="16"/>
                <w:color w:val="auto"/>
              </w:rPr>
              <w:t>—</w:t>
            </w:r>
          </w:p>
        </w:tc>
        <w:tc>
          <w:tcPr>
            <w:tcW w:w="1540" w:type="dxa"/>
            <w:vAlign w:val="bottom"/>
            <w:shd w:val="clear" w:color="auto" w:fill="EDEDEE"/>
          </w:tcPr>
          <w:p>
            <w:pPr>
              <w:jc w:val="right"/>
              <w:ind w:right="339"/>
              <w:spacing w:after="0"/>
              <w:rPr>
                <w:sz w:val="20"/>
                <w:szCs w:val="20"/>
                <w:color w:val="auto"/>
              </w:rPr>
            </w:pPr>
            <w:r>
              <w:rPr>
                <w:rFonts w:ascii="Arial" w:cs="Arial" w:eastAsia="Arial" w:hAnsi="Arial"/>
                <w:sz w:val="16"/>
                <w:szCs w:val="16"/>
                <w:color w:val="auto"/>
              </w:rPr>
              <w:t>—</w:t>
            </w:r>
          </w:p>
        </w:tc>
        <w:tc>
          <w:tcPr>
            <w:tcW w:w="1760" w:type="dxa"/>
            <w:vAlign w:val="bottom"/>
            <w:shd w:val="clear" w:color="auto" w:fill="EDEDEE"/>
          </w:tcPr>
          <w:p>
            <w:pPr>
              <w:jc w:val="right"/>
              <w:ind w:right="2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EDEDEE"/>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360" w:type="dxa"/>
            <w:vAlign w:val="bottom"/>
          </w:tcPr>
          <w:p>
            <w:pPr>
              <w:spacing w:after="0"/>
              <w:rPr>
                <w:sz w:val="20"/>
                <w:szCs w:val="20"/>
                <w:color w:val="auto"/>
              </w:rPr>
            </w:pPr>
            <w:r>
              <w:rPr>
                <w:rFonts w:ascii="Arial" w:cs="Arial" w:eastAsia="Arial" w:hAnsi="Arial"/>
                <w:sz w:val="16"/>
                <w:szCs w:val="16"/>
                <w:color w:val="auto"/>
              </w:rPr>
              <w:t>  Daniel A. Pryor</w:t>
            </w:r>
          </w:p>
        </w:tc>
        <w:tc>
          <w:tcPr>
            <w:tcW w:w="2260" w:type="dxa"/>
            <w:vAlign w:val="bottom"/>
          </w:tcPr>
          <w:p>
            <w:pPr>
              <w:jc w:val="right"/>
              <w:ind w:right="319"/>
              <w:spacing w:after="0"/>
              <w:rPr>
                <w:sz w:val="20"/>
                <w:szCs w:val="20"/>
                <w:color w:val="auto"/>
              </w:rPr>
            </w:pPr>
            <w:r>
              <w:rPr>
                <w:rFonts w:ascii="Arial" w:cs="Arial" w:eastAsia="Arial" w:hAnsi="Arial"/>
                <w:sz w:val="16"/>
                <w:szCs w:val="16"/>
                <w:color w:val="auto"/>
              </w:rPr>
              <w:t>93,802</w:t>
            </w:r>
          </w:p>
        </w:tc>
        <w:tc>
          <w:tcPr>
            <w:tcW w:w="1820" w:type="dxa"/>
            <w:vAlign w:val="bottom"/>
          </w:tcPr>
          <w:p>
            <w:pPr>
              <w:jc w:val="right"/>
              <w:ind w:right="259"/>
              <w:spacing w:after="0"/>
              <w:rPr>
                <w:sz w:val="20"/>
                <w:szCs w:val="20"/>
                <w:color w:val="auto"/>
              </w:rPr>
            </w:pPr>
            <w:r>
              <w:rPr>
                <w:rFonts w:ascii="Arial" w:cs="Arial" w:eastAsia="Arial" w:hAnsi="Arial"/>
                <w:sz w:val="16"/>
                <w:szCs w:val="16"/>
                <w:color w:val="auto"/>
              </w:rPr>
              <w:t>49,204</w:t>
            </w:r>
          </w:p>
        </w:tc>
        <w:tc>
          <w:tcPr>
            <w:tcW w:w="1540" w:type="dxa"/>
            <w:vAlign w:val="bottom"/>
          </w:tcPr>
          <w:p>
            <w:pPr>
              <w:jc w:val="right"/>
              <w:ind w:right="339"/>
              <w:spacing w:after="0"/>
              <w:rPr>
                <w:sz w:val="20"/>
                <w:szCs w:val="20"/>
                <w:color w:val="auto"/>
              </w:rPr>
            </w:pPr>
            <w:r>
              <w:rPr>
                <w:rFonts w:ascii="Arial" w:cs="Arial" w:eastAsia="Arial" w:hAnsi="Arial"/>
                <w:sz w:val="16"/>
                <w:szCs w:val="16"/>
                <w:color w:val="auto"/>
              </w:rPr>
              <w:t>453,008</w:t>
            </w:r>
          </w:p>
        </w:tc>
        <w:tc>
          <w:tcPr>
            <w:tcW w:w="17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3,087,574</w:t>
            </w:r>
          </w:p>
        </w:tc>
        <w:tc>
          <w:tcPr>
            <w:tcW w:w="0" w:type="dxa"/>
            <w:vAlign w:val="bottom"/>
          </w:tcPr>
          <w:p>
            <w:pPr>
              <w:spacing w:after="0"/>
              <w:rPr>
                <w:sz w:val="1"/>
                <w:szCs w:val="1"/>
                <w:color w:val="auto"/>
              </w:rPr>
            </w:pPr>
          </w:p>
        </w:tc>
      </w:tr>
      <w:tr>
        <w:trPr>
          <w:trHeight w:val="190"/>
        </w:trPr>
        <w:tc>
          <w:tcPr>
            <w:tcW w:w="2360" w:type="dxa"/>
            <w:vAlign w:val="bottom"/>
            <w:shd w:val="clear" w:color="auto" w:fill="EDEDEE"/>
          </w:tcPr>
          <w:p>
            <w:pPr>
              <w:ind w:left="80"/>
              <w:spacing w:after="0"/>
              <w:rPr>
                <w:sz w:val="20"/>
                <w:szCs w:val="20"/>
                <w:color w:val="auto"/>
              </w:rPr>
            </w:pPr>
            <w:r>
              <w:rPr>
                <w:rFonts w:ascii="Arial" w:cs="Arial" w:eastAsia="Arial" w:hAnsi="Arial"/>
                <w:sz w:val="16"/>
                <w:szCs w:val="16"/>
                <w:color w:val="auto"/>
              </w:rPr>
              <w:t>Terry Ross</w:t>
            </w:r>
          </w:p>
        </w:tc>
        <w:tc>
          <w:tcPr>
            <w:tcW w:w="2260" w:type="dxa"/>
            <w:vAlign w:val="bottom"/>
            <w:vMerge w:val="restart"/>
            <w:shd w:val="clear" w:color="auto" w:fill="EDEDEE"/>
          </w:tcPr>
          <w:p>
            <w:pPr>
              <w:jc w:val="right"/>
              <w:ind w:right="319"/>
              <w:spacing w:after="0"/>
              <w:rPr>
                <w:sz w:val="20"/>
                <w:szCs w:val="20"/>
                <w:color w:val="auto"/>
              </w:rPr>
            </w:pPr>
            <w:r>
              <w:rPr>
                <w:rFonts w:ascii="Arial" w:cs="Arial" w:eastAsia="Arial" w:hAnsi="Arial"/>
                <w:sz w:val="16"/>
                <w:szCs w:val="16"/>
                <w:color w:val="auto"/>
              </w:rPr>
              <w:t>50,163</w:t>
            </w:r>
          </w:p>
        </w:tc>
        <w:tc>
          <w:tcPr>
            <w:tcW w:w="1820" w:type="dxa"/>
            <w:vAlign w:val="bottom"/>
            <w:vMerge w:val="restart"/>
            <w:shd w:val="clear" w:color="auto" w:fill="EDEDEE"/>
          </w:tcPr>
          <w:p>
            <w:pPr>
              <w:jc w:val="right"/>
              <w:ind w:right="259"/>
              <w:spacing w:after="0"/>
              <w:rPr>
                <w:sz w:val="20"/>
                <w:szCs w:val="20"/>
                <w:color w:val="auto"/>
              </w:rPr>
            </w:pPr>
            <w:r>
              <w:rPr>
                <w:rFonts w:ascii="Arial" w:cs="Arial" w:eastAsia="Arial" w:hAnsi="Arial"/>
                <w:sz w:val="16"/>
                <w:szCs w:val="16"/>
                <w:color w:val="auto"/>
              </w:rPr>
              <w:t>36,943</w:t>
            </w:r>
          </w:p>
        </w:tc>
        <w:tc>
          <w:tcPr>
            <w:tcW w:w="1540" w:type="dxa"/>
            <w:vAlign w:val="bottom"/>
            <w:vMerge w:val="restart"/>
            <w:shd w:val="clear" w:color="auto" w:fill="EDEDEE"/>
          </w:tcPr>
          <w:p>
            <w:pPr>
              <w:jc w:val="right"/>
              <w:ind w:right="339"/>
              <w:spacing w:after="0"/>
              <w:rPr>
                <w:sz w:val="20"/>
                <w:szCs w:val="20"/>
                <w:color w:val="auto"/>
              </w:rPr>
            </w:pPr>
            <w:r>
              <w:rPr>
                <w:rFonts w:ascii="Arial" w:cs="Arial" w:eastAsia="Arial" w:hAnsi="Arial"/>
                <w:sz w:val="16"/>
                <w:szCs w:val="16"/>
                <w:color w:val="auto"/>
              </w:rPr>
              <w:t>63,593</w:t>
            </w:r>
          </w:p>
        </w:tc>
        <w:tc>
          <w:tcPr>
            <w:tcW w:w="1760" w:type="dxa"/>
            <w:vAlign w:val="bottom"/>
            <w:vMerge w:val="restart"/>
            <w:shd w:val="clear" w:color="auto" w:fill="EDEDEE"/>
          </w:tcPr>
          <w:p>
            <w:pPr>
              <w:jc w:val="right"/>
              <w:ind w:right="279"/>
              <w:spacing w:after="0"/>
              <w:rPr>
                <w:sz w:val="20"/>
                <w:szCs w:val="20"/>
                <w:color w:val="auto"/>
              </w:rPr>
            </w:pPr>
            <w:r>
              <w:rPr>
                <w:rFonts w:ascii="Arial" w:cs="Arial" w:eastAsia="Arial" w:hAnsi="Arial"/>
                <w:sz w:val="16"/>
                <w:szCs w:val="16"/>
                <w:color w:val="auto"/>
              </w:rPr>
              <w:t>—</w:t>
            </w:r>
          </w:p>
        </w:tc>
        <w:tc>
          <w:tcPr>
            <w:tcW w:w="1280" w:type="dxa"/>
            <w:vAlign w:val="bottom"/>
            <w:vMerge w:val="restart"/>
            <w:shd w:val="clear" w:color="auto" w:fill="EDEDEE"/>
          </w:tcPr>
          <w:p>
            <w:pPr>
              <w:jc w:val="right"/>
              <w:ind w:right="19"/>
              <w:spacing w:after="0"/>
              <w:rPr>
                <w:sz w:val="20"/>
                <w:szCs w:val="20"/>
                <w:color w:val="auto"/>
              </w:rPr>
            </w:pPr>
            <w:r>
              <w:rPr>
                <w:rFonts w:ascii="Arial" w:cs="Arial" w:eastAsia="Arial" w:hAnsi="Arial"/>
                <w:sz w:val="16"/>
                <w:szCs w:val="16"/>
                <w:color w:val="auto"/>
              </w:rPr>
              <w:t>482,006</w:t>
            </w:r>
          </w:p>
        </w:tc>
        <w:tc>
          <w:tcPr>
            <w:tcW w:w="0" w:type="dxa"/>
            <w:vAlign w:val="bottom"/>
          </w:tcPr>
          <w:p>
            <w:pPr>
              <w:spacing w:after="0"/>
              <w:rPr>
                <w:sz w:val="1"/>
                <w:szCs w:val="1"/>
                <w:color w:val="auto"/>
              </w:rPr>
            </w:pPr>
          </w:p>
        </w:tc>
      </w:tr>
      <w:tr>
        <w:trPr>
          <w:trHeight w:val="61"/>
        </w:trPr>
        <w:tc>
          <w:tcPr>
            <w:tcW w:w="2360" w:type="dxa"/>
            <w:vAlign w:val="bottom"/>
            <w:tcBorders>
              <w:bottom w:val="single" w:sz="8" w:color="EDEDEE"/>
            </w:tcBorders>
            <w:shd w:val="clear" w:color="auto" w:fill="EDEDEE"/>
          </w:tcPr>
          <w:p>
            <w:pPr>
              <w:spacing w:after="0"/>
              <w:rPr>
                <w:sz w:val="5"/>
                <w:szCs w:val="5"/>
                <w:color w:val="auto"/>
              </w:rPr>
            </w:pPr>
          </w:p>
        </w:tc>
        <w:tc>
          <w:tcPr>
            <w:tcW w:w="2260" w:type="dxa"/>
            <w:vAlign w:val="bottom"/>
            <w:tcBorders>
              <w:bottom w:val="single" w:sz="8" w:color="EDEDEE"/>
            </w:tcBorders>
            <w:vMerge w:val="continue"/>
            <w:shd w:val="clear" w:color="auto" w:fill="EDEDEE"/>
          </w:tcPr>
          <w:p>
            <w:pPr>
              <w:spacing w:after="0"/>
              <w:rPr>
                <w:sz w:val="5"/>
                <w:szCs w:val="5"/>
                <w:color w:val="auto"/>
              </w:rPr>
            </w:pPr>
          </w:p>
        </w:tc>
        <w:tc>
          <w:tcPr>
            <w:tcW w:w="1820" w:type="dxa"/>
            <w:vAlign w:val="bottom"/>
            <w:tcBorders>
              <w:bottom w:val="single" w:sz="8" w:color="EDEDEE"/>
            </w:tcBorders>
            <w:vMerge w:val="continue"/>
            <w:shd w:val="clear" w:color="auto" w:fill="EDEDEE"/>
          </w:tcPr>
          <w:p>
            <w:pPr>
              <w:spacing w:after="0"/>
              <w:rPr>
                <w:sz w:val="5"/>
                <w:szCs w:val="5"/>
                <w:color w:val="auto"/>
              </w:rPr>
            </w:pPr>
          </w:p>
        </w:tc>
        <w:tc>
          <w:tcPr>
            <w:tcW w:w="1540" w:type="dxa"/>
            <w:vAlign w:val="bottom"/>
            <w:tcBorders>
              <w:bottom w:val="single" w:sz="8" w:color="EDEDEE"/>
            </w:tcBorders>
            <w:vMerge w:val="continue"/>
            <w:shd w:val="clear" w:color="auto" w:fill="EDEDEE"/>
          </w:tcPr>
          <w:p>
            <w:pPr>
              <w:spacing w:after="0"/>
              <w:rPr>
                <w:sz w:val="5"/>
                <w:szCs w:val="5"/>
                <w:color w:val="auto"/>
              </w:rPr>
            </w:pPr>
          </w:p>
        </w:tc>
        <w:tc>
          <w:tcPr>
            <w:tcW w:w="1760" w:type="dxa"/>
            <w:vAlign w:val="bottom"/>
            <w:tcBorders>
              <w:bottom w:val="single" w:sz="8" w:color="EDEDEE"/>
            </w:tcBorders>
            <w:vMerge w:val="continue"/>
            <w:shd w:val="clear" w:color="auto" w:fill="EDEDEE"/>
          </w:tcPr>
          <w:p>
            <w:pPr>
              <w:spacing w:after="0"/>
              <w:rPr>
                <w:sz w:val="5"/>
                <w:szCs w:val="5"/>
                <w:color w:val="auto"/>
              </w:rPr>
            </w:pPr>
          </w:p>
        </w:tc>
        <w:tc>
          <w:tcPr>
            <w:tcW w:w="1280" w:type="dxa"/>
            <w:vAlign w:val="bottom"/>
            <w:tcBorders>
              <w:bottom w:val="single" w:sz="8" w:color="EDEDEE"/>
            </w:tcBorders>
            <w:vMerge w:val="continue"/>
            <w:shd w:val="clear" w:color="auto" w:fill="EDEDEE"/>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2360" w:type="dxa"/>
            <w:vAlign w:val="bottom"/>
          </w:tcPr>
          <w:p>
            <w:pPr>
              <w:spacing w:after="0"/>
              <w:rPr>
                <w:sz w:val="20"/>
                <w:szCs w:val="20"/>
                <w:color w:val="auto"/>
              </w:rPr>
            </w:pPr>
            <w:r>
              <w:rPr>
                <w:rFonts w:ascii="Arial" w:cs="Arial" w:eastAsia="Arial" w:hAnsi="Arial"/>
                <w:sz w:val="16"/>
                <w:szCs w:val="16"/>
                <w:color w:val="auto"/>
              </w:rPr>
              <w:t>  Patricia Lang</w:t>
            </w:r>
          </w:p>
        </w:tc>
        <w:tc>
          <w:tcPr>
            <w:tcW w:w="2260" w:type="dxa"/>
            <w:vAlign w:val="bottom"/>
          </w:tcPr>
          <w:p>
            <w:pPr>
              <w:jc w:val="right"/>
              <w:ind w:right="319"/>
              <w:spacing w:after="0"/>
              <w:rPr>
                <w:sz w:val="20"/>
                <w:szCs w:val="20"/>
                <w:color w:val="auto"/>
              </w:rPr>
            </w:pPr>
            <w:r>
              <w:rPr>
                <w:rFonts w:ascii="Arial" w:cs="Arial" w:eastAsia="Arial" w:hAnsi="Arial"/>
                <w:sz w:val="16"/>
                <w:szCs w:val="16"/>
                <w:color w:val="auto"/>
              </w:rPr>
              <w:t>29,555</w:t>
            </w:r>
          </w:p>
        </w:tc>
        <w:tc>
          <w:tcPr>
            <w:tcW w:w="1820" w:type="dxa"/>
            <w:vAlign w:val="bottom"/>
          </w:tcPr>
          <w:p>
            <w:pPr>
              <w:jc w:val="right"/>
              <w:ind w:right="259"/>
              <w:spacing w:after="0"/>
              <w:rPr>
                <w:sz w:val="20"/>
                <w:szCs w:val="20"/>
                <w:color w:val="auto"/>
              </w:rPr>
            </w:pPr>
            <w:r>
              <w:rPr>
                <w:rFonts w:ascii="Arial" w:cs="Arial" w:eastAsia="Arial" w:hAnsi="Arial"/>
                <w:sz w:val="16"/>
                <w:szCs w:val="16"/>
                <w:color w:val="auto"/>
              </w:rPr>
              <w:t>36,044</w:t>
            </w:r>
          </w:p>
        </w:tc>
        <w:tc>
          <w:tcPr>
            <w:tcW w:w="1540" w:type="dxa"/>
            <w:vAlign w:val="bottom"/>
          </w:tcPr>
          <w:p>
            <w:pPr>
              <w:jc w:val="right"/>
              <w:ind w:right="339"/>
              <w:spacing w:after="0"/>
              <w:rPr>
                <w:sz w:val="20"/>
                <w:szCs w:val="20"/>
                <w:color w:val="auto"/>
              </w:rPr>
            </w:pPr>
            <w:r>
              <w:rPr>
                <w:rFonts w:ascii="Arial" w:cs="Arial" w:eastAsia="Arial" w:hAnsi="Arial"/>
                <w:sz w:val="16"/>
                <w:szCs w:val="16"/>
                <w:color w:val="auto"/>
              </w:rPr>
              <w:t>75,389</w:t>
            </w:r>
          </w:p>
        </w:tc>
        <w:tc>
          <w:tcPr>
            <w:tcW w:w="17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556,650</w:t>
            </w:r>
          </w:p>
        </w:tc>
        <w:tc>
          <w:tcPr>
            <w:tcW w:w="0" w:type="dxa"/>
            <w:vAlign w:val="bottom"/>
          </w:tcPr>
          <w:p>
            <w:pPr>
              <w:spacing w:after="0"/>
              <w:rPr>
                <w:sz w:val="1"/>
                <w:szCs w:val="1"/>
                <w:color w:val="auto"/>
              </w:rPr>
            </w:pPr>
          </w:p>
        </w:tc>
      </w:tr>
      <w:tr>
        <w:trPr>
          <w:trHeight w:val="190"/>
        </w:trPr>
        <w:tc>
          <w:tcPr>
            <w:tcW w:w="2360" w:type="dxa"/>
            <w:vAlign w:val="bottom"/>
            <w:shd w:val="clear" w:color="auto" w:fill="EDEDEE"/>
          </w:tcPr>
          <w:p>
            <w:pPr>
              <w:ind w:left="80"/>
              <w:spacing w:after="0"/>
              <w:rPr>
                <w:sz w:val="20"/>
                <w:szCs w:val="20"/>
                <w:color w:val="auto"/>
              </w:rPr>
            </w:pPr>
            <w:r>
              <w:rPr>
                <w:rFonts w:ascii="Arial" w:cs="Arial" w:eastAsia="Arial" w:hAnsi="Arial"/>
                <w:sz w:val="16"/>
                <w:szCs w:val="16"/>
                <w:color w:val="auto"/>
              </w:rPr>
              <w:t>Louis Vogt</w:t>
            </w:r>
          </w:p>
        </w:tc>
        <w:tc>
          <w:tcPr>
            <w:tcW w:w="2260" w:type="dxa"/>
            <w:vAlign w:val="bottom"/>
            <w:vMerge w:val="restart"/>
            <w:shd w:val="clear" w:color="auto" w:fill="EDEDEE"/>
          </w:tcPr>
          <w:p>
            <w:pPr>
              <w:jc w:val="right"/>
              <w:ind w:right="319"/>
              <w:spacing w:after="0"/>
              <w:rPr>
                <w:sz w:val="20"/>
                <w:szCs w:val="20"/>
                <w:color w:val="auto"/>
              </w:rPr>
            </w:pPr>
            <w:r>
              <w:rPr>
                <w:rFonts w:ascii="Arial" w:cs="Arial" w:eastAsia="Arial" w:hAnsi="Arial"/>
                <w:sz w:val="16"/>
                <w:szCs w:val="16"/>
                <w:color w:val="auto"/>
              </w:rPr>
              <w:t>—</w:t>
            </w:r>
          </w:p>
        </w:tc>
        <w:tc>
          <w:tcPr>
            <w:tcW w:w="1820" w:type="dxa"/>
            <w:vAlign w:val="bottom"/>
            <w:vMerge w:val="restart"/>
            <w:shd w:val="clear" w:color="auto" w:fill="EDEDEE"/>
          </w:tcPr>
          <w:p>
            <w:pPr>
              <w:jc w:val="right"/>
              <w:ind w:right="259"/>
              <w:spacing w:after="0"/>
              <w:rPr>
                <w:sz w:val="20"/>
                <w:szCs w:val="20"/>
                <w:color w:val="auto"/>
              </w:rPr>
            </w:pPr>
            <w:r>
              <w:rPr>
                <w:rFonts w:ascii="Arial" w:cs="Arial" w:eastAsia="Arial" w:hAnsi="Arial"/>
                <w:sz w:val="16"/>
                <w:szCs w:val="16"/>
                <w:color w:val="auto"/>
              </w:rPr>
              <w:t>—</w:t>
            </w:r>
          </w:p>
        </w:tc>
        <w:tc>
          <w:tcPr>
            <w:tcW w:w="1540" w:type="dxa"/>
            <w:vAlign w:val="bottom"/>
            <w:vMerge w:val="restart"/>
            <w:shd w:val="clear" w:color="auto" w:fill="EDEDEE"/>
          </w:tcPr>
          <w:p>
            <w:pPr>
              <w:jc w:val="right"/>
              <w:ind w:right="339"/>
              <w:spacing w:after="0"/>
              <w:rPr>
                <w:sz w:val="20"/>
                <w:szCs w:val="20"/>
                <w:color w:val="auto"/>
              </w:rPr>
            </w:pPr>
            <w:r>
              <w:rPr>
                <w:rFonts w:ascii="Arial" w:cs="Arial" w:eastAsia="Arial" w:hAnsi="Arial"/>
                <w:sz w:val="16"/>
                <w:szCs w:val="16"/>
                <w:color w:val="auto"/>
              </w:rPr>
              <w:t>—</w:t>
            </w:r>
          </w:p>
        </w:tc>
        <w:tc>
          <w:tcPr>
            <w:tcW w:w="1760" w:type="dxa"/>
            <w:vAlign w:val="bottom"/>
            <w:vMerge w:val="restart"/>
            <w:shd w:val="clear" w:color="auto" w:fill="EDEDEE"/>
          </w:tcPr>
          <w:p>
            <w:pPr>
              <w:jc w:val="right"/>
              <w:ind w:right="279"/>
              <w:spacing w:after="0"/>
              <w:rPr>
                <w:sz w:val="20"/>
                <w:szCs w:val="20"/>
                <w:color w:val="auto"/>
              </w:rPr>
            </w:pPr>
            <w:r>
              <w:rPr>
                <w:rFonts w:ascii="Arial" w:cs="Arial" w:eastAsia="Arial" w:hAnsi="Arial"/>
                <w:sz w:val="16"/>
                <w:szCs w:val="16"/>
                <w:color w:val="auto"/>
              </w:rPr>
              <w:t>—</w:t>
            </w:r>
          </w:p>
        </w:tc>
        <w:tc>
          <w:tcPr>
            <w:tcW w:w="1280" w:type="dxa"/>
            <w:vAlign w:val="bottom"/>
            <w:vMerge w:val="restart"/>
            <w:shd w:val="clear" w:color="auto" w:fill="EDEDEE"/>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2"/>
        </w:trPr>
        <w:tc>
          <w:tcPr>
            <w:tcW w:w="2360" w:type="dxa"/>
            <w:vAlign w:val="bottom"/>
            <w:shd w:val="clear" w:color="auto" w:fill="EDEDEE"/>
          </w:tcPr>
          <w:p>
            <w:pPr>
              <w:spacing w:after="0"/>
              <w:rPr>
                <w:sz w:val="4"/>
                <w:szCs w:val="4"/>
                <w:color w:val="auto"/>
              </w:rPr>
            </w:pPr>
          </w:p>
        </w:tc>
        <w:tc>
          <w:tcPr>
            <w:tcW w:w="2260" w:type="dxa"/>
            <w:vAlign w:val="bottom"/>
            <w:vMerge w:val="continue"/>
            <w:shd w:val="clear" w:color="auto" w:fill="EDEDEE"/>
          </w:tcPr>
          <w:p>
            <w:pPr>
              <w:spacing w:after="0"/>
              <w:rPr>
                <w:sz w:val="4"/>
                <w:szCs w:val="4"/>
                <w:color w:val="auto"/>
              </w:rPr>
            </w:pPr>
          </w:p>
        </w:tc>
        <w:tc>
          <w:tcPr>
            <w:tcW w:w="1820" w:type="dxa"/>
            <w:vAlign w:val="bottom"/>
            <w:vMerge w:val="continue"/>
            <w:shd w:val="clear" w:color="auto" w:fill="EDEDEE"/>
          </w:tcPr>
          <w:p>
            <w:pPr>
              <w:spacing w:after="0"/>
              <w:rPr>
                <w:sz w:val="4"/>
                <w:szCs w:val="4"/>
                <w:color w:val="auto"/>
              </w:rPr>
            </w:pPr>
          </w:p>
        </w:tc>
        <w:tc>
          <w:tcPr>
            <w:tcW w:w="1540" w:type="dxa"/>
            <w:vAlign w:val="bottom"/>
            <w:vMerge w:val="continue"/>
            <w:shd w:val="clear" w:color="auto" w:fill="EDEDEE"/>
          </w:tcPr>
          <w:p>
            <w:pPr>
              <w:spacing w:after="0"/>
              <w:rPr>
                <w:sz w:val="4"/>
                <w:szCs w:val="4"/>
                <w:color w:val="auto"/>
              </w:rPr>
            </w:pPr>
          </w:p>
        </w:tc>
        <w:tc>
          <w:tcPr>
            <w:tcW w:w="1760" w:type="dxa"/>
            <w:vAlign w:val="bottom"/>
            <w:vMerge w:val="continue"/>
            <w:shd w:val="clear" w:color="auto" w:fill="EDEDEE"/>
          </w:tcPr>
          <w:p>
            <w:pPr>
              <w:spacing w:after="0"/>
              <w:rPr>
                <w:sz w:val="4"/>
                <w:szCs w:val="4"/>
                <w:color w:val="auto"/>
              </w:rPr>
            </w:pPr>
          </w:p>
        </w:tc>
        <w:tc>
          <w:tcPr>
            <w:tcW w:w="1280" w:type="dxa"/>
            <w:vAlign w:val="bottom"/>
            <w:vMerge w:val="continue"/>
            <w:shd w:val="clear" w:color="auto" w:fill="EDEDEE"/>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360" w:type="dxa"/>
            <w:vAlign w:val="bottom"/>
            <w:shd w:val="clear" w:color="auto" w:fill="EDEDEE"/>
          </w:tcPr>
          <w:p>
            <w:pPr>
              <w:spacing w:after="0"/>
              <w:rPr>
                <w:sz w:val="2"/>
                <w:szCs w:val="2"/>
                <w:color w:val="auto"/>
              </w:rPr>
            </w:pPr>
          </w:p>
        </w:tc>
        <w:tc>
          <w:tcPr>
            <w:tcW w:w="2260" w:type="dxa"/>
            <w:vAlign w:val="bottom"/>
            <w:shd w:val="clear" w:color="auto" w:fill="EDEDEE"/>
          </w:tcPr>
          <w:p>
            <w:pPr>
              <w:spacing w:after="0"/>
              <w:rPr>
                <w:sz w:val="2"/>
                <w:szCs w:val="2"/>
                <w:color w:val="auto"/>
              </w:rPr>
            </w:pPr>
          </w:p>
        </w:tc>
        <w:tc>
          <w:tcPr>
            <w:tcW w:w="1820" w:type="dxa"/>
            <w:vAlign w:val="bottom"/>
            <w:shd w:val="clear" w:color="auto" w:fill="EDEDEE"/>
          </w:tcPr>
          <w:p>
            <w:pPr>
              <w:spacing w:after="0"/>
              <w:rPr>
                <w:sz w:val="2"/>
                <w:szCs w:val="2"/>
                <w:color w:val="auto"/>
              </w:rPr>
            </w:pPr>
          </w:p>
        </w:tc>
        <w:tc>
          <w:tcPr>
            <w:tcW w:w="1540" w:type="dxa"/>
            <w:vAlign w:val="bottom"/>
            <w:shd w:val="clear" w:color="auto" w:fill="EDEDEE"/>
          </w:tcPr>
          <w:p>
            <w:pPr>
              <w:spacing w:after="0"/>
              <w:rPr>
                <w:sz w:val="2"/>
                <w:szCs w:val="2"/>
                <w:color w:val="auto"/>
              </w:rPr>
            </w:pPr>
          </w:p>
        </w:tc>
        <w:tc>
          <w:tcPr>
            <w:tcW w:w="1760" w:type="dxa"/>
            <w:vAlign w:val="bottom"/>
            <w:shd w:val="clear" w:color="auto" w:fill="EDEDEE"/>
          </w:tcPr>
          <w:p>
            <w:pPr>
              <w:spacing w:after="0"/>
              <w:rPr>
                <w:sz w:val="2"/>
                <w:szCs w:val="2"/>
                <w:color w:val="auto"/>
              </w:rPr>
            </w:pPr>
          </w:p>
        </w:tc>
        <w:tc>
          <w:tcPr>
            <w:tcW w:w="1280" w:type="dxa"/>
            <w:vAlign w:val="bottom"/>
            <w:shd w:val="clear" w:color="auto" w:fill="EDEDE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424" w:right="20" w:hanging="424"/>
        <w:spacing w:after="0" w:line="241" w:lineRule="auto"/>
        <w:tabs>
          <w:tab w:leader="none" w:pos="424" w:val="left"/>
        </w:tabs>
        <w:numPr>
          <w:ilvl w:val="0"/>
          <w:numId w:val="91"/>
        </w:numPr>
        <w:rPr>
          <w:rFonts w:ascii="Arial" w:cs="Arial" w:eastAsia="Arial" w:hAnsi="Arial"/>
          <w:sz w:val="14"/>
          <w:szCs w:val="14"/>
          <w:i w:val="1"/>
          <w:iCs w:val="1"/>
          <w:color w:val="auto"/>
        </w:rPr>
      </w:pPr>
      <w:r>
        <w:rPr>
          <w:rFonts w:ascii="Arial" w:cs="Arial" w:eastAsia="Arial" w:hAnsi="Arial"/>
          <w:sz w:val="14"/>
          <w:szCs w:val="14"/>
          <w:i w:val="1"/>
          <w:iCs w:val="1"/>
          <w:color w:val="auto"/>
        </w:rPr>
        <w:t>With respect to each applicable NEO, amounts represent deferred salary and deferred bonus amounts that are reported in the Summary Compensation Table above under the applicable column.</w:t>
      </w:r>
    </w:p>
    <w:p>
      <w:pPr>
        <w:spacing w:after="0" w:line="135" w:lineRule="exact"/>
        <w:rPr>
          <w:rFonts w:ascii="Arial" w:cs="Arial" w:eastAsia="Arial" w:hAnsi="Arial"/>
          <w:sz w:val="14"/>
          <w:szCs w:val="14"/>
          <w:i w:val="1"/>
          <w:iCs w:val="1"/>
          <w:color w:val="auto"/>
        </w:rPr>
      </w:pPr>
    </w:p>
    <w:p>
      <w:pPr>
        <w:ind w:left="424" w:hanging="424"/>
        <w:spacing w:after="0"/>
        <w:tabs>
          <w:tab w:leader="none" w:pos="424" w:val="left"/>
        </w:tabs>
        <w:numPr>
          <w:ilvl w:val="0"/>
          <w:numId w:val="91"/>
        </w:numPr>
        <w:rPr>
          <w:rFonts w:ascii="Arial" w:cs="Arial" w:eastAsia="Arial" w:hAnsi="Arial"/>
          <w:sz w:val="14"/>
          <w:szCs w:val="14"/>
          <w:i w:val="1"/>
          <w:iCs w:val="1"/>
          <w:color w:val="auto"/>
        </w:rPr>
      </w:pPr>
      <w:r>
        <w:rPr>
          <w:rFonts w:ascii="Arial" w:cs="Arial" w:eastAsia="Arial" w:hAnsi="Arial"/>
          <w:sz w:val="14"/>
          <w:szCs w:val="14"/>
          <w:i w:val="1"/>
          <w:iCs w:val="1"/>
          <w:color w:val="auto"/>
        </w:rPr>
        <w:t>All amounts reported in this column for each applicable NEO are reported in the “All Other Compensation” column of the Summary Compensation Table above.</w:t>
      </w:r>
    </w:p>
    <w:p>
      <w:pPr>
        <w:spacing w:after="0" w:line="163" w:lineRule="exact"/>
        <w:rPr>
          <w:rFonts w:ascii="Arial" w:cs="Arial" w:eastAsia="Arial" w:hAnsi="Arial"/>
          <w:sz w:val="14"/>
          <w:szCs w:val="14"/>
          <w:i w:val="1"/>
          <w:iCs w:val="1"/>
          <w:color w:val="auto"/>
        </w:rPr>
      </w:pPr>
    </w:p>
    <w:p>
      <w:pPr>
        <w:ind w:left="424" w:hanging="424"/>
        <w:spacing w:after="0"/>
        <w:tabs>
          <w:tab w:leader="none" w:pos="424" w:val="left"/>
        </w:tabs>
        <w:numPr>
          <w:ilvl w:val="0"/>
          <w:numId w:val="91"/>
        </w:numPr>
        <w:rPr>
          <w:rFonts w:ascii="Arial" w:cs="Arial" w:eastAsia="Arial" w:hAnsi="Arial"/>
          <w:sz w:val="14"/>
          <w:szCs w:val="14"/>
          <w:i w:val="1"/>
          <w:iCs w:val="1"/>
          <w:color w:val="auto"/>
        </w:rPr>
      </w:pPr>
      <w:r>
        <w:rPr>
          <w:rFonts w:ascii="Arial" w:cs="Arial" w:eastAsia="Arial" w:hAnsi="Arial"/>
          <w:sz w:val="14"/>
          <w:szCs w:val="14"/>
          <w:i w:val="1"/>
          <w:iCs w:val="1"/>
          <w:color w:val="auto"/>
        </w:rPr>
        <w:t>No amounts reported in this column for each applicable NEO are reported in the Summary Compensation Table above.</w:t>
      </w:r>
    </w:p>
    <w:p>
      <w:pPr>
        <w:spacing w:after="0" w:line="247" w:lineRule="exact"/>
        <w:rPr>
          <w:sz w:val="20"/>
          <w:szCs w:val="20"/>
          <w:color w:val="auto"/>
        </w:rPr>
      </w:pPr>
    </w:p>
    <w:p>
      <w:pPr>
        <w:ind w:left="4"/>
        <w:spacing w:after="0"/>
        <w:rPr>
          <w:sz w:val="20"/>
          <w:szCs w:val="20"/>
          <w:color w:val="auto"/>
        </w:rPr>
      </w:pPr>
      <w:r>
        <w:rPr>
          <w:rFonts w:ascii="Arial" w:cs="Arial" w:eastAsia="Arial" w:hAnsi="Arial"/>
          <w:sz w:val="23"/>
          <w:szCs w:val="23"/>
          <w:color w:val="auto"/>
        </w:rPr>
        <w:t>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-164465</wp:posOffset>
            </wp:positionV>
            <wp:extent cx="699516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23495</wp:posOffset>
            </wp:positionV>
            <wp:extent cx="699516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2" w:lineRule="exact"/>
        <w:rPr>
          <w:sz w:val="20"/>
          <w:szCs w:val="20"/>
          <w:color w:val="auto"/>
        </w:rPr>
      </w:pPr>
    </w:p>
    <w:p>
      <w:pPr>
        <w:jc w:val="both"/>
        <w:ind w:left="4" w:right="20"/>
        <w:spacing w:after="0" w:line="217" w:lineRule="auto"/>
        <w:rPr>
          <w:sz w:val="20"/>
          <w:szCs w:val="20"/>
          <w:color w:val="auto"/>
        </w:rPr>
      </w:pPr>
      <w:r>
        <w:rPr>
          <w:rFonts w:ascii="Arial" w:cs="Arial" w:eastAsia="Arial" w:hAnsi="Arial"/>
          <w:sz w:val="16"/>
          <w:szCs w:val="16"/>
          <w:color w:val="auto"/>
        </w:rPr>
        <w:t>The information below describes relevant employment agreement, change in control agreement, severance plan and equity plan provisions for payments upon termination or a change in control and sets forth the amount of compensation that could have been received by each of the NEOs in the event such executive’s employment had terminated under the various applicable triggering events described below as of December 31, 2025. The benefits discussed below are in addition to those generally available to all salaried employees, such as distributions under the 401(k) plan, health care benefits and disability benefits. In addition, these benefits do not take into account any arrangements that we may provide in connection with an actual separation from service or a change in control. Due to the number of different factors that affect the nature and amount of any benefits provided in connection with these events, actual amounts payable to any of the NEOs should a separation from service or change-in-control occur during the year will likely differ, perhaps significantly, from the amounts reported below. Factors that could affect such amounts include the timing during the year of the event, the Company’s stock price, and the target amounts payable under annual and long-term incentive arrangements that are in place at the time of the event. Payments and benefits in connection with Mr. Trerotola’s retirement under his transition agreement are discussed and quantified separately under the subheading “Mr. Trerotola’s Transition Arrangement.”</w:t>
      </w:r>
    </w:p>
    <w:p>
      <w:pPr>
        <w:spacing w:after="0" w:line="12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Employment Agreements</w:t>
      </w:r>
    </w:p>
    <w:p>
      <w:pPr>
        <w:spacing w:after="0" w:line="149" w:lineRule="exact"/>
        <w:rPr>
          <w:sz w:val="20"/>
          <w:szCs w:val="20"/>
          <w:color w:val="auto"/>
        </w:rPr>
      </w:pPr>
    </w:p>
    <w:p>
      <w:pPr>
        <w:jc w:val="both"/>
        <w:ind w:left="4" w:right="20"/>
        <w:spacing w:after="0" w:line="234" w:lineRule="auto"/>
        <w:rPr>
          <w:sz w:val="20"/>
          <w:szCs w:val="20"/>
          <w:color w:val="auto"/>
        </w:rPr>
      </w:pPr>
      <w:r>
        <w:rPr>
          <w:rFonts w:ascii="Arial" w:cs="Arial" w:eastAsia="Arial" w:hAnsi="Arial"/>
          <w:sz w:val="16"/>
          <w:szCs w:val="16"/>
          <w:color w:val="auto"/>
        </w:rPr>
        <w:t>Pursuant to the terms of the letter agreements with Messrs. McDonald, Berry, Ross, Vogt Pryor and Ms. Lang, each executive is entitled to the following severance payments or benefits in the event the executive’s employment is terminated by us without “cause” or the executive resigns for “good reason,” (each as described below):</w:t>
      </w:r>
    </w:p>
    <w:p>
      <w:pPr>
        <w:spacing w:after="0" w:line="123" w:lineRule="exact"/>
        <w:rPr>
          <w:sz w:val="20"/>
          <w:szCs w:val="20"/>
          <w:color w:val="auto"/>
        </w:rPr>
      </w:pPr>
    </w:p>
    <w:p>
      <w:pPr>
        <w:ind w:left="224" w:right="20" w:hanging="224"/>
        <w:spacing w:after="0" w:line="190" w:lineRule="auto"/>
        <w:tabs>
          <w:tab w:leader="none" w:pos="224" w:val="left"/>
        </w:tabs>
        <w:numPr>
          <w:ilvl w:val="0"/>
          <w:numId w:val="92"/>
        </w:numPr>
        <w:rPr>
          <w:rFonts w:ascii="MS PGothic" w:cs="MS PGothic" w:eastAsia="MS PGothic" w:hAnsi="MS PGothic"/>
          <w:sz w:val="29"/>
          <w:szCs w:val="29"/>
          <w:color w:val="C8102E"/>
          <w:vertAlign w:val="superscript"/>
        </w:rPr>
      </w:pPr>
      <w:r>
        <w:rPr>
          <w:rFonts w:ascii="Arial" w:cs="Arial" w:eastAsia="Arial" w:hAnsi="Arial"/>
          <w:sz w:val="16"/>
          <w:szCs w:val="16"/>
          <w:color w:val="auto"/>
        </w:rPr>
        <w:t>For Mr. McDonald, a lump sum payment equal to one times his base salary in effect and his target annual incentive compensation if the termination occurs within one year of start date or 2x base salary plus 2x target annual incentive if termination occurs after one year of start date;</w:t>
      </w:r>
    </w:p>
    <w:p>
      <w:pPr>
        <w:spacing w:after="0" w:line="174" w:lineRule="exact"/>
        <w:rPr>
          <w:sz w:val="20"/>
          <w:szCs w:val="20"/>
          <w:color w:val="auto"/>
        </w:rPr>
      </w:pPr>
    </w:p>
    <w:p>
      <w:pPr>
        <w:ind w:left="4"/>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-118745</wp:posOffset>
            </wp:positionV>
            <wp:extent cx="762635" cy="3860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62635" cy="386080"/>
                    </a:xfrm>
                    <a:prstGeom prst="rect">
                      <a:avLst/>
                    </a:prstGeom>
                    <a:noFill/>
                  </pic:spPr>
                </pic:pic>
              </a:graphicData>
            </a:graphic>
          </wp:anchor>
        </w:drawing>
      </w:r>
    </w:p>
    <w:p>
      <w:pPr>
        <w:ind w:left="1584"/>
        <w:spacing w:after="0"/>
        <w:rPr>
          <w:sz w:val="20"/>
          <w:szCs w:val="20"/>
          <w:color w:val="auto"/>
        </w:rPr>
      </w:pPr>
      <w:r>
        <w:rPr>
          <w:rFonts w:ascii="Arial" w:cs="Arial" w:eastAsia="Arial" w:hAnsi="Arial"/>
          <w:sz w:val="18"/>
          <w:szCs w:val="18"/>
          <w:color w:val="auto"/>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699516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595" w:right="439" w:bottom="1440" w:gutter="0" w:footer="0" w:header="0"/>
        </w:sectPr>
      </w:pPr>
    </w:p>
    <w:bookmarkStart w:id="54" w:name="page55"/>
    <w:bookmarkEnd w:id="54"/>
    <w:p>
      <w:pPr>
        <w:jc w:val="both"/>
        <w:ind w:left="224" w:right="20" w:hanging="224"/>
        <w:spacing w:after="0" w:line="196" w:lineRule="auto"/>
        <w:tabs>
          <w:tab w:leader="none" w:pos="224" w:val="left"/>
        </w:tabs>
        <w:numPr>
          <w:ilvl w:val="0"/>
          <w:numId w:val="93"/>
        </w:numPr>
        <w:rPr>
          <w:rFonts w:ascii="MS PGothic" w:cs="MS PGothic" w:eastAsia="MS PGothic" w:hAnsi="MS PGothic"/>
          <w:sz w:val="29"/>
          <w:szCs w:val="29"/>
          <w:color w:val="C8102E"/>
          <w:vertAlign w:val="superscript"/>
        </w:rPr>
      </w:pPr>
      <w:r>
        <w:rPr>
          <w:rFonts w:ascii="Arial" w:cs="Arial" w:eastAsia="Arial" w:hAnsi="Arial"/>
          <w:sz w:val="16"/>
          <w:szCs w:val="16"/>
          <w:color w:val="auto"/>
        </w:rPr>
        <w:t>For Messrs. Berry, Ross, Vogt and Ms. Lang, a lump sum payment equal to one times the executive’s base salary in effect and the executive’s target annual incentive compensation for the year of termination, and COBRA coverage for 12 months or until the executive becomes eligible for coverage by another company or is no longer eligible for COBRA;</w:t>
      </w:r>
    </w:p>
    <w:p>
      <w:pPr>
        <w:spacing w:after="0" w:line="124" w:lineRule="exact"/>
        <w:rPr>
          <w:rFonts w:ascii="MS PGothic" w:cs="MS PGothic" w:eastAsia="MS PGothic" w:hAnsi="MS PGothic"/>
          <w:sz w:val="29"/>
          <w:szCs w:val="29"/>
          <w:color w:val="C8102E"/>
          <w:vertAlign w:val="superscript"/>
        </w:rPr>
      </w:pPr>
    </w:p>
    <w:p>
      <w:pPr>
        <w:ind w:left="224" w:right="20"/>
        <w:spacing w:after="0" w:line="229" w:lineRule="exact"/>
        <w:rPr>
          <w:rFonts w:ascii="MS PGothic" w:cs="MS PGothic" w:eastAsia="MS PGothic" w:hAnsi="MS PGothic"/>
          <w:sz w:val="29"/>
          <w:szCs w:val="29"/>
          <w:color w:val="C8102E"/>
          <w:vertAlign w:val="superscript"/>
        </w:rPr>
      </w:pPr>
      <w:r>
        <w:rPr>
          <w:rFonts w:ascii="MS PGothic" w:cs="MS PGothic" w:eastAsia="MS PGothic" w:hAnsi="MS PGothic"/>
          <w:sz w:val="14"/>
          <w:szCs w:val="14"/>
          <w:color w:val="C8102E"/>
        </w:rPr>
        <w:t>∎</w:t>
      </w:r>
      <w:r>
        <w:rPr>
          <w:rFonts w:ascii="Arial" w:cs="Arial" w:eastAsia="Arial" w:hAnsi="Arial"/>
          <w:sz w:val="16"/>
          <w:szCs w:val="16"/>
          <w:color w:val="auto"/>
        </w:rPr>
        <w:t xml:space="preserve"> For Messrs. McDonald, Berry, Ross, Vogt and Ms. Lang, COBRA coverage for 12 months or until the executive becomes eligible for coverage by another company or is no longer eligible for COBRA;</w:t>
      </w:r>
    </w:p>
    <w:p>
      <w:pPr>
        <w:spacing w:after="0" w:line="150" w:lineRule="exact"/>
        <w:rPr>
          <w:rFonts w:ascii="MS PGothic" w:cs="MS PGothic" w:eastAsia="MS PGothic" w:hAnsi="MS PGothic"/>
          <w:sz w:val="29"/>
          <w:szCs w:val="29"/>
          <w:color w:val="C8102E"/>
          <w:vertAlign w:val="superscript"/>
        </w:rPr>
      </w:pPr>
    </w:p>
    <w:p>
      <w:pPr>
        <w:ind w:left="224" w:hanging="224"/>
        <w:spacing w:after="0" w:line="190" w:lineRule="auto"/>
        <w:tabs>
          <w:tab w:leader="none" w:pos="224" w:val="left"/>
        </w:tabs>
        <w:numPr>
          <w:ilvl w:val="0"/>
          <w:numId w:val="93"/>
        </w:numPr>
        <w:rPr>
          <w:rFonts w:ascii="MS PGothic" w:cs="MS PGothic" w:eastAsia="MS PGothic" w:hAnsi="MS PGothic"/>
          <w:sz w:val="29"/>
          <w:szCs w:val="29"/>
          <w:color w:val="C8102E"/>
          <w:vertAlign w:val="superscript"/>
        </w:rPr>
      </w:pPr>
      <w:r>
        <w:rPr>
          <w:rFonts w:ascii="Arial" w:cs="Arial" w:eastAsia="Arial" w:hAnsi="Arial"/>
          <w:sz w:val="16"/>
          <w:szCs w:val="16"/>
          <w:color w:val="auto"/>
        </w:rPr>
        <w:t>For each of Messrs. McDonald, Berry, Ross, Vogt and Ms. Lang, a lump sum payment equal to the executive’s pro rata annual incentive compensation for the year of termination subject to the performance criteria having been met for that year under the Annual Incentive Plan.</w:t>
      </w:r>
    </w:p>
    <w:p>
      <w:pPr>
        <w:spacing w:after="0" w:line="111" w:lineRule="exact"/>
        <w:rPr>
          <w:sz w:val="20"/>
          <w:szCs w:val="20"/>
          <w:color w:val="auto"/>
        </w:rPr>
      </w:pPr>
    </w:p>
    <w:p>
      <w:pPr>
        <w:jc w:val="both"/>
        <w:ind w:left="4" w:right="20"/>
        <w:spacing w:after="0" w:line="234" w:lineRule="auto"/>
        <w:rPr>
          <w:sz w:val="20"/>
          <w:szCs w:val="20"/>
          <w:color w:val="auto"/>
        </w:rPr>
      </w:pPr>
      <w:r>
        <w:rPr>
          <w:rFonts w:ascii="Arial" w:cs="Arial" w:eastAsia="Arial" w:hAnsi="Arial"/>
          <w:sz w:val="16"/>
          <w:szCs w:val="16"/>
          <w:color w:val="auto"/>
        </w:rPr>
        <w:t>In each case described above, the executive’s right to the severance payments and benefits is conditioned on the executive’s execution of a waiver and release agreement in favor of the Company. In addition, each letter agreement contains standard confidentiality covenants, non-disparagement covenants, non-competition covenants and non-solicitation covenants.</w:t>
      </w:r>
    </w:p>
    <w:p>
      <w:pPr>
        <w:spacing w:after="0" w:line="10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Change in Control Agreements</w:t>
      </w:r>
    </w:p>
    <w:p>
      <w:pPr>
        <w:spacing w:after="0" w:line="149" w:lineRule="exact"/>
        <w:rPr>
          <w:sz w:val="20"/>
          <w:szCs w:val="20"/>
          <w:color w:val="auto"/>
        </w:rPr>
      </w:pPr>
    </w:p>
    <w:p>
      <w:pPr>
        <w:jc w:val="both"/>
        <w:ind w:left="4"/>
        <w:spacing w:after="0" w:line="221" w:lineRule="auto"/>
        <w:rPr>
          <w:sz w:val="20"/>
          <w:szCs w:val="20"/>
          <w:color w:val="auto"/>
        </w:rPr>
      </w:pPr>
      <w:r>
        <w:rPr>
          <w:rFonts w:ascii="Arial" w:cs="Arial" w:eastAsia="Arial" w:hAnsi="Arial"/>
          <w:sz w:val="16"/>
          <w:szCs w:val="16"/>
          <w:color w:val="auto"/>
        </w:rPr>
        <w:t>Pursuant to the terms of the change in control agreements with each of Messrs. McDonald, Berry, Pryor, Ross, Vogt and Ms. Lang, in the event of a change in control, the executive will continue to be paid an annual base salary at a rate not less than such executive’s current fixed or base compensation and will be given a bona fide opportunity to earn the executive’s annual cash bonus opportunity for the year. In the event the executive’s employment is terminated by us without “cause” or the executive resigns for “good reason” (each as described below) during the two year period following, or the three month period preceding, a change in control, such executive is entitled to a lump sum payment equal to (i) two times the executive’s base salary plus (ii) two times the executive’s target annual cash bonus opportunity for the year. Ms. Lang’s change in control agreement and the obligations of the Company thereunder remain in effect until her retirement on April 3, 2027.</w:t>
      </w:r>
    </w:p>
    <w:p>
      <w:pPr>
        <w:spacing w:after="0" w:line="110" w:lineRule="exact"/>
        <w:rPr>
          <w:sz w:val="20"/>
          <w:szCs w:val="20"/>
          <w:color w:val="auto"/>
        </w:rPr>
      </w:pPr>
    </w:p>
    <w:p>
      <w:pPr>
        <w:jc w:val="both"/>
        <w:ind w:left="4" w:right="20"/>
        <w:spacing w:after="0" w:line="234" w:lineRule="auto"/>
        <w:rPr>
          <w:sz w:val="20"/>
          <w:szCs w:val="20"/>
          <w:color w:val="auto"/>
        </w:rPr>
      </w:pPr>
      <w:r>
        <w:rPr>
          <w:rFonts w:ascii="Arial" w:cs="Arial" w:eastAsia="Arial" w:hAnsi="Arial"/>
          <w:sz w:val="16"/>
          <w:szCs w:val="16"/>
          <w:color w:val="auto"/>
        </w:rPr>
        <w:t>Each executive’s right to the severance payments is conditioned on the executive’s execution of a general release of claims in favor of Enovis. In addition, each change in control agreement contains standard confidentiality covenants, non-disparagement covenants, non-competition covenants and non-solicitation covenants.</w:t>
      </w:r>
    </w:p>
    <w:p>
      <w:pPr>
        <w:spacing w:after="0" w:line="110" w:lineRule="exact"/>
        <w:rPr>
          <w:sz w:val="20"/>
          <w:szCs w:val="20"/>
          <w:color w:val="auto"/>
        </w:rPr>
      </w:pPr>
    </w:p>
    <w:p>
      <w:pPr>
        <w:jc w:val="both"/>
        <w:ind w:left="4"/>
        <w:spacing w:after="0" w:line="234" w:lineRule="auto"/>
        <w:rPr>
          <w:sz w:val="20"/>
          <w:szCs w:val="20"/>
          <w:color w:val="auto"/>
        </w:rPr>
      </w:pPr>
      <w:r>
        <w:rPr>
          <w:rFonts w:ascii="Arial" w:cs="Arial" w:eastAsia="Arial" w:hAnsi="Arial"/>
          <w:sz w:val="16"/>
          <w:szCs w:val="16"/>
          <w:color w:val="auto"/>
        </w:rPr>
        <w:t>In the event that any payment or benefit under the change in control agreements would constitute a “parachute payment” within the meaning of Section 280G of the Internal Revenue Code and would have the effect of decreasing the after-tax amounts received by the executive, the executive has the right to reduce or eliminate any such payment or benefit to avoid having the payment or benefit being deemed a parachute payment.</w:t>
      </w:r>
    </w:p>
    <w:p>
      <w:pPr>
        <w:spacing w:after="0" w:line="110" w:lineRule="exact"/>
        <w:rPr>
          <w:sz w:val="20"/>
          <w:szCs w:val="20"/>
          <w:color w:val="auto"/>
        </w:rPr>
      </w:pPr>
    </w:p>
    <w:p>
      <w:pPr>
        <w:ind w:left="4"/>
        <w:spacing w:after="0"/>
        <w:rPr>
          <w:sz w:val="20"/>
          <w:szCs w:val="20"/>
          <w:color w:val="auto"/>
        </w:rPr>
      </w:pPr>
      <w:r>
        <w:rPr>
          <w:rFonts w:ascii="Arial" w:cs="Arial" w:eastAsia="Arial" w:hAnsi="Arial"/>
          <w:sz w:val="16"/>
          <w:szCs w:val="16"/>
          <w:color w:val="auto"/>
        </w:rPr>
        <w:t>For purposes of the change in control agreements, the following terms have the following meanings:</w:t>
      </w:r>
    </w:p>
    <w:p>
      <w:pPr>
        <w:spacing w:after="0" w:line="78" w:lineRule="exact"/>
        <w:rPr>
          <w:sz w:val="20"/>
          <w:szCs w:val="20"/>
          <w:color w:val="auto"/>
        </w:rPr>
      </w:pPr>
    </w:p>
    <w:p>
      <w:pPr>
        <w:ind w:left="224" w:hanging="224"/>
        <w:spacing w:after="0"/>
        <w:tabs>
          <w:tab w:leader="none" w:pos="224" w:val="left"/>
        </w:tabs>
        <w:numPr>
          <w:ilvl w:val="0"/>
          <w:numId w:val="94"/>
        </w:numPr>
        <w:rPr>
          <w:rFonts w:ascii="MS PGothic" w:cs="MS PGothic" w:eastAsia="MS PGothic" w:hAnsi="MS PGothic"/>
          <w:sz w:val="29"/>
          <w:szCs w:val="29"/>
          <w:color w:val="C8102E"/>
          <w:vertAlign w:val="superscript"/>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means that, prior to any termination, the executive committed:</w:t>
      </w:r>
    </w:p>
    <w:p>
      <w:pPr>
        <w:spacing w:after="0" w:line="138" w:lineRule="exact"/>
        <w:rPr>
          <w:rFonts w:ascii="MS PGothic" w:cs="MS PGothic" w:eastAsia="MS PGothic" w:hAnsi="MS PGothic"/>
          <w:sz w:val="29"/>
          <w:szCs w:val="29"/>
          <w:color w:val="C8102E"/>
          <w:vertAlign w:val="superscript"/>
        </w:rPr>
      </w:pPr>
    </w:p>
    <w:p>
      <w:pPr>
        <w:ind w:left="224"/>
        <w:spacing w:after="0"/>
        <w:rPr>
          <w:rFonts w:ascii="MS PGothic" w:cs="MS PGothic" w:eastAsia="MS PGothic" w:hAnsi="MS PGothic"/>
          <w:sz w:val="29"/>
          <w:szCs w:val="29"/>
          <w:color w:val="C8102E"/>
          <w:vertAlign w:val="superscript"/>
        </w:rPr>
      </w:pPr>
      <w:r>
        <w:rPr>
          <w:rFonts w:ascii="Arial" w:cs="Arial" w:eastAsia="Arial" w:hAnsi="Arial"/>
          <w:sz w:val="16"/>
          <w:szCs w:val="16"/>
          <w:color w:val="C8102E"/>
        </w:rPr>
        <w:t xml:space="preserve">–  </w:t>
      </w:r>
      <w:r>
        <w:rPr>
          <w:rFonts w:ascii="Arial" w:cs="Arial" w:eastAsia="Arial" w:hAnsi="Arial"/>
          <w:sz w:val="16"/>
          <w:szCs w:val="16"/>
          <w:color w:val="000000"/>
        </w:rPr>
        <w:t>an intentional act of fraud, embezzlement or theft in connection with his employment by the Company or any subsidiary;</w:t>
      </w:r>
    </w:p>
    <w:p>
      <w:pPr>
        <w:spacing w:after="0" w:line="179" w:lineRule="exact"/>
        <w:rPr>
          <w:sz w:val="20"/>
          <w:szCs w:val="20"/>
          <w:color w:val="auto"/>
        </w:rPr>
      </w:pPr>
    </w:p>
    <w:p>
      <w:pPr>
        <w:ind w:left="7524"/>
        <w:spacing w:after="0"/>
        <w:tabs>
          <w:tab w:leader="none" w:pos="10804" w:val="left"/>
        </w:tabs>
        <w:rPr>
          <w:sz w:val="20"/>
          <w:szCs w:val="20"/>
          <w:color w:val="auto"/>
        </w:rPr>
      </w:pPr>
      <w:r>
        <w:rPr>
          <w:sz w:val="1"/>
          <w:szCs w:val="1"/>
          <w:color w:val="auto"/>
        </w:rPr>
        <w:drawing>
          <wp:inline distT="0" distB="0" distL="0" distR="0">
            <wp:extent cx="685800" cy="163195"/>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0" cy="163195"/>
                    </a:xfrm>
                    <a:prstGeom prst="rect">
                      <a:avLst/>
                    </a:prstGeom>
                    <a:noFill/>
                    <a:ln>
                      <a:noFill/>
                    </a:ln>
                  </pic:spPr>
                </pic:pic>
              </a:graphicData>
            </a:graphic>
          </wp:inline>
        </w:drawing>
      </w:r>
      <w:r>
        <w:rPr>
          <w:rFonts w:ascii="Arial" w:cs="Arial" w:eastAsia="Arial" w:hAnsi="Arial"/>
          <w:sz w:val="18"/>
          <w:szCs w:val="18"/>
          <w:color w:val="auto"/>
        </w:rPr>
        <w:t xml:space="preserve"> - 2026 Proxy Statement</w:t>
      </w:r>
      <w:r>
        <w:rPr>
          <w:sz w:val="20"/>
          <w:szCs w:val="20"/>
          <w:color w:val="auto"/>
        </w:rPr>
        <w:tab/>
      </w: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-186690</wp:posOffset>
            </wp:positionV>
            <wp:extent cx="6995160" cy="3257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95160" cy="325755"/>
                    </a:xfrm>
                    <a:prstGeom prst="rect">
                      <a:avLst/>
                    </a:prstGeom>
                    <a:noFill/>
                  </pic:spPr>
                </pic:pic>
              </a:graphicData>
            </a:graphic>
          </wp:anchor>
        </w:drawing>
      </w:r>
    </w:p>
    <w:p>
      <w:pPr>
        <w:sectPr>
          <w:pgSz w:w="11900" w:h="16838" w:orient="portrait"/>
          <w:cols w:equalWidth="0" w:num="1">
            <w:col w:w="11024"/>
          </w:cols>
          <w:pgMar w:left="436" w:top="679" w:right="439" w:bottom="1440" w:gutter="0" w:footer="0" w:header="0"/>
        </w:sectPr>
      </w:pPr>
    </w:p>
    <w:bookmarkStart w:id="55" w:name="page56"/>
    <w:bookmarkEnd w:id="55"/>
    <w:p>
      <w:pPr>
        <w:ind w:left="224"/>
        <w:spacing w:after="0"/>
        <w:rPr>
          <w:sz w:val="20"/>
          <w:szCs w:val="20"/>
          <w:color w:val="auto"/>
        </w:rPr>
      </w:pPr>
      <w:r>
        <w:rPr>
          <w:rFonts w:ascii="Arial" w:cs="Arial" w:eastAsia="Arial" w:hAnsi="Arial"/>
          <w:sz w:val="16"/>
          <w:szCs w:val="16"/>
          <w:color w:val="C8102E"/>
        </w:rPr>
        <w:t xml:space="preserve">–  </w:t>
      </w:r>
      <w:r>
        <w:rPr>
          <w:rFonts w:ascii="Arial" w:cs="Arial" w:eastAsia="Arial" w:hAnsi="Arial"/>
          <w:sz w:val="16"/>
          <w:szCs w:val="16"/>
          <w:color w:val="000000"/>
        </w:rPr>
        <w:t>intentional wrongful damage to property of the Company or its subsidiaries;</w:t>
      </w:r>
    </w:p>
    <w:p>
      <w:pPr>
        <w:spacing w:after="0" w:line="140" w:lineRule="exact"/>
        <w:rPr>
          <w:sz w:val="20"/>
          <w:szCs w:val="20"/>
          <w:color w:val="auto"/>
        </w:rPr>
      </w:pPr>
    </w:p>
    <w:p>
      <w:pPr>
        <w:ind w:left="224"/>
        <w:spacing w:after="0"/>
        <w:rPr>
          <w:sz w:val="20"/>
          <w:szCs w:val="20"/>
          <w:color w:val="auto"/>
        </w:rPr>
      </w:pPr>
      <w:r>
        <w:rPr>
          <w:rFonts w:ascii="Arial" w:cs="Arial" w:eastAsia="Arial" w:hAnsi="Arial"/>
          <w:sz w:val="16"/>
          <w:szCs w:val="16"/>
          <w:color w:val="C8102E"/>
        </w:rPr>
        <w:t xml:space="preserve">–  </w:t>
      </w:r>
      <w:r>
        <w:rPr>
          <w:rFonts w:ascii="Arial" w:cs="Arial" w:eastAsia="Arial" w:hAnsi="Arial"/>
          <w:sz w:val="16"/>
          <w:szCs w:val="16"/>
          <w:color w:val="000000"/>
        </w:rPr>
        <w:t>intentional wrongful disclosure of secret processes or confidential information of the Company or its subsidiaries;</w:t>
      </w:r>
    </w:p>
    <w:p>
      <w:pPr>
        <w:spacing w:after="0" w:line="140" w:lineRule="exact"/>
        <w:rPr>
          <w:sz w:val="20"/>
          <w:szCs w:val="20"/>
          <w:color w:val="auto"/>
        </w:rPr>
      </w:pPr>
    </w:p>
    <w:p>
      <w:pPr>
        <w:ind w:left="224"/>
        <w:spacing w:after="0"/>
        <w:rPr>
          <w:sz w:val="20"/>
          <w:szCs w:val="20"/>
          <w:color w:val="auto"/>
        </w:rPr>
      </w:pPr>
      <w:r>
        <w:rPr>
          <w:rFonts w:ascii="Arial" w:cs="Arial" w:eastAsia="Arial" w:hAnsi="Arial"/>
          <w:sz w:val="16"/>
          <w:szCs w:val="16"/>
          <w:color w:val="C8102E"/>
        </w:rPr>
        <w:t xml:space="preserve">–  </w:t>
      </w:r>
      <w:r>
        <w:rPr>
          <w:rFonts w:ascii="Arial" w:cs="Arial" w:eastAsia="Arial" w:hAnsi="Arial"/>
          <w:sz w:val="16"/>
          <w:szCs w:val="16"/>
          <w:color w:val="000000"/>
        </w:rPr>
        <w:t>conviction of a criminal offense; or</w:t>
      </w:r>
    </w:p>
    <w:p>
      <w:pPr>
        <w:spacing w:after="0" w:line="140" w:lineRule="exact"/>
        <w:rPr>
          <w:sz w:val="20"/>
          <w:szCs w:val="20"/>
          <w:color w:val="auto"/>
        </w:rPr>
      </w:pPr>
    </w:p>
    <w:p>
      <w:pPr>
        <w:ind w:left="424" w:hanging="216"/>
        <w:spacing w:after="0" w:line="251" w:lineRule="auto"/>
        <w:rPr>
          <w:sz w:val="20"/>
          <w:szCs w:val="20"/>
          <w:color w:val="auto"/>
        </w:rPr>
      </w:pPr>
      <w:r>
        <w:rPr>
          <w:rFonts w:ascii="Arial" w:cs="Arial" w:eastAsia="Arial" w:hAnsi="Arial"/>
          <w:sz w:val="16"/>
          <w:szCs w:val="16"/>
          <w:color w:val="C8102E"/>
        </w:rPr>
        <w:t xml:space="preserve">– </w:t>
      </w:r>
      <w:r>
        <w:rPr>
          <w:rFonts w:ascii="Arial" w:cs="Arial" w:eastAsia="Arial" w:hAnsi="Arial"/>
          <w:sz w:val="16"/>
          <w:szCs w:val="16"/>
          <w:color w:val="000000"/>
        </w:rPr>
        <w:t>intentional wrongful engagement in any competitive activity which would constitute a material breach of the duty of loyalty. and any such act is</w:t>
      </w:r>
      <w:r>
        <w:rPr>
          <w:rFonts w:ascii="Arial" w:cs="Arial" w:eastAsia="Arial" w:hAnsi="Arial"/>
          <w:sz w:val="16"/>
          <w:szCs w:val="16"/>
          <w:color w:val="C8102E"/>
        </w:rPr>
        <w:t xml:space="preserve"> </w:t>
      </w:r>
      <w:r>
        <w:rPr>
          <w:rFonts w:ascii="Arial" w:cs="Arial" w:eastAsia="Arial" w:hAnsi="Arial"/>
          <w:sz w:val="16"/>
          <w:szCs w:val="16"/>
          <w:color w:val="000000"/>
        </w:rPr>
        <w:t>materially harmful to the Company and its subsidiaries taken as a whole.</w:t>
      </w:r>
    </w:p>
    <w:p>
      <w:pPr>
        <w:spacing w:after="0" w:line="25" w:lineRule="exact"/>
        <w:rPr>
          <w:sz w:val="20"/>
          <w:szCs w:val="20"/>
          <w:color w:val="auto"/>
        </w:rPr>
      </w:pPr>
    </w:p>
    <w:p>
      <w:pPr>
        <w:ind w:left="224" w:hanging="224"/>
        <w:spacing w:after="0"/>
        <w:tabs>
          <w:tab w:leader="none" w:pos="224" w:val="left"/>
        </w:tabs>
        <w:numPr>
          <w:ilvl w:val="0"/>
          <w:numId w:val="95"/>
        </w:numPr>
        <w:rPr>
          <w:rFonts w:ascii="MS PGothic" w:cs="MS PGothic" w:eastAsia="MS PGothic" w:hAnsi="MS PGothic"/>
          <w:sz w:val="29"/>
          <w:szCs w:val="29"/>
          <w:color w:val="C8102E"/>
          <w:vertAlign w:val="superscript"/>
        </w:rPr>
      </w:pP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means any of the following:</w:t>
      </w:r>
    </w:p>
    <w:p>
      <w:pPr>
        <w:spacing w:after="0" w:line="125" w:lineRule="exact"/>
        <w:rPr>
          <w:rFonts w:ascii="MS PGothic" w:cs="MS PGothic" w:eastAsia="MS PGothic" w:hAnsi="MS PGothic"/>
          <w:sz w:val="29"/>
          <w:szCs w:val="29"/>
          <w:color w:val="C8102E"/>
          <w:vertAlign w:val="superscript"/>
        </w:rPr>
      </w:pPr>
    </w:p>
    <w:p>
      <w:pPr>
        <w:ind w:left="424" w:right="20" w:hanging="216"/>
        <w:spacing w:after="0" w:line="235" w:lineRule="auto"/>
        <w:rPr>
          <w:rFonts w:ascii="MS PGothic" w:cs="MS PGothic" w:eastAsia="MS PGothic" w:hAnsi="MS PGothic"/>
          <w:sz w:val="29"/>
          <w:szCs w:val="29"/>
          <w:color w:val="C8102E"/>
          <w:vertAlign w:val="superscript"/>
        </w:rPr>
      </w:pPr>
      <w:r>
        <w:rPr>
          <w:rFonts w:ascii="Arial" w:cs="Arial" w:eastAsia="Arial" w:hAnsi="Arial"/>
          <w:sz w:val="16"/>
          <w:szCs w:val="16"/>
          <w:color w:val="C8102E"/>
        </w:rPr>
        <w:t xml:space="preserve">– </w:t>
      </w:r>
      <w:r>
        <w:rPr>
          <w:rFonts w:ascii="Arial" w:cs="Arial" w:eastAsia="Arial" w:hAnsi="Arial"/>
          <w:sz w:val="16"/>
          <w:szCs w:val="16"/>
          <w:color w:val="000000"/>
        </w:rPr>
        <w:t>the acquisition by any person of beneficial ownership of more than 50% of the then-outstanding common stock of the Company or the combined</w:t>
      </w:r>
      <w:r>
        <w:rPr>
          <w:rFonts w:ascii="Arial" w:cs="Arial" w:eastAsia="Arial" w:hAnsi="Arial"/>
          <w:sz w:val="16"/>
          <w:szCs w:val="16"/>
          <w:color w:val="C8102E"/>
        </w:rPr>
        <w:t xml:space="preserve"> </w:t>
      </w:r>
      <w:r>
        <w:rPr>
          <w:rFonts w:ascii="Arial" w:cs="Arial" w:eastAsia="Arial" w:hAnsi="Arial"/>
          <w:sz w:val="16"/>
          <w:szCs w:val="16"/>
          <w:color w:val="000000"/>
        </w:rPr>
        <w:t>voting power of the then-outstanding voting securities of the Company, subject to certain exceptions;</w:t>
      </w:r>
    </w:p>
    <w:p>
      <w:pPr>
        <w:spacing w:after="0" w:line="109" w:lineRule="exact"/>
        <w:rPr>
          <w:rFonts w:ascii="MS PGothic" w:cs="MS PGothic" w:eastAsia="MS PGothic" w:hAnsi="MS PGothic"/>
          <w:sz w:val="29"/>
          <w:szCs w:val="29"/>
          <w:color w:val="C8102E"/>
          <w:vertAlign w:val="superscript"/>
        </w:rPr>
      </w:pPr>
    </w:p>
    <w:p>
      <w:pPr>
        <w:ind w:left="424" w:right="20" w:hanging="216"/>
        <w:spacing w:after="0" w:line="234" w:lineRule="auto"/>
        <w:rPr>
          <w:rFonts w:ascii="MS PGothic" w:cs="MS PGothic" w:eastAsia="MS PGothic" w:hAnsi="MS PGothic"/>
          <w:sz w:val="29"/>
          <w:szCs w:val="29"/>
          <w:color w:val="C8102E"/>
          <w:vertAlign w:val="superscript"/>
        </w:rPr>
      </w:pPr>
      <w:r>
        <w:rPr>
          <w:rFonts w:ascii="Arial" w:cs="Arial" w:eastAsia="Arial" w:hAnsi="Arial"/>
          <w:sz w:val="16"/>
          <w:szCs w:val="16"/>
          <w:color w:val="C8102E"/>
        </w:rPr>
        <w:t xml:space="preserve">– </w:t>
      </w:r>
      <w:r>
        <w:rPr>
          <w:rFonts w:ascii="Arial" w:cs="Arial" w:eastAsia="Arial" w:hAnsi="Arial"/>
          <w:sz w:val="16"/>
          <w:szCs w:val="16"/>
          <w:color w:val="000000"/>
        </w:rPr>
        <w:t>individuals who constitute the Board as of the date of the change in control agreement (together with any new directors approved by the vote of at</w:t>
      </w:r>
      <w:r>
        <w:rPr>
          <w:rFonts w:ascii="Arial" w:cs="Arial" w:eastAsia="Arial" w:hAnsi="Arial"/>
          <w:sz w:val="16"/>
          <w:szCs w:val="16"/>
          <w:color w:val="C8102E"/>
        </w:rPr>
        <w:t xml:space="preserve"> </w:t>
      </w:r>
      <w:r>
        <w:rPr>
          <w:rFonts w:ascii="Arial" w:cs="Arial" w:eastAsia="Arial" w:hAnsi="Arial"/>
          <w:sz w:val="16"/>
          <w:szCs w:val="16"/>
          <w:color w:val="000000"/>
        </w:rPr>
        <w:t>least a majority of the directors comprising the Board as of the date of the change in control agreement or subsequently approved) cease for any reason (other than death or disability) to constitute at least a majority of the Board;</w:t>
      </w:r>
    </w:p>
    <w:p>
      <w:pPr>
        <w:spacing w:after="0" w:line="109" w:lineRule="exact"/>
        <w:rPr>
          <w:rFonts w:ascii="MS PGothic" w:cs="MS PGothic" w:eastAsia="MS PGothic" w:hAnsi="MS PGothic"/>
          <w:sz w:val="29"/>
          <w:szCs w:val="29"/>
          <w:color w:val="C8102E"/>
          <w:vertAlign w:val="superscript"/>
        </w:rPr>
      </w:pPr>
    </w:p>
    <w:p>
      <w:pPr>
        <w:ind w:left="424" w:right="20" w:hanging="216"/>
        <w:spacing w:after="0" w:line="251" w:lineRule="auto"/>
        <w:rPr>
          <w:rFonts w:ascii="MS PGothic" w:cs="MS PGothic" w:eastAsia="MS PGothic" w:hAnsi="MS PGothic"/>
          <w:sz w:val="29"/>
          <w:szCs w:val="29"/>
          <w:color w:val="C8102E"/>
          <w:vertAlign w:val="superscript"/>
        </w:rPr>
      </w:pPr>
      <w:r>
        <w:rPr>
          <w:rFonts w:ascii="Arial" w:cs="Arial" w:eastAsia="Arial" w:hAnsi="Arial"/>
          <w:sz w:val="16"/>
          <w:szCs w:val="16"/>
          <w:color w:val="C8102E"/>
        </w:rPr>
        <w:t xml:space="preserve">– </w:t>
      </w:r>
      <w:r>
        <w:rPr>
          <w:rFonts w:ascii="Arial" w:cs="Arial" w:eastAsia="Arial" w:hAnsi="Arial"/>
          <w:sz w:val="16"/>
          <w:szCs w:val="16"/>
          <w:color w:val="000000"/>
        </w:rPr>
        <w:t>the consummation of a reorganization, merger or consolidation or sale or other disposition of all or substantially all of the assets of the Company,</w:t>
      </w:r>
      <w:r>
        <w:rPr>
          <w:rFonts w:ascii="Arial" w:cs="Arial" w:eastAsia="Arial" w:hAnsi="Arial"/>
          <w:sz w:val="16"/>
          <w:szCs w:val="16"/>
          <w:color w:val="C8102E"/>
        </w:rPr>
        <w:t xml:space="preserve"> </w:t>
      </w:r>
      <w:r>
        <w:rPr>
          <w:rFonts w:ascii="Arial" w:cs="Arial" w:eastAsia="Arial" w:hAnsi="Arial"/>
          <w:sz w:val="16"/>
          <w:szCs w:val="16"/>
          <w:color w:val="000000"/>
        </w:rPr>
        <w:t>subject to certain exceptions; or</w:t>
      </w:r>
    </w:p>
    <w:p>
      <w:pPr>
        <w:spacing w:after="0" w:line="101" w:lineRule="exact"/>
        <w:rPr>
          <w:rFonts w:ascii="MS PGothic" w:cs="MS PGothic" w:eastAsia="MS PGothic" w:hAnsi="MS PGothic"/>
          <w:sz w:val="29"/>
          <w:szCs w:val="29"/>
          <w:color w:val="C8102E"/>
          <w:vertAlign w:val="superscript"/>
        </w:rPr>
      </w:pPr>
    </w:p>
    <w:p>
      <w:pPr>
        <w:ind w:left="224"/>
        <w:spacing w:after="0"/>
        <w:rPr>
          <w:rFonts w:ascii="MS PGothic" w:cs="MS PGothic" w:eastAsia="MS PGothic" w:hAnsi="MS PGothic"/>
          <w:sz w:val="29"/>
          <w:szCs w:val="29"/>
          <w:color w:val="C8102E"/>
          <w:vertAlign w:val="superscript"/>
        </w:rPr>
      </w:pPr>
      <w:r>
        <w:rPr>
          <w:rFonts w:ascii="Arial" w:cs="Arial" w:eastAsia="Arial" w:hAnsi="Arial"/>
          <w:sz w:val="16"/>
          <w:szCs w:val="16"/>
          <w:color w:val="C8102E"/>
        </w:rPr>
        <w:t xml:space="preserve">–  </w:t>
      </w:r>
      <w:r>
        <w:rPr>
          <w:rFonts w:ascii="Arial" w:cs="Arial" w:eastAsia="Arial" w:hAnsi="Arial"/>
          <w:sz w:val="16"/>
          <w:szCs w:val="16"/>
          <w:color w:val="000000"/>
        </w:rPr>
        <w:t>approval by the Company’s stockholders of a complete liquidation or dissolution of the Company.</w:t>
      </w:r>
    </w:p>
    <w:p>
      <w:pPr>
        <w:spacing w:after="0" w:line="64" w:lineRule="exact"/>
        <w:rPr>
          <w:rFonts w:ascii="MS PGothic" w:cs="MS PGothic" w:eastAsia="MS PGothic" w:hAnsi="MS PGothic"/>
          <w:sz w:val="29"/>
          <w:szCs w:val="29"/>
          <w:color w:val="C8102E"/>
          <w:vertAlign w:val="superscript"/>
        </w:rPr>
      </w:pPr>
    </w:p>
    <w:p>
      <w:pPr>
        <w:ind w:left="224" w:hanging="224"/>
        <w:spacing w:after="0"/>
        <w:tabs>
          <w:tab w:leader="none" w:pos="224" w:val="left"/>
        </w:tabs>
        <w:numPr>
          <w:ilvl w:val="0"/>
          <w:numId w:val="95"/>
        </w:numPr>
        <w:rPr>
          <w:rFonts w:ascii="MS PGothic" w:cs="MS PGothic" w:eastAsia="MS PGothic" w:hAnsi="MS PGothic"/>
          <w:sz w:val="29"/>
          <w:szCs w:val="29"/>
          <w:color w:val="C8102E"/>
          <w:vertAlign w:val="superscript"/>
        </w:rPr>
      </w:pPr>
      <w:r>
        <w:rPr>
          <w:rFonts w:ascii="Arial" w:cs="Arial" w:eastAsia="Arial" w:hAnsi="Arial"/>
          <w:sz w:val="16"/>
          <w:szCs w:val="16"/>
          <w:color w:val="auto"/>
        </w:rPr>
        <w:t>“</w:t>
      </w:r>
      <w:r>
        <w:rPr>
          <w:rFonts w:ascii="Arial" w:cs="Arial" w:eastAsia="Arial" w:hAnsi="Arial"/>
          <w:sz w:val="16"/>
          <w:szCs w:val="16"/>
          <w:u w:val="single" w:color="auto"/>
          <w:color w:val="auto"/>
        </w:rPr>
        <w:t>good reason</w:t>
      </w:r>
      <w:r>
        <w:rPr>
          <w:rFonts w:ascii="Arial" w:cs="Arial" w:eastAsia="Arial" w:hAnsi="Arial"/>
          <w:sz w:val="16"/>
          <w:szCs w:val="16"/>
          <w:color w:val="auto"/>
        </w:rPr>
        <w:t>” means:</w:t>
      </w:r>
    </w:p>
    <w:p>
      <w:pPr>
        <w:spacing w:after="0" w:line="125" w:lineRule="exact"/>
        <w:rPr>
          <w:rFonts w:ascii="MS PGothic" w:cs="MS PGothic" w:eastAsia="MS PGothic" w:hAnsi="MS PGothic"/>
          <w:sz w:val="29"/>
          <w:szCs w:val="29"/>
          <w:color w:val="C8102E"/>
          <w:vertAlign w:val="superscript"/>
        </w:rPr>
      </w:pPr>
    </w:p>
    <w:p>
      <w:pPr>
        <w:ind w:left="424" w:right="20" w:hanging="216"/>
        <w:spacing w:after="0" w:line="235" w:lineRule="auto"/>
        <w:rPr>
          <w:rFonts w:ascii="MS PGothic" w:cs="MS PGothic" w:eastAsia="MS PGothic" w:hAnsi="MS PGothic"/>
          <w:sz w:val="29"/>
          <w:szCs w:val="29"/>
          <w:color w:val="C8102E"/>
          <w:vertAlign w:val="superscript"/>
        </w:rPr>
      </w:pPr>
      <w:r>
        <w:rPr>
          <w:rFonts w:ascii="Arial" w:cs="Arial" w:eastAsia="Arial" w:hAnsi="Arial"/>
          <w:sz w:val="16"/>
          <w:szCs w:val="16"/>
          <w:color w:val="C8102E"/>
        </w:rPr>
        <w:t xml:space="preserve">– </w:t>
      </w:r>
      <w:r>
        <w:rPr>
          <w:rFonts w:ascii="Arial" w:cs="Arial" w:eastAsia="Arial" w:hAnsi="Arial"/>
          <w:sz w:val="16"/>
          <w:szCs w:val="16"/>
          <w:color w:val="000000"/>
        </w:rPr>
        <w:t>failure to maintain the executive in the positions with the Company or its subsidiaries which the executive held immediately prior to the change in</w:t>
      </w:r>
      <w:r>
        <w:rPr>
          <w:rFonts w:ascii="Arial" w:cs="Arial" w:eastAsia="Arial" w:hAnsi="Arial"/>
          <w:sz w:val="16"/>
          <w:szCs w:val="16"/>
          <w:color w:val="C8102E"/>
        </w:rPr>
        <w:t xml:space="preserve"> </w:t>
      </w:r>
      <w:r>
        <w:rPr>
          <w:rFonts w:ascii="Arial" w:cs="Arial" w:eastAsia="Arial" w:hAnsi="Arial"/>
          <w:sz w:val="16"/>
          <w:szCs w:val="16"/>
          <w:color w:val="000000"/>
        </w:rPr>
        <w:t>control or the removal of the executive as a director of the Company, if applicable;</w:t>
      </w:r>
    </w:p>
    <w:p>
      <w:pPr>
        <w:spacing w:after="0" w:line="109" w:lineRule="exact"/>
        <w:rPr>
          <w:rFonts w:ascii="MS PGothic" w:cs="MS PGothic" w:eastAsia="MS PGothic" w:hAnsi="MS PGothic"/>
          <w:sz w:val="29"/>
          <w:szCs w:val="29"/>
          <w:color w:val="C8102E"/>
          <w:vertAlign w:val="superscript"/>
        </w:rPr>
      </w:pPr>
    </w:p>
    <w:p>
      <w:pPr>
        <w:ind w:left="424" w:right="20" w:hanging="216"/>
        <w:spacing w:after="0" w:line="234" w:lineRule="auto"/>
        <w:rPr>
          <w:rFonts w:ascii="MS PGothic" w:cs="MS PGothic" w:eastAsia="MS PGothic" w:hAnsi="MS PGothic"/>
          <w:sz w:val="29"/>
          <w:szCs w:val="29"/>
          <w:color w:val="C8102E"/>
          <w:vertAlign w:val="superscript"/>
        </w:rPr>
      </w:pPr>
      <w:r>
        <w:rPr>
          <w:rFonts w:ascii="Arial" w:cs="Arial" w:eastAsia="Arial" w:hAnsi="Arial"/>
          <w:sz w:val="16"/>
          <w:szCs w:val="16"/>
          <w:color w:val="C8102E"/>
        </w:rPr>
        <w:t xml:space="preserve">– </w:t>
      </w:r>
      <w:r>
        <w:rPr>
          <w:rFonts w:ascii="Arial" w:cs="Arial" w:eastAsia="Arial" w:hAnsi="Arial"/>
          <w:sz w:val="16"/>
          <w:szCs w:val="16"/>
          <w:color w:val="000000"/>
        </w:rPr>
        <w:t>a material reduction in the nature or scope of responsibilities or duties attached to the positions the executive held with Enovis and its subsidiaries</w:t>
      </w:r>
      <w:r>
        <w:rPr>
          <w:rFonts w:ascii="Arial" w:cs="Arial" w:eastAsia="Arial" w:hAnsi="Arial"/>
          <w:sz w:val="16"/>
          <w:szCs w:val="16"/>
          <w:color w:val="C8102E"/>
        </w:rPr>
        <w:t xml:space="preserve"> </w:t>
      </w:r>
      <w:r>
        <w:rPr>
          <w:rFonts w:ascii="Arial" w:cs="Arial" w:eastAsia="Arial" w:hAnsi="Arial"/>
          <w:sz w:val="16"/>
          <w:szCs w:val="16"/>
          <w:color w:val="000000"/>
        </w:rPr>
        <w:t>immediately prior to the change in control, a material reduction in the executive’s base salary and annual cash bonus opportunity or the termination or material modification of the material employee benefits available to the executive immediately prior to the change in control;</w:t>
      </w:r>
    </w:p>
    <w:p>
      <w:pPr>
        <w:spacing w:after="0" w:line="109" w:lineRule="exact"/>
        <w:rPr>
          <w:rFonts w:ascii="MS PGothic" w:cs="MS PGothic" w:eastAsia="MS PGothic" w:hAnsi="MS PGothic"/>
          <w:sz w:val="29"/>
          <w:szCs w:val="29"/>
          <w:color w:val="C8102E"/>
          <w:vertAlign w:val="superscript"/>
        </w:rPr>
      </w:pPr>
    </w:p>
    <w:p>
      <w:pPr>
        <w:ind w:left="424" w:right="20" w:hanging="216"/>
        <w:spacing w:after="0" w:line="251" w:lineRule="auto"/>
        <w:rPr>
          <w:rFonts w:ascii="MS PGothic" w:cs="MS PGothic" w:eastAsia="MS PGothic" w:hAnsi="MS PGothic"/>
          <w:sz w:val="29"/>
          <w:szCs w:val="29"/>
          <w:color w:val="C8102E"/>
          <w:vertAlign w:val="superscript"/>
        </w:rPr>
      </w:pPr>
      <w:r>
        <w:rPr>
          <w:rFonts w:ascii="Arial" w:cs="Arial" w:eastAsia="Arial" w:hAnsi="Arial"/>
          <w:sz w:val="16"/>
          <w:szCs w:val="16"/>
          <w:color w:val="C8102E"/>
        </w:rPr>
        <w:t xml:space="preserve">– </w:t>
      </w:r>
      <w:r>
        <w:rPr>
          <w:rFonts w:ascii="Arial" w:cs="Arial" w:eastAsia="Arial" w:hAnsi="Arial"/>
          <w:sz w:val="16"/>
          <w:szCs w:val="16"/>
          <w:color w:val="000000"/>
        </w:rPr>
        <w:t>the liquidation, dissolution, merger, consolidation or reorganization of the Company or a transfer or all or a significant portion of its business and/or</w:t>
      </w:r>
      <w:r>
        <w:rPr>
          <w:rFonts w:ascii="Arial" w:cs="Arial" w:eastAsia="Arial" w:hAnsi="Arial"/>
          <w:sz w:val="16"/>
          <w:szCs w:val="16"/>
          <w:color w:val="C8102E"/>
        </w:rPr>
        <w:t xml:space="preserve"> </w:t>
      </w:r>
      <w:r>
        <w:rPr>
          <w:rFonts w:ascii="Arial" w:cs="Arial" w:eastAsia="Arial" w:hAnsi="Arial"/>
          <w:sz w:val="16"/>
          <w:szCs w:val="16"/>
          <w:color w:val="000000"/>
        </w:rPr>
        <w:t>assets, unless the successor has assumed all of the Company’s duties and obligations under the change in control agreement;</w:t>
      </w:r>
    </w:p>
    <w:p>
      <w:pPr>
        <w:spacing w:after="0" w:line="101" w:lineRule="exact"/>
        <w:rPr>
          <w:rFonts w:ascii="MS PGothic" w:cs="MS PGothic" w:eastAsia="MS PGothic" w:hAnsi="MS PGothic"/>
          <w:sz w:val="29"/>
          <w:szCs w:val="29"/>
          <w:color w:val="C8102E"/>
          <w:vertAlign w:val="superscript"/>
        </w:rPr>
      </w:pPr>
    </w:p>
    <w:p>
      <w:pPr>
        <w:ind w:left="424" w:right="20" w:hanging="216"/>
        <w:spacing w:after="0" w:line="234" w:lineRule="auto"/>
        <w:rPr>
          <w:rFonts w:ascii="MS PGothic" w:cs="MS PGothic" w:eastAsia="MS PGothic" w:hAnsi="MS PGothic"/>
          <w:sz w:val="29"/>
          <w:szCs w:val="29"/>
          <w:color w:val="C8102E"/>
          <w:vertAlign w:val="superscript"/>
        </w:rPr>
      </w:pPr>
      <w:r>
        <w:rPr>
          <w:rFonts w:ascii="Arial" w:cs="Arial" w:eastAsia="Arial" w:hAnsi="Arial"/>
          <w:sz w:val="16"/>
          <w:szCs w:val="16"/>
          <w:color w:val="C8102E"/>
        </w:rPr>
        <w:t xml:space="preserve">– </w:t>
      </w:r>
      <w:r>
        <w:rPr>
          <w:rFonts w:ascii="Arial" w:cs="Arial" w:eastAsia="Arial" w:hAnsi="Arial"/>
          <w:sz w:val="16"/>
          <w:szCs w:val="16"/>
          <w:color w:val="000000"/>
        </w:rPr>
        <w:t>the Company relocates its principal executive offices, or the Company or any subsidiary requires the executive to have his principal location of work</w:t>
      </w:r>
      <w:r>
        <w:rPr>
          <w:rFonts w:ascii="Arial" w:cs="Arial" w:eastAsia="Arial" w:hAnsi="Arial"/>
          <w:sz w:val="16"/>
          <w:szCs w:val="16"/>
          <w:color w:val="C8102E"/>
        </w:rPr>
        <w:t xml:space="preserve"> </w:t>
      </w:r>
      <w:r>
        <w:rPr>
          <w:rFonts w:ascii="Arial" w:cs="Arial" w:eastAsia="Arial" w:hAnsi="Arial"/>
          <w:sz w:val="16"/>
          <w:szCs w:val="16"/>
          <w:color w:val="000000"/>
        </w:rPr>
        <w:t>changed, to any location more than 50 miles from the location immediately prior to the change in control or the Company or its subsidiaries require the executive to travel significantly more than was required prior to the change in control; or</w:t>
      </w:r>
    </w:p>
    <w:p>
      <w:pPr>
        <w:spacing w:after="0" w:line="109" w:lineRule="exact"/>
        <w:rPr>
          <w:rFonts w:ascii="MS PGothic" w:cs="MS PGothic" w:eastAsia="MS PGothic" w:hAnsi="MS PGothic"/>
          <w:sz w:val="29"/>
          <w:szCs w:val="29"/>
          <w:color w:val="C8102E"/>
          <w:vertAlign w:val="superscript"/>
        </w:rPr>
      </w:pPr>
    </w:p>
    <w:p>
      <w:pPr>
        <w:ind w:left="224"/>
        <w:spacing w:after="0"/>
        <w:rPr>
          <w:rFonts w:ascii="MS PGothic" w:cs="MS PGothic" w:eastAsia="MS PGothic" w:hAnsi="MS PGothic"/>
          <w:sz w:val="29"/>
          <w:szCs w:val="29"/>
          <w:color w:val="C8102E"/>
          <w:vertAlign w:val="superscript"/>
        </w:rPr>
      </w:pPr>
      <w:r>
        <w:rPr>
          <w:rFonts w:ascii="Arial" w:cs="Arial" w:eastAsia="Arial" w:hAnsi="Arial"/>
          <w:sz w:val="16"/>
          <w:szCs w:val="16"/>
          <w:color w:val="C8102E"/>
        </w:rPr>
        <w:t xml:space="preserve">–  </w:t>
      </w:r>
      <w:r>
        <w:rPr>
          <w:rFonts w:ascii="Arial" w:cs="Arial" w:eastAsia="Arial" w:hAnsi="Arial"/>
          <w:sz w:val="16"/>
          <w:szCs w:val="16"/>
          <w:color w:val="000000"/>
        </w:rPr>
        <w:t>any material breach of the change in control agreement by the Company or any successor.</w:t>
      </w:r>
    </w:p>
    <w:p>
      <w:pPr>
        <w:spacing w:after="0" w:line="13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Equity Awards</w:t>
      </w:r>
    </w:p>
    <w:p>
      <w:pPr>
        <w:spacing w:after="0" w:line="149" w:lineRule="exact"/>
        <w:rPr>
          <w:sz w:val="20"/>
          <w:szCs w:val="20"/>
          <w:color w:val="auto"/>
        </w:rPr>
      </w:pPr>
    </w:p>
    <w:p>
      <w:pPr>
        <w:jc w:val="both"/>
        <w:ind w:left="4" w:right="20"/>
        <w:spacing w:after="0" w:line="225" w:lineRule="auto"/>
        <w:rPr>
          <w:sz w:val="20"/>
          <w:szCs w:val="20"/>
          <w:color w:val="auto"/>
        </w:rPr>
      </w:pPr>
      <w:r>
        <w:rPr>
          <w:rFonts w:ascii="Arial" w:cs="Arial" w:eastAsia="Arial" w:hAnsi="Arial"/>
          <w:sz w:val="16"/>
          <w:szCs w:val="16"/>
          <w:color w:val="auto"/>
        </w:rPr>
        <w:t>Mr. McDonald’s CEO equity award agreements provide that if he is terminated by the Company without “cause” (and not on account of disability) or resigns for “good reason”: (i) his outstanding unvested performance-based equity awards shall vest pro-ratably based on the number of days employed during the vesting period, only if the performance objectives are achieved as of the end of the performance period; (ii) his outstanding restricted stock units shall fully and immediately vest as of the date of his termination; and (iii) his outstanding unvested option awards shall vest pro-ratably based on the number of days employed during the vesting period.</w:t>
      </w:r>
    </w:p>
    <w:p>
      <w:pPr>
        <w:spacing w:after="0" w:line="110" w:lineRule="exact"/>
        <w:rPr>
          <w:sz w:val="20"/>
          <w:szCs w:val="20"/>
          <w:color w:val="auto"/>
        </w:rPr>
      </w:pPr>
    </w:p>
    <w:p>
      <w:pPr>
        <w:jc w:val="both"/>
        <w:ind w:left="4"/>
        <w:spacing w:after="0" w:line="218" w:lineRule="auto"/>
        <w:rPr>
          <w:sz w:val="20"/>
          <w:szCs w:val="20"/>
          <w:color w:val="auto"/>
        </w:rPr>
      </w:pPr>
      <w:r>
        <w:rPr>
          <w:rFonts w:ascii="Arial" w:cs="Arial" w:eastAsia="Arial" w:hAnsi="Arial"/>
          <w:sz w:val="16"/>
          <w:szCs w:val="16"/>
          <w:color w:val="auto"/>
        </w:rPr>
        <w:t>For all the NEOs, outstanding options and RSUs vest in full upon death or disability. The vested options expire at the close of business at Company headquarters on the date twelve (12) months after the date of death or termination. Outstanding PRSUs will also vest in full (for awards granted prior to 2025) and pro-ratably based on the number of days employed during the performance period (for awards granted during or after 2025) upon death or disability as of the date the Committee determines achievement of the applicable performance criteria based on the Company’s performance, as determined, and with any individual performance component achieved at target. For retirement-eligible NEOs, if the NEO retires on or after the first anniversary of the grant date of any unvested option, RSU or PRSU (for awards granted prior to 2025) or if the NEO retires (for awards granted during or after 2025), the award will continue to vest as if such NEO’s service had not been terminated (PRSUs shall vest pro-ratably based on the number of days employed during the performance period). “Retirement” means termination of service when the executive’s age and years of service sum to at least sixty-five (65); provided he or she has reached age fifty-five (55) and have at least five (5) years of service.</w:t>
      </w:r>
    </w:p>
    <w:p>
      <w:pPr>
        <w:spacing w:after="0" w:line="125" w:lineRule="exact"/>
        <w:rPr>
          <w:sz w:val="20"/>
          <w:szCs w:val="20"/>
          <w:color w:val="auto"/>
        </w:rPr>
      </w:pPr>
    </w:p>
    <w:p>
      <w:pPr>
        <w:ind w:left="4"/>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-118745</wp:posOffset>
            </wp:positionV>
            <wp:extent cx="762635" cy="3860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62635" cy="386080"/>
                    </a:xfrm>
                    <a:prstGeom prst="rect">
                      <a:avLst/>
                    </a:prstGeom>
                    <a:noFill/>
                  </pic:spPr>
                </pic:pic>
              </a:graphicData>
            </a:graphic>
          </wp:anchor>
        </w:drawing>
      </w:r>
    </w:p>
    <w:p>
      <w:pPr>
        <w:ind w:left="1584"/>
        <w:spacing w:after="0"/>
        <w:rPr>
          <w:sz w:val="20"/>
          <w:szCs w:val="20"/>
          <w:color w:val="auto"/>
        </w:rPr>
      </w:pPr>
      <w:r>
        <w:rPr>
          <w:rFonts w:ascii="Arial" w:cs="Arial" w:eastAsia="Arial" w:hAnsi="Arial"/>
          <w:sz w:val="18"/>
          <w:szCs w:val="18"/>
          <w:color w:val="auto"/>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699516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638" w:right="439" w:bottom="1440" w:gutter="0" w:footer="0" w:header="0"/>
        </w:sectPr>
      </w:pPr>
    </w:p>
    <w:bookmarkStart w:id="56" w:name="page57"/>
    <w:bookmarkEnd w:id="56"/>
    <w:p>
      <w:pPr>
        <w:jc w:val="both"/>
        <w:spacing w:after="0" w:line="217" w:lineRule="auto"/>
        <w:rPr>
          <w:sz w:val="20"/>
          <w:szCs w:val="20"/>
          <w:color w:val="auto"/>
        </w:rPr>
      </w:pPr>
      <w:r>
        <w:rPr>
          <w:rFonts w:ascii="Arial" w:cs="Arial" w:eastAsia="Arial" w:hAnsi="Arial"/>
          <w:sz w:val="16"/>
          <w:szCs w:val="16"/>
          <w:color w:val="auto"/>
        </w:rPr>
        <w:t>In addition, for all the NEOs, upon a “Change in Control” (as defined above) outstanding options and RSUs granted prior to 2025 shall become fully vested as of the date immediately prior to the Change in Control and unvested PRSUs shall be deemed to have earned at the greater of target level and actual level of performance as of the date immediately prior to the Change in Control, and the shares of stock subject to them shall be delivered immediately prior to the Change in Control. For all the NEOs, upon a termination by the Company without Cause or a resignation for Good reason during the two year period following a “Change in Control” (as defined above) outstanding options and RSUs granted during or after to 2025 shall become fully vested as of the date immediately prior to the Change in Control and unvested PRSUs shall be deemed to have earned at the greater of target level and actual level of performance. Notwithstanding the above, in connection with a Business Combination (the consummation of a reorganization, merger or consolidation or sale or other disposition of all or substantially all of the assets of the Company), if the entity resulting from such Business Combination does not assume the outstanding options, RSUs or PRSUs awards, and the Company’s obligations under the applicable award agreements or replace such awards with a substantially equivalent security of the entity resulting from such Business Combination, then the underlying awards will become 100% vested as of the day immediately prior to the date of such Business Combination and be payable in the form of shares of common stock, cash or a combination of both, as determined by the Committee.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Matthew Trerotola Retirement and Transition Arrangement</w:t>
      </w:r>
    </w:p>
    <w:p>
      <w:pPr>
        <w:spacing w:after="0" w:line="149" w:lineRule="exact"/>
        <w:rPr>
          <w:sz w:val="20"/>
          <w:szCs w:val="20"/>
          <w:color w:val="auto"/>
        </w:rPr>
      </w:pPr>
    </w:p>
    <w:p>
      <w:pPr>
        <w:jc w:val="both"/>
        <w:ind w:right="20"/>
        <w:spacing w:after="0" w:line="218" w:lineRule="auto"/>
        <w:rPr>
          <w:sz w:val="20"/>
          <w:szCs w:val="20"/>
          <w:color w:val="auto"/>
        </w:rPr>
      </w:pPr>
      <w:r>
        <w:rPr>
          <w:rFonts w:ascii="Arial" w:cs="Arial" w:eastAsia="Arial" w:hAnsi="Arial"/>
          <w:sz w:val="16"/>
          <w:szCs w:val="16"/>
          <w:color w:val="auto"/>
        </w:rPr>
        <w:t>As discussed above, Mr. Trerotola and the Company are party to a retirement and transition agreement, dated March 13, 2025, the pursuant to which Mr. Trerotola will continue to serve as an Executive Advisor to the Company through May 12, 2026. Pursuant to the agreement, Mr. Trerotola continued to receive his original annual base salary for 2025 through the second calendar month following the appointment of his successor, and thereafter, for the duration of the transition period, will receive a reduced base salary that is commensurate with his level of involvement in transition matters; provided that such reduced base salary shall not be less than 50% of his original 2025 base salary. Mr. Trerotola’s outstanding equity awards will continue to vest in accordance with the retirement provisions of his equity award agreements. In the event that Mr. Trerotola’s employment is terminated as a result of his death or disability, by the Company without “cause,” or by Trerotola following a material breach of the agreement by the Company, Mr. Trerotola shall be entitled to receive a single lump sum payment equal to his salary from the date of such termination through May 12, 2026 plus an amount equal to his pro-rata 2026 annual bonus based on target performance and vesting of all equity awards which would have vested through May 12, 2026.</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Patricia Lang Retirement and Transition Arrangement</w:t>
      </w:r>
    </w:p>
    <w:p>
      <w:pPr>
        <w:spacing w:after="0" w:line="135" w:lineRule="exact"/>
        <w:rPr>
          <w:sz w:val="20"/>
          <w:szCs w:val="20"/>
          <w:color w:val="auto"/>
        </w:rPr>
      </w:pPr>
    </w:p>
    <w:p>
      <w:pPr>
        <w:jc w:val="both"/>
        <w:spacing w:after="0" w:line="221" w:lineRule="auto"/>
        <w:rPr>
          <w:sz w:val="20"/>
          <w:szCs w:val="20"/>
          <w:color w:val="auto"/>
        </w:rPr>
      </w:pPr>
      <w:r>
        <w:rPr>
          <w:rFonts w:ascii="Arial" w:cs="Arial" w:eastAsia="Arial" w:hAnsi="Arial"/>
          <w:sz w:val="16"/>
          <w:szCs w:val="16"/>
          <w:color w:val="auto"/>
        </w:rPr>
        <w:t>As discussed above, Ms. Lang and the Company have are entered into a retirement and transition agreement, dated December 10, 2025. Effective April 3, 2026, Ms. Lang will transition from the position of the Company’s Senior Vice President and Chief Human Resources Officer to a non-executive, advisory role for the Company. Ms. Lang will continue to receive her full salary during the first 6 months of the transition period, while she mentors her replacement and completes other projects. For the remainder of the transition period her salary will be reduced to 50%. Ms. Lang will be eligible to receive a 2026 and 2027 (pro-rata) annual cash incentive award based on the Company’s actual performance. Ms. Lang’s equity award for 2026 was reduced to $600,000 and provided only in restricted stock units. Ms. Lang’s change in control agreement and the obligations of the Company thereunder remain in effect until her retirement. Ms. Lang will formally retire from the Company on April 3, 2027.</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Dan Pryor Separation Arrangement</w:t>
      </w:r>
    </w:p>
    <w:p>
      <w:pPr>
        <w:spacing w:after="0" w:line="149" w:lineRule="exact"/>
        <w:rPr>
          <w:sz w:val="20"/>
          <w:szCs w:val="20"/>
          <w:color w:val="auto"/>
        </w:rPr>
      </w:pPr>
    </w:p>
    <w:p>
      <w:pPr>
        <w:jc w:val="both"/>
        <w:ind w:right="20"/>
        <w:spacing w:after="0" w:line="221" w:lineRule="auto"/>
        <w:rPr>
          <w:sz w:val="20"/>
          <w:szCs w:val="20"/>
          <w:color w:val="auto"/>
        </w:rPr>
      </w:pPr>
      <w:r>
        <w:rPr>
          <w:rFonts w:ascii="Arial" w:cs="Arial" w:eastAsia="Arial" w:hAnsi="Arial"/>
          <w:sz w:val="16"/>
          <w:szCs w:val="16"/>
          <w:color w:val="auto"/>
        </w:rPr>
        <w:t>As discussed above, in connection with his departure from the Company, Mr. Pryor and the Company have entered into a Separation and General Release Agreement dated November 14, 2025. Mr. Pryor stepped down from his duties as an executive officer of the Company as of November 7, 2025. Pursuant to the agreement, Mr. Pryor will receive a lump sum payment equal to one times his base salary and his target annual incentive compensation (or, if greater, the average of the two highest actual annual incentive payments made to the executive during the last three years) (the “Pryor Severance Payment”). If the Mr. Pryor’s departure occurs within three (3) months prior to, or within two years following, a Change in Control, he we will be entitled to an additional lump sum cash payment equal to the Pryor Severance Payment”). Mr. Pryor will be eligible to receive a 2026 (pro-rata) annual cash incentive award based on the Company’s actual performance.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 of Payments</w:t>
      </w:r>
    </w:p>
    <w:p>
      <w:pPr>
        <w:spacing w:after="0" w:line="135" w:lineRule="exact"/>
        <w:rPr>
          <w:sz w:val="20"/>
          <w:szCs w:val="20"/>
          <w:color w:val="auto"/>
        </w:rPr>
      </w:pPr>
    </w:p>
    <w:p>
      <w:pPr>
        <w:jc w:val="both"/>
        <w:ind w:right="20"/>
        <w:spacing w:after="0" w:line="228" w:lineRule="auto"/>
        <w:rPr>
          <w:sz w:val="20"/>
          <w:szCs w:val="20"/>
          <w:color w:val="auto"/>
        </w:rPr>
      </w:pPr>
      <w:r>
        <w:rPr>
          <w:rFonts w:ascii="Arial" w:cs="Arial" w:eastAsia="Arial" w:hAnsi="Arial"/>
          <w:sz w:val="16"/>
          <w:szCs w:val="16"/>
          <w:color w:val="auto"/>
        </w:rPr>
        <w:t>The following table provides information related to compensation payable to Messrs. McDonald, Berry, Ross, Vogt and Ms. Lang, assuming termination of such executive’s employment on December 31, 2025, or assuming a change of control or corporate transaction with corresponding qualifying termination occurred on December 31, 2025. Amounts also assume the price of our common stock was $26.64, the closing price on December 31, 2025, the last trading day of the fiscal year.</w:t>
      </w:r>
    </w:p>
    <w:p>
      <w:pPr>
        <w:spacing w:after="0" w:line="165" w:lineRule="exact"/>
        <w:rPr>
          <w:sz w:val="20"/>
          <w:szCs w:val="20"/>
          <w:color w:val="auto"/>
        </w:rPr>
      </w:pPr>
    </w:p>
    <w:p>
      <w:pPr>
        <w:ind w:left="7520"/>
        <w:spacing w:after="0"/>
        <w:tabs>
          <w:tab w:leader="none" w:pos="10800" w:val="left"/>
        </w:tabs>
        <w:rPr>
          <w:sz w:val="20"/>
          <w:szCs w:val="20"/>
          <w:color w:val="auto"/>
        </w:rPr>
      </w:pPr>
      <w:r>
        <w:rPr>
          <w:sz w:val="1"/>
          <w:szCs w:val="1"/>
          <w:color w:val="auto"/>
        </w:rPr>
        <w:drawing>
          <wp:inline distT="0" distB="0" distL="0" distR="0">
            <wp:extent cx="685800" cy="162560"/>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0" cy="162560"/>
                    </a:xfrm>
                    <a:prstGeom prst="rect">
                      <a:avLst/>
                    </a:prstGeom>
                    <a:noFill/>
                    <a:ln>
                      <a:noFill/>
                    </a:ln>
                  </pic:spPr>
                </pic:pic>
              </a:graphicData>
            </a:graphic>
          </wp:inline>
        </w:drawing>
      </w:r>
      <w:r>
        <w:rPr>
          <w:rFonts w:ascii="Arial" w:cs="Arial" w:eastAsia="Arial" w:hAnsi="Arial"/>
          <w:sz w:val="18"/>
          <w:szCs w:val="18"/>
          <w:color w:val="auto"/>
        </w:rPr>
        <w:t xml:space="preserve"> - 2026 Proxy Statement</w:t>
      </w:r>
      <w:r>
        <w:rPr>
          <w:sz w:val="20"/>
          <w:szCs w:val="20"/>
          <w:color w:val="auto"/>
        </w:rPr>
        <w:tab/>
      </w: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-186690</wp:posOffset>
            </wp:positionV>
            <wp:extent cx="6995160" cy="3257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5160" cy="325755"/>
                    </a:xfrm>
                    <a:prstGeom prst="rect">
                      <a:avLst/>
                    </a:prstGeom>
                    <a:noFill/>
                  </pic:spPr>
                </pic:pic>
              </a:graphicData>
            </a:graphic>
          </wp:anchor>
        </w:drawing>
      </w:r>
    </w:p>
    <w:p>
      <w:pPr>
        <w:sectPr>
          <w:pgSz w:w="11900" w:h="16838" w:orient="portrait"/>
          <w:cols w:equalWidth="0" w:num="1">
            <w:col w:w="11020"/>
          </w:cols>
          <w:pgMar w:left="440" w:top="625" w:right="439" w:bottom="1440" w:gutter="0" w:footer="0" w:header="0"/>
        </w:sectPr>
      </w:pPr>
    </w:p>
    <w:bookmarkStart w:id="57" w:name="page58"/>
    <w:bookmarkEnd w:id="57"/>
    <w:p>
      <w:pPr>
        <w:ind w:left="4"/>
        <w:spacing w:after="0"/>
        <w:rPr>
          <w:sz w:val="20"/>
          <w:szCs w:val="20"/>
          <w:color w:val="auto"/>
        </w:rPr>
      </w:pPr>
      <w:r>
        <w:rPr>
          <w:rFonts w:ascii="Arial" w:cs="Arial" w:eastAsia="Arial" w:hAnsi="Arial"/>
          <w:sz w:val="32"/>
          <w:szCs w:val="32"/>
          <w:b w:val="1"/>
          <w:bCs w:val="1"/>
          <w:color w:val="C8102E"/>
        </w:rPr>
        <w:t>Potential Payments Upon Termination or Change of Control</w:t>
      </w:r>
    </w:p>
    <w:p>
      <w:pPr>
        <w:spacing w:after="0" w:line="153" w:lineRule="exact"/>
        <w:rPr>
          <w:sz w:val="20"/>
          <w:szCs w:val="20"/>
          <w:color w:val="auto"/>
        </w:rPr>
      </w:pPr>
    </w:p>
    <w:tbl>
      <w:tblPr>
        <w:tblLayout w:type="fixed"/>
        <w:tblInd w:w="4" w:type="dxa"/>
        <w:tblCellMar>
          <w:top w:w="0" w:type="dxa"/>
          <w:left w:w="0" w:type="dxa"/>
          <w:bottom w:w="0" w:type="dxa"/>
          <w:right w:w="0" w:type="dxa"/>
        </w:tblCellMar>
      </w:tblPr>
      <w:tr>
        <w:trPr>
          <w:trHeight w:val="184"/>
        </w:trPr>
        <w:tc>
          <w:tcPr>
            <w:tcW w:w="3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C8102E"/>
              </w:rPr>
              <w:t>Damien</w:t>
            </w:r>
          </w:p>
        </w:tc>
        <w:tc>
          <w:tcPr>
            <w:tcW w:w="15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C8102E"/>
              </w:rPr>
              <w:t>Phillip “Ben”</w:t>
            </w:r>
          </w:p>
        </w:tc>
        <w:tc>
          <w:tcPr>
            <w:tcW w:w="1520" w:type="dxa"/>
            <w:vAlign w:val="bottom"/>
            <w:gridSpan w:val="2"/>
            <w:vMerge w:val="restart"/>
          </w:tcPr>
          <w:p>
            <w:pPr>
              <w:ind w:left="360"/>
              <w:spacing w:after="0"/>
              <w:rPr>
                <w:sz w:val="20"/>
                <w:szCs w:val="20"/>
                <w:color w:val="auto"/>
              </w:rPr>
            </w:pPr>
            <w:r>
              <w:rPr>
                <w:rFonts w:ascii="Arial" w:cs="Arial" w:eastAsia="Arial" w:hAnsi="Arial"/>
                <w:sz w:val="16"/>
                <w:szCs w:val="16"/>
                <w:b w:val="1"/>
                <w:bCs w:val="1"/>
                <w:color w:val="C8102E"/>
              </w:rPr>
              <w:t>Terry Ross</w:t>
            </w:r>
          </w:p>
        </w:tc>
        <w:tc>
          <w:tcPr>
            <w:tcW w:w="15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C8102E"/>
              </w:rPr>
              <w:t>Patricia A.</w:t>
            </w: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540" w:type="dxa"/>
            <w:vAlign w:val="bottom"/>
            <w:gridSpan w:val="2"/>
            <w:vMerge w:val="restart"/>
          </w:tcPr>
          <w:p>
            <w:pPr>
              <w:spacing w:after="0"/>
              <w:rPr>
                <w:sz w:val="20"/>
                <w:szCs w:val="20"/>
                <w:color w:val="auto"/>
              </w:rPr>
            </w:pPr>
            <w:r>
              <w:rPr>
                <w:rFonts w:ascii="Arial" w:cs="Arial" w:eastAsia="Arial" w:hAnsi="Arial"/>
                <w:sz w:val="16"/>
                <w:szCs w:val="16"/>
                <w:b w:val="1"/>
                <w:bCs w:val="1"/>
                <w:color w:val="C8102E"/>
              </w:rPr>
              <w:t> Executive</w:t>
            </w:r>
          </w:p>
        </w:tc>
        <w:tc>
          <w:tcPr>
            <w:tcW w:w="1580" w:type="dxa"/>
            <w:vAlign w:val="bottom"/>
            <w:gridSpan w:val="2"/>
          </w:tcPr>
          <w:p>
            <w:pPr>
              <w:jc w:val="right"/>
              <w:ind w:right="360"/>
              <w:spacing w:after="0" w:line="162" w:lineRule="exact"/>
              <w:rPr>
                <w:sz w:val="20"/>
                <w:szCs w:val="20"/>
                <w:color w:val="auto"/>
              </w:rPr>
            </w:pPr>
            <w:r>
              <w:rPr>
                <w:rFonts w:ascii="Arial" w:cs="Arial" w:eastAsia="Arial" w:hAnsi="Arial"/>
                <w:sz w:val="16"/>
                <w:szCs w:val="16"/>
                <w:b w:val="1"/>
                <w:bCs w:val="1"/>
                <w:color w:val="C8102E"/>
              </w:rPr>
              <w:t>McDonald</w:t>
            </w:r>
          </w:p>
        </w:tc>
        <w:tc>
          <w:tcPr>
            <w:tcW w:w="1540" w:type="dxa"/>
            <w:vAlign w:val="bottom"/>
            <w:gridSpan w:val="2"/>
          </w:tcPr>
          <w:p>
            <w:pPr>
              <w:jc w:val="right"/>
              <w:ind w:right="340"/>
              <w:spacing w:after="0" w:line="162" w:lineRule="exact"/>
              <w:rPr>
                <w:sz w:val="20"/>
                <w:szCs w:val="20"/>
                <w:color w:val="auto"/>
              </w:rPr>
            </w:pPr>
            <w:r>
              <w:rPr>
                <w:rFonts w:ascii="Arial" w:cs="Arial" w:eastAsia="Arial" w:hAnsi="Arial"/>
                <w:sz w:val="16"/>
                <w:szCs w:val="16"/>
                <w:b w:val="1"/>
                <w:bCs w:val="1"/>
                <w:color w:val="C8102E"/>
              </w:rPr>
              <w:t>Berry</w:t>
            </w:r>
          </w:p>
        </w:tc>
        <w:tc>
          <w:tcPr>
            <w:tcW w:w="1520" w:type="dxa"/>
            <w:vAlign w:val="bottom"/>
            <w:gridSpan w:val="2"/>
            <w:vMerge w:val="continue"/>
          </w:tcPr>
          <w:p>
            <w:pPr>
              <w:spacing w:after="0"/>
              <w:rPr>
                <w:sz w:val="14"/>
                <w:szCs w:val="14"/>
                <w:color w:val="auto"/>
              </w:rPr>
            </w:pPr>
          </w:p>
        </w:tc>
        <w:tc>
          <w:tcPr>
            <w:tcW w:w="1520" w:type="dxa"/>
            <w:vAlign w:val="bottom"/>
            <w:gridSpan w:val="2"/>
          </w:tcPr>
          <w:p>
            <w:pPr>
              <w:jc w:val="right"/>
              <w:ind w:right="320"/>
              <w:spacing w:after="0" w:line="162" w:lineRule="exact"/>
              <w:rPr>
                <w:sz w:val="20"/>
                <w:szCs w:val="20"/>
                <w:color w:val="auto"/>
              </w:rPr>
            </w:pPr>
            <w:r>
              <w:rPr>
                <w:rFonts w:ascii="Arial" w:cs="Arial" w:eastAsia="Arial" w:hAnsi="Arial"/>
                <w:sz w:val="16"/>
                <w:szCs w:val="16"/>
                <w:b w:val="1"/>
                <w:bCs w:val="1"/>
                <w:color w:val="C8102E"/>
              </w:rPr>
              <w:t>Lang</w:t>
            </w:r>
          </w:p>
        </w:tc>
        <w:tc>
          <w:tcPr>
            <w:tcW w:w="1320" w:type="dxa"/>
            <w:vAlign w:val="bottom"/>
            <w:gridSpan w:val="2"/>
            <w:vMerge w:val="restart"/>
          </w:tcPr>
          <w:p>
            <w:pPr>
              <w:jc w:val="right"/>
              <w:ind w:right="120"/>
              <w:spacing w:after="0"/>
              <w:rPr>
                <w:sz w:val="20"/>
                <w:szCs w:val="20"/>
                <w:color w:val="auto"/>
              </w:rPr>
            </w:pPr>
            <w:r>
              <w:rPr>
                <w:rFonts w:ascii="Arial" w:cs="Arial" w:eastAsia="Arial" w:hAnsi="Arial"/>
                <w:sz w:val="16"/>
                <w:szCs w:val="16"/>
                <w:b w:val="1"/>
                <w:bCs w:val="1"/>
                <w:color w:val="C8102E"/>
              </w:rPr>
              <w:t>Louis Vogt ($)</w:t>
            </w:r>
          </w:p>
        </w:tc>
        <w:tc>
          <w:tcPr>
            <w:tcW w:w="0" w:type="dxa"/>
            <w:vAlign w:val="bottom"/>
          </w:tcPr>
          <w:p>
            <w:pPr>
              <w:spacing w:after="0"/>
              <w:rPr>
                <w:sz w:val="1"/>
                <w:szCs w:val="1"/>
                <w:color w:val="auto"/>
              </w:rPr>
            </w:pPr>
          </w:p>
        </w:tc>
      </w:tr>
      <w:tr>
        <w:trPr>
          <w:trHeight w:val="189"/>
        </w:trPr>
        <w:tc>
          <w:tcPr>
            <w:tcW w:w="3540" w:type="dxa"/>
            <w:vAlign w:val="bottom"/>
            <w:gridSpan w:val="2"/>
            <w:vMerge w:val="continue"/>
          </w:tcPr>
          <w:p>
            <w:pPr>
              <w:spacing w:after="0"/>
              <w:rPr>
                <w:sz w:val="16"/>
                <w:szCs w:val="16"/>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C8102E"/>
              </w:rPr>
              <w:t>($)</w:t>
            </w:r>
          </w:p>
        </w:tc>
        <w:tc>
          <w:tcPr>
            <w:tcW w:w="15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C8102E"/>
              </w:rPr>
              <w:t>($)</w:t>
            </w:r>
          </w:p>
        </w:tc>
        <w:tc>
          <w:tcPr>
            <w:tcW w:w="15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C8102E"/>
              </w:rPr>
              <w:t>($)</w:t>
            </w:r>
          </w:p>
        </w:tc>
        <w:tc>
          <w:tcPr>
            <w:tcW w:w="15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C8102E"/>
              </w:rPr>
              <w:t>($)</w:t>
            </w:r>
          </w:p>
        </w:tc>
        <w:tc>
          <w:tcPr>
            <w:tcW w:w="13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300" w:type="dxa"/>
            <w:vAlign w:val="bottom"/>
            <w:tcBorders>
              <w:top w:val="single" w:sz="8" w:color="auto"/>
            </w:tcBorders>
            <w:shd w:val="clear" w:color="auto" w:fill="EDEDEE"/>
          </w:tcPr>
          <w:p>
            <w:pPr>
              <w:spacing w:after="0" w:line="168" w:lineRule="exact"/>
              <w:rPr>
                <w:sz w:val="20"/>
                <w:szCs w:val="20"/>
                <w:color w:val="auto"/>
              </w:rPr>
            </w:pPr>
            <w:r>
              <w:rPr>
                <w:rFonts w:ascii="Arial" w:cs="Arial" w:eastAsia="Arial" w:hAnsi="Arial"/>
                <w:sz w:val="16"/>
                <w:szCs w:val="16"/>
                <w:b w:val="1"/>
                <w:bCs w:val="1"/>
                <w:color w:val="auto"/>
              </w:rPr>
              <w:t> Employment Agreement/Severance Plan</w:t>
            </w:r>
          </w:p>
        </w:tc>
        <w:tc>
          <w:tcPr>
            <w:tcW w:w="240" w:type="dxa"/>
            <w:vAlign w:val="bottom"/>
            <w:tcBorders>
              <w:top w:val="single" w:sz="8" w:color="EDEDEE"/>
            </w:tcBorders>
            <w:shd w:val="clear" w:color="auto" w:fill="EDEDEE"/>
          </w:tcPr>
          <w:p>
            <w:pPr>
              <w:spacing w:after="0"/>
              <w:rPr>
                <w:sz w:val="14"/>
                <w:szCs w:val="14"/>
                <w:color w:val="auto"/>
              </w:rPr>
            </w:pPr>
          </w:p>
        </w:tc>
        <w:tc>
          <w:tcPr>
            <w:tcW w:w="1220" w:type="dxa"/>
            <w:vAlign w:val="bottom"/>
            <w:tcBorders>
              <w:top w:val="single" w:sz="8" w:color="auto"/>
            </w:tcBorders>
            <w:shd w:val="clear" w:color="auto" w:fill="EDEDEE"/>
          </w:tcPr>
          <w:p>
            <w:pPr>
              <w:spacing w:after="0"/>
              <w:rPr>
                <w:sz w:val="14"/>
                <w:szCs w:val="14"/>
                <w:color w:val="auto"/>
              </w:rPr>
            </w:pPr>
          </w:p>
        </w:tc>
        <w:tc>
          <w:tcPr>
            <w:tcW w:w="360" w:type="dxa"/>
            <w:vAlign w:val="bottom"/>
            <w:tcBorders>
              <w:top w:val="single" w:sz="8" w:color="EDEDEE"/>
            </w:tcBorders>
            <w:shd w:val="clear" w:color="auto" w:fill="EDEDEE"/>
          </w:tcPr>
          <w:p>
            <w:pPr>
              <w:spacing w:after="0"/>
              <w:rPr>
                <w:sz w:val="14"/>
                <w:szCs w:val="14"/>
                <w:color w:val="auto"/>
              </w:rPr>
            </w:pPr>
          </w:p>
        </w:tc>
        <w:tc>
          <w:tcPr>
            <w:tcW w:w="1200" w:type="dxa"/>
            <w:vAlign w:val="bottom"/>
            <w:tcBorders>
              <w:top w:val="single" w:sz="8" w:color="auto"/>
            </w:tcBorders>
            <w:shd w:val="clear" w:color="auto" w:fill="EDEDEE"/>
          </w:tcPr>
          <w:p>
            <w:pPr>
              <w:spacing w:after="0"/>
              <w:rPr>
                <w:sz w:val="14"/>
                <w:szCs w:val="14"/>
                <w:color w:val="auto"/>
              </w:rPr>
            </w:pPr>
          </w:p>
        </w:tc>
        <w:tc>
          <w:tcPr>
            <w:tcW w:w="340" w:type="dxa"/>
            <w:vAlign w:val="bottom"/>
            <w:tcBorders>
              <w:top w:val="single" w:sz="8" w:color="EDEDEE"/>
            </w:tcBorders>
            <w:shd w:val="clear" w:color="auto" w:fill="EDEDEE"/>
          </w:tcPr>
          <w:p>
            <w:pPr>
              <w:spacing w:after="0"/>
              <w:rPr>
                <w:sz w:val="14"/>
                <w:szCs w:val="14"/>
                <w:color w:val="auto"/>
              </w:rPr>
            </w:pPr>
          </w:p>
        </w:tc>
        <w:tc>
          <w:tcPr>
            <w:tcW w:w="1200" w:type="dxa"/>
            <w:vAlign w:val="bottom"/>
            <w:tcBorders>
              <w:top w:val="single" w:sz="8" w:color="auto"/>
            </w:tcBorders>
            <w:shd w:val="clear" w:color="auto" w:fill="EDEDEE"/>
          </w:tcPr>
          <w:p>
            <w:pPr>
              <w:spacing w:after="0"/>
              <w:rPr>
                <w:sz w:val="14"/>
                <w:szCs w:val="14"/>
                <w:color w:val="auto"/>
              </w:rPr>
            </w:pPr>
          </w:p>
        </w:tc>
        <w:tc>
          <w:tcPr>
            <w:tcW w:w="320" w:type="dxa"/>
            <w:vAlign w:val="bottom"/>
            <w:tcBorders>
              <w:top w:val="single" w:sz="8" w:color="EDEDEE"/>
            </w:tcBorders>
            <w:shd w:val="clear" w:color="auto" w:fill="EDEDEE"/>
          </w:tcPr>
          <w:p>
            <w:pPr>
              <w:spacing w:after="0"/>
              <w:rPr>
                <w:sz w:val="14"/>
                <w:szCs w:val="14"/>
                <w:color w:val="auto"/>
              </w:rPr>
            </w:pPr>
          </w:p>
        </w:tc>
        <w:tc>
          <w:tcPr>
            <w:tcW w:w="1200" w:type="dxa"/>
            <w:vAlign w:val="bottom"/>
            <w:tcBorders>
              <w:top w:val="single" w:sz="8" w:color="auto"/>
            </w:tcBorders>
            <w:shd w:val="clear" w:color="auto" w:fill="EDEDEE"/>
          </w:tcPr>
          <w:p>
            <w:pPr>
              <w:spacing w:after="0"/>
              <w:rPr>
                <w:sz w:val="14"/>
                <w:szCs w:val="14"/>
                <w:color w:val="auto"/>
              </w:rPr>
            </w:pPr>
          </w:p>
        </w:tc>
        <w:tc>
          <w:tcPr>
            <w:tcW w:w="320" w:type="dxa"/>
            <w:vAlign w:val="bottom"/>
            <w:tcBorders>
              <w:top w:val="single" w:sz="8" w:color="EDEDEE"/>
            </w:tcBorders>
            <w:shd w:val="clear" w:color="auto" w:fill="EDEDEE"/>
          </w:tcPr>
          <w:p>
            <w:pPr>
              <w:spacing w:after="0"/>
              <w:rPr>
                <w:sz w:val="14"/>
                <w:szCs w:val="14"/>
                <w:color w:val="auto"/>
              </w:rPr>
            </w:pPr>
          </w:p>
        </w:tc>
        <w:tc>
          <w:tcPr>
            <w:tcW w:w="1200" w:type="dxa"/>
            <w:vAlign w:val="bottom"/>
            <w:tcBorders>
              <w:top w:val="single" w:sz="8" w:color="auto"/>
            </w:tcBorders>
            <w:shd w:val="clear" w:color="auto" w:fill="EDEDEE"/>
          </w:tcPr>
          <w:p>
            <w:pPr>
              <w:spacing w:after="0"/>
              <w:rPr>
                <w:sz w:val="14"/>
                <w:szCs w:val="14"/>
                <w:color w:val="auto"/>
              </w:rPr>
            </w:pPr>
          </w:p>
        </w:tc>
        <w:tc>
          <w:tcPr>
            <w:tcW w:w="120" w:type="dxa"/>
            <w:vAlign w:val="bottom"/>
            <w:tcBorders>
              <w:top w:val="single" w:sz="8" w:color="EDEDEE"/>
            </w:tcBorders>
            <w:shd w:val="clear" w:color="auto" w:fill="EDEDE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540" w:type="dxa"/>
            <w:vAlign w:val="bottom"/>
            <w:gridSpan w:val="2"/>
            <w:shd w:val="clear" w:color="auto" w:fill="EDEDEE"/>
          </w:tcPr>
          <w:p>
            <w:pPr>
              <w:spacing w:after="0"/>
              <w:rPr>
                <w:sz w:val="20"/>
                <w:szCs w:val="20"/>
                <w:color w:val="auto"/>
              </w:rPr>
            </w:pPr>
            <w:r>
              <w:rPr>
                <w:rFonts w:ascii="Arial" w:cs="Arial" w:eastAsia="Arial" w:hAnsi="Arial"/>
                <w:sz w:val="16"/>
                <w:szCs w:val="16"/>
                <w:b w:val="1"/>
                <w:bCs w:val="1"/>
                <w:color w:val="auto"/>
              </w:rPr>
              <w:t>Benefits:</w:t>
            </w:r>
          </w:p>
        </w:tc>
        <w:tc>
          <w:tcPr>
            <w:tcW w:w="1220" w:type="dxa"/>
            <w:vAlign w:val="bottom"/>
            <w:shd w:val="clear" w:color="auto" w:fill="EDEDEE"/>
          </w:tcPr>
          <w:p>
            <w:pPr>
              <w:spacing w:after="0"/>
              <w:rPr>
                <w:sz w:val="17"/>
                <w:szCs w:val="17"/>
                <w:color w:val="auto"/>
              </w:rPr>
            </w:pPr>
          </w:p>
        </w:tc>
        <w:tc>
          <w:tcPr>
            <w:tcW w:w="360" w:type="dxa"/>
            <w:vAlign w:val="bottom"/>
            <w:shd w:val="clear" w:color="auto" w:fill="EDEDEE"/>
          </w:tcPr>
          <w:p>
            <w:pPr>
              <w:spacing w:after="0"/>
              <w:rPr>
                <w:sz w:val="17"/>
                <w:szCs w:val="17"/>
                <w:color w:val="auto"/>
              </w:rPr>
            </w:pPr>
          </w:p>
        </w:tc>
        <w:tc>
          <w:tcPr>
            <w:tcW w:w="1200" w:type="dxa"/>
            <w:vAlign w:val="bottom"/>
            <w:shd w:val="clear" w:color="auto" w:fill="EDEDEE"/>
          </w:tcPr>
          <w:p>
            <w:pPr>
              <w:spacing w:after="0"/>
              <w:rPr>
                <w:sz w:val="17"/>
                <w:szCs w:val="17"/>
                <w:color w:val="auto"/>
              </w:rPr>
            </w:pPr>
          </w:p>
        </w:tc>
        <w:tc>
          <w:tcPr>
            <w:tcW w:w="340" w:type="dxa"/>
            <w:vAlign w:val="bottom"/>
            <w:shd w:val="clear" w:color="auto" w:fill="EDEDEE"/>
          </w:tcPr>
          <w:p>
            <w:pPr>
              <w:spacing w:after="0"/>
              <w:rPr>
                <w:sz w:val="17"/>
                <w:szCs w:val="17"/>
                <w:color w:val="auto"/>
              </w:rPr>
            </w:pPr>
          </w:p>
        </w:tc>
        <w:tc>
          <w:tcPr>
            <w:tcW w:w="1200" w:type="dxa"/>
            <w:vAlign w:val="bottom"/>
            <w:shd w:val="clear" w:color="auto" w:fill="EDEDEE"/>
          </w:tcPr>
          <w:p>
            <w:pPr>
              <w:spacing w:after="0"/>
              <w:rPr>
                <w:sz w:val="17"/>
                <w:szCs w:val="17"/>
                <w:color w:val="auto"/>
              </w:rPr>
            </w:pPr>
          </w:p>
        </w:tc>
        <w:tc>
          <w:tcPr>
            <w:tcW w:w="320" w:type="dxa"/>
            <w:vAlign w:val="bottom"/>
            <w:shd w:val="clear" w:color="auto" w:fill="EDEDEE"/>
          </w:tcPr>
          <w:p>
            <w:pPr>
              <w:spacing w:after="0"/>
              <w:rPr>
                <w:sz w:val="17"/>
                <w:szCs w:val="17"/>
                <w:color w:val="auto"/>
              </w:rPr>
            </w:pPr>
          </w:p>
        </w:tc>
        <w:tc>
          <w:tcPr>
            <w:tcW w:w="1200" w:type="dxa"/>
            <w:vAlign w:val="bottom"/>
            <w:shd w:val="clear" w:color="auto" w:fill="EDEDEE"/>
          </w:tcPr>
          <w:p>
            <w:pPr>
              <w:spacing w:after="0"/>
              <w:rPr>
                <w:sz w:val="17"/>
                <w:szCs w:val="17"/>
                <w:color w:val="auto"/>
              </w:rPr>
            </w:pPr>
          </w:p>
        </w:tc>
        <w:tc>
          <w:tcPr>
            <w:tcW w:w="320" w:type="dxa"/>
            <w:vAlign w:val="bottom"/>
            <w:shd w:val="clear" w:color="auto" w:fill="EDEDEE"/>
          </w:tcPr>
          <w:p>
            <w:pPr>
              <w:spacing w:after="0"/>
              <w:rPr>
                <w:sz w:val="17"/>
                <w:szCs w:val="17"/>
                <w:color w:val="auto"/>
              </w:rPr>
            </w:pPr>
          </w:p>
        </w:tc>
        <w:tc>
          <w:tcPr>
            <w:tcW w:w="1200" w:type="dxa"/>
            <w:vAlign w:val="bottom"/>
            <w:shd w:val="clear" w:color="auto" w:fill="EDEDEE"/>
          </w:tcPr>
          <w:p>
            <w:pPr>
              <w:spacing w:after="0"/>
              <w:rPr>
                <w:sz w:val="17"/>
                <w:szCs w:val="17"/>
                <w:color w:val="auto"/>
              </w:rPr>
            </w:pPr>
          </w:p>
        </w:tc>
        <w:tc>
          <w:tcPr>
            <w:tcW w:w="120" w:type="dxa"/>
            <w:vAlign w:val="bottom"/>
            <w:shd w:val="clear" w:color="auto" w:fill="EDEDEE"/>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3540" w:type="dxa"/>
            <w:vAlign w:val="bottom"/>
            <w:gridSpan w:val="2"/>
          </w:tcPr>
          <w:p>
            <w:pPr>
              <w:spacing w:after="0" w:line="177" w:lineRule="exact"/>
              <w:rPr>
                <w:sz w:val="20"/>
                <w:szCs w:val="20"/>
                <w:color w:val="auto"/>
              </w:rPr>
            </w:pPr>
            <w:r>
              <w:rPr>
                <w:rFonts w:ascii="Arial" w:cs="Arial" w:eastAsia="Arial" w:hAnsi="Arial"/>
                <w:sz w:val="16"/>
                <w:szCs w:val="16"/>
                <w:b w:val="1"/>
                <w:bCs w:val="1"/>
                <w:i w:val="1"/>
                <w:iCs w:val="1"/>
                <w:color w:val="auto"/>
              </w:rPr>
              <w:t> Termination without “cause” or for “good</w:t>
            </w: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54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reason”</w:t>
            </w: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540" w:type="dxa"/>
            <w:vAlign w:val="bottom"/>
            <w:gridSpan w:val="2"/>
            <w:shd w:val="clear" w:color="auto" w:fill="EDEDEE"/>
          </w:tcPr>
          <w:p>
            <w:pPr>
              <w:spacing w:after="0" w:line="148" w:lineRule="exact"/>
              <w:rPr>
                <w:sz w:val="20"/>
                <w:szCs w:val="20"/>
                <w:color w:val="auto"/>
              </w:rPr>
            </w:pPr>
            <w:r>
              <w:rPr>
                <w:rFonts w:ascii="Arial" w:cs="Arial" w:eastAsia="Arial" w:hAnsi="Arial"/>
                <w:sz w:val="16"/>
                <w:szCs w:val="16"/>
                <w:color w:val="auto"/>
              </w:rPr>
              <w:t> Payment Over 24 Months/Lump Sum</w:t>
            </w:r>
          </w:p>
        </w:tc>
        <w:tc>
          <w:tcPr>
            <w:tcW w:w="1580" w:type="dxa"/>
            <w:vAlign w:val="bottom"/>
            <w:gridSpan w:val="2"/>
            <w:vMerge w:val="restart"/>
            <w:shd w:val="clear" w:color="auto" w:fill="EDEDEE"/>
          </w:tcPr>
          <w:p>
            <w:pPr>
              <w:jc w:val="right"/>
              <w:ind w:right="360"/>
              <w:spacing w:after="0"/>
              <w:rPr>
                <w:sz w:val="20"/>
                <w:szCs w:val="20"/>
                <w:color w:val="auto"/>
              </w:rPr>
            </w:pPr>
            <w:r>
              <w:rPr>
                <w:rFonts w:ascii="Arial" w:cs="Arial" w:eastAsia="Arial" w:hAnsi="Arial"/>
                <w:sz w:val="16"/>
                <w:szCs w:val="16"/>
                <w:color w:val="auto"/>
              </w:rPr>
              <w:t>1,442,466</w:t>
            </w:r>
          </w:p>
        </w:tc>
        <w:tc>
          <w:tcPr>
            <w:tcW w:w="1540" w:type="dxa"/>
            <w:vAlign w:val="bottom"/>
            <w:gridSpan w:val="2"/>
            <w:vMerge w:val="restart"/>
            <w:shd w:val="clear" w:color="auto" w:fill="EDEDEE"/>
          </w:tcPr>
          <w:p>
            <w:pPr>
              <w:jc w:val="right"/>
              <w:ind w:right="340"/>
              <w:spacing w:after="0"/>
              <w:rPr>
                <w:sz w:val="20"/>
                <w:szCs w:val="20"/>
                <w:color w:val="auto"/>
              </w:rPr>
            </w:pPr>
            <w:r>
              <w:rPr>
                <w:rFonts w:ascii="Arial" w:cs="Arial" w:eastAsia="Arial" w:hAnsi="Arial"/>
                <w:sz w:val="16"/>
                <w:szCs w:val="16"/>
                <w:color w:val="auto"/>
              </w:rPr>
              <w:t>1,067,500</w:t>
            </w:r>
          </w:p>
        </w:tc>
        <w:tc>
          <w:tcPr>
            <w:tcW w:w="1520" w:type="dxa"/>
            <w:vAlign w:val="bottom"/>
            <w:gridSpan w:val="2"/>
            <w:vMerge w:val="restart"/>
            <w:shd w:val="clear" w:color="auto" w:fill="EDEDEE"/>
          </w:tcPr>
          <w:p>
            <w:pPr>
              <w:jc w:val="right"/>
              <w:ind w:right="320"/>
              <w:spacing w:after="0"/>
              <w:rPr>
                <w:sz w:val="20"/>
                <w:szCs w:val="20"/>
                <w:color w:val="auto"/>
              </w:rPr>
            </w:pPr>
            <w:r>
              <w:rPr>
                <w:rFonts w:ascii="Arial" w:cs="Arial" w:eastAsia="Arial" w:hAnsi="Arial"/>
                <w:sz w:val="16"/>
                <w:szCs w:val="16"/>
                <w:color w:val="auto"/>
              </w:rPr>
              <w:t>910,000</w:t>
            </w:r>
          </w:p>
        </w:tc>
        <w:tc>
          <w:tcPr>
            <w:tcW w:w="1200" w:type="dxa"/>
            <w:vAlign w:val="bottom"/>
            <w:vMerge w:val="restart"/>
            <w:shd w:val="clear" w:color="auto" w:fill="EDEDEE"/>
          </w:tcPr>
          <w:p>
            <w:pPr>
              <w:jc w:val="right"/>
              <w:spacing w:after="0"/>
              <w:rPr>
                <w:sz w:val="20"/>
                <w:szCs w:val="20"/>
                <w:color w:val="auto"/>
              </w:rPr>
            </w:pPr>
            <w:r>
              <w:rPr>
                <w:rFonts w:ascii="Arial" w:cs="Arial" w:eastAsia="Arial" w:hAnsi="Arial"/>
                <w:sz w:val="16"/>
                <w:szCs w:val="16"/>
                <w:color w:val="auto"/>
              </w:rPr>
              <w:t>858,500</w:t>
            </w:r>
          </w:p>
        </w:tc>
        <w:tc>
          <w:tcPr>
            <w:tcW w:w="320" w:type="dxa"/>
            <w:vAlign w:val="bottom"/>
            <w:shd w:val="clear" w:color="auto" w:fill="EDEDEE"/>
          </w:tcPr>
          <w:p>
            <w:pPr>
              <w:spacing w:after="0"/>
              <w:rPr>
                <w:sz w:val="12"/>
                <w:szCs w:val="12"/>
                <w:color w:val="auto"/>
              </w:rPr>
            </w:pPr>
          </w:p>
        </w:tc>
        <w:tc>
          <w:tcPr>
            <w:tcW w:w="1320" w:type="dxa"/>
            <w:vAlign w:val="bottom"/>
            <w:gridSpan w:val="2"/>
            <w:vMerge w:val="restart"/>
            <w:shd w:val="clear" w:color="auto" w:fill="EDEDEE"/>
          </w:tcPr>
          <w:p>
            <w:pPr>
              <w:jc w:val="right"/>
              <w:ind w:right="120"/>
              <w:spacing w:after="0"/>
              <w:rPr>
                <w:sz w:val="20"/>
                <w:szCs w:val="20"/>
                <w:color w:val="auto"/>
              </w:rPr>
            </w:pPr>
            <w:r>
              <w:rPr>
                <w:rFonts w:ascii="Arial" w:cs="Arial" w:eastAsia="Arial" w:hAnsi="Arial"/>
                <w:sz w:val="16"/>
                <w:szCs w:val="16"/>
                <w:color w:val="auto"/>
              </w:rPr>
              <w:t>875,000</w:t>
            </w:r>
          </w:p>
        </w:tc>
        <w:tc>
          <w:tcPr>
            <w:tcW w:w="0" w:type="dxa"/>
            <w:vAlign w:val="bottom"/>
          </w:tcPr>
          <w:p>
            <w:pPr>
              <w:spacing w:after="0"/>
              <w:rPr>
                <w:sz w:val="1"/>
                <w:szCs w:val="1"/>
                <w:color w:val="auto"/>
              </w:rPr>
            </w:pPr>
          </w:p>
        </w:tc>
      </w:tr>
      <w:tr>
        <w:trPr>
          <w:trHeight w:val="190"/>
        </w:trPr>
        <w:tc>
          <w:tcPr>
            <w:tcW w:w="3540" w:type="dxa"/>
            <w:vAlign w:val="bottom"/>
            <w:gridSpan w:val="2"/>
            <w:shd w:val="clear" w:color="auto" w:fill="EDEDEE"/>
          </w:tcPr>
          <w:p>
            <w:pPr>
              <w:spacing w:after="0" w:line="189" w:lineRule="exact"/>
              <w:rPr>
                <w:sz w:val="20"/>
                <w:szCs w:val="20"/>
                <w:color w:val="auto"/>
              </w:rPr>
            </w:pPr>
            <w:r>
              <w:rPr>
                <w:rFonts w:ascii="Arial" w:cs="Arial" w:eastAsia="Arial" w:hAnsi="Arial"/>
                <w:sz w:val="16"/>
                <w:szCs w:val="16"/>
                <w:color w:val="auto"/>
              </w:rPr>
              <w:t>Payment</w:t>
            </w:r>
            <w:r>
              <w:rPr>
                <w:rFonts w:ascii="Arial" w:cs="Arial" w:eastAsia="Arial" w:hAnsi="Arial"/>
                <w:sz w:val="20"/>
                <w:szCs w:val="20"/>
                <w:color w:val="auto"/>
                <w:vertAlign w:val="superscript"/>
              </w:rPr>
              <w:t>(1)</w:t>
            </w:r>
          </w:p>
        </w:tc>
        <w:tc>
          <w:tcPr>
            <w:tcW w:w="1580" w:type="dxa"/>
            <w:vAlign w:val="bottom"/>
            <w:gridSpan w:val="2"/>
            <w:vMerge w:val="continue"/>
            <w:shd w:val="clear" w:color="auto" w:fill="EDEDEE"/>
          </w:tcPr>
          <w:p>
            <w:pPr>
              <w:spacing w:after="0"/>
              <w:rPr>
                <w:sz w:val="16"/>
                <w:szCs w:val="16"/>
                <w:color w:val="auto"/>
              </w:rPr>
            </w:pPr>
          </w:p>
        </w:tc>
        <w:tc>
          <w:tcPr>
            <w:tcW w:w="1540" w:type="dxa"/>
            <w:vAlign w:val="bottom"/>
            <w:gridSpan w:val="2"/>
            <w:vMerge w:val="continue"/>
            <w:shd w:val="clear" w:color="auto" w:fill="EDEDEE"/>
          </w:tcPr>
          <w:p>
            <w:pPr>
              <w:spacing w:after="0"/>
              <w:rPr>
                <w:sz w:val="16"/>
                <w:szCs w:val="16"/>
                <w:color w:val="auto"/>
              </w:rPr>
            </w:pPr>
          </w:p>
        </w:tc>
        <w:tc>
          <w:tcPr>
            <w:tcW w:w="1520" w:type="dxa"/>
            <w:vAlign w:val="bottom"/>
            <w:gridSpan w:val="2"/>
            <w:vMerge w:val="continue"/>
            <w:shd w:val="clear" w:color="auto" w:fill="EDEDEE"/>
          </w:tcPr>
          <w:p>
            <w:pPr>
              <w:spacing w:after="0"/>
              <w:rPr>
                <w:sz w:val="16"/>
                <w:szCs w:val="16"/>
                <w:color w:val="auto"/>
              </w:rPr>
            </w:pPr>
          </w:p>
        </w:tc>
        <w:tc>
          <w:tcPr>
            <w:tcW w:w="1200" w:type="dxa"/>
            <w:vAlign w:val="bottom"/>
            <w:vMerge w:val="continue"/>
            <w:shd w:val="clear" w:color="auto" w:fill="EDEDEE"/>
          </w:tcPr>
          <w:p>
            <w:pPr>
              <w:spacing w:after="0"/>
              <w:rPr>
                <w:sz w:val="16"/>
                <w:szCs w:val="16"/>
                <w:color w:val="auto"/>
              </w:rPr>
            </w:pPr>
          </w:p>
        </w:tc>
        <w:tc>
          <w:tcPr>
            <w:tcW w:w="320" w:type="dxa"/>
            <w:vAlign w:val="bottom"/>
            <w:shd w:val="clear" w:color="auto" w:fill="EDEDEE"/>
          </w:tcPr>
          <w:p>
            <w:pPr>
              <w:spacing w:after="0"/>
              <w:rPr>
                <w:sz w:val="16"/>
                <w:szCs w:val="16"/>
                <w:color w:val="auto"/>
              </w:rPr>
            </w:pPr>
          </w:p>
        </w:tc>
        <w:tc>
          <w:tcPr>
            <w:tcW w:w="1320" w:type="dxa"/>
            <w:vAlign w:val="bottom"/>
            <w:gridSpan w:val="2"/>
            <w:vMerge w:val="continue"/>
            <w:shd w:val="clear" w:color="auto" w:fill="EDEDE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40" w:type="dxa"/>
            <w:vAlign w:val="bottom"/>
            <w:gridSpan w:val="2"/>
          </w:tcPr>
          <w:p>
            <w:pPr>
              <w:spacing w:after="0" w:line="189" w:lineRule="exact"/>
              <w:rPr>
                <w:sz w:val="20"/>
                <w:szCs w:val="20"/>
                <w:color w:val="auto"/>
              </w:rPr>
            </w:pPr>
            <w:r>
              <w:rPr>
                <w:rFonts w:ascii="Arial" w:cs="Arial" w:eastAsia="Arial" w:hAnsi="Arial"/>
                <w:sz w:val="16"/>
                <w:szCs w:val="16"/>
                <w:color w:val="auto"/>
              </w:rPr>
              <w:t> Pro Rata Annual Incentive Compensation</w:t>
            </w:r>
            <w:r>
              <w:rPr>
                <w:rFonts w:ascii="Arial" w:cs="Arial" w:eastAsia="Arial" w:hAnsi="Arial"/>
                <w:sz w:val="20"/>
                <w:szCs w:val="20"/>
                <w:color w:val="auto"/>
                <w:vertAlign w:val="superscript"/>
              </w:rPr>
              <w:t>(2)</w:t>
            </w:r>
          </w:p>
        </w:tc>
        <w:tc>
          <w:tcPr>
            <w:tcW w:w="1220" w:type="dxa"/>
            <w:vAlign w:val="bottom"/>
          </w:tcPr>
          <w:p>
            <w:pPr>
              <w:jc w:val="right"/>
              <w:spacing w:after="0"/>
              <w:rPr>
                <w:sz w:val="20"/>
                <w:szCs w:val="20"/>
                <w:color w:val="auto"/>
              </w:rPr>
            </w:pPr>
            <w:r>
              <w:rPr>
                <w:rFonts w:ascii="Arial" w:cs="Arial" w:eastAsia="Arial" w:hAnsi="Arial"/>
                <w:sz w:val="16"/>
                <w:szCs w:val="16"/>
                <w:color w:val="auto"/>
              </w:rPr>
              <w:t>513,755</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457,500</w:t>
            </w:r>
          </w:p>
        </w:tc>
        <w:tc>
          <w:tcPr>
            <w:tcW w:w="340" w:type="dxa"/>
            <w:vAlign w:val="bottom"/>
          </w:tcPr>
          <w:p>
            <w:pPr>
              <w:spacing w:after="0"/>
              <w:rPr>
                <w:sz w:val="16"/>
                <w:szCs w:val="16"/>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6"/>
                <w:szCs w:val="16"/>
                <w:color w:val="auto"/>
              </w:rPr>
              <w:t>390,000</w:t>
            </w:r>
          </w:p>
        </w:tc>
        <w:tc>
          <w:tcPr>
            <w:tcW w:w="1200" w:type="dxa"/>
            <w:vAlign w:val="bottom"/>
          </w:tcPr>
          <w:p>
            <w:pPr>
              <w:jc w:val="right"/>
              <w:spacing w:after="0"/>
              <w:rPr>
                <w:sz w:val="20"/>
                <w:szCs w:val="20"/>
                <w:color w:val="auto"/>
              </w:rPr>
            </w:pPr>
            <w:r>
              <w:rPr>
                <w:rFonts w:ascii="Arial" w:cs="Arial" w:eastAsia="Arial" w:hAnsi="Arial"/>
                <w:sz w:val="16"/>
                <w:szCs w:val="16"/>
                <w:color w:val="auto"/>
              </w:rPr>
              <w:t>353,500</w:t>
            </w:r>
          </w:p>
        </w:tc>
        <w:tc>
          <w:tcPr>
            <w:tcW w:w="320" w:type="dxa"/>
            <w:vAlign w:val="bottom"/>
          </w:tcPr>
          <w:p>
            <w:pPr>
              <w:spacing w:after="0"/>
              <w:rPr>
                <w:sz w:val="16"/>
                <w:szCs w:val="16"/>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375,000</w:t>
            </w:r>
          </w:p>
        </w:tc>
        <w:tc>
          <w:tcPr>
            <w:tcW w:w="0" w:type="dxa"/>
            <w:vAlign w:val="bottom"/>
          </w:tcPr>
          <w:p>
            <w:pPr>
              <w:spacing w:after="0"/>
              <w:rPr>
                <w:sz w:val="1"/>
                <w:szCs w:val="1"/>
                <w:color w:val="auto"/>
              </w:rPr>
            </w:pPr>
          </w:p>
        </w:tc>
      </w:tr>
      <w:tr>
        <w:trPr>
          <w:trHeight w:val="189"/>
        </w:trPr>
        <w:tc>
          <w:tcPr>
            <w:tcW w:w="3540" w:type="dxa"/>
            <w:vAlign w:val="bottom"/>
            <w:gridSpan w:val="2"/>
            <w:shd w:val="clear" w:color="auto" w:fill="EDEDEE"/>
          </w:tcPr>
          <w:p>
            <w:pPr>
              <w:spacing w:after="0"/>
              <w:rPr>
                <w:sz w:val="20"/>
                <w:szCs w:val="20"/>
                <w:color w:val="auto"/>
              </w:rPr>
            </w:pPr>
            <w:r>
              <w:rPr>
                <w:rFonts w:ascii="Arial" w:cs="Arial" w:eastAsia="Arial" w:hAnsi="Arial"/>
                <w:sz w:val="16"/>
                <w:szCs w:val="16"/>
                <w:color w:val="auto"/>
              </w:rPr>
              <w:t> Accelerated Stock Options</w:t>
            </w:r>
          </w:p>
        </w:tc>
        <w:tc>
          <w:tcPr>
            <w:tcW w:w="1580" w:type="dxa"/>
            <w:vAlign w:val="bottom"/>
            <w:gridSpan w:val="2"/>
            <w:shd w:val="clear" w:color="auto" w:fill="EDEDEE"/>
          </w:tcPr>
          <w:p>
            <w:pPr>
              <w:jc w:val="right"/>
              <w:ind w:right="360"/>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EDEDEE"/>
          </w:tcPr>
          <w:p>
            <w:pPr>
              <w:jc w:val="right"/>
              <w:ind w:right="34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EDEDEE"/>
          </w:tcPr>
          <w:p>
            <w:pPr>
              <w:jc w:val="right"/>
              <w:ind w:right="32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EDEDEE"/>
          </w:tcPr>
          <w:p>
            <w:pPr>
              <w:jc w:val="right"/>
              <w:ind w:right="32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EDEDEE"/>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540" w:type="dxa"/>
            <w:vAlign w:val="bottom"/>
            <w:gridSpan w:val="2"/>
          </w:tcPr>
          <w:p>
            <w:pPr>
              <w:spacing w:after="0"/>
              <w:rPr>
                <w:sz w:val="20"/>
                <w:szCs w:val="20"/>
                <w:color w:val="auto"/>
              </w:rPr>
            </w:pPr>
            <w:r>
              <w:rPr>
                <w:rFonts w:ascii="Arial" w:cs="Arial" w:eastAsia="Arial" w:hAnsi="Arial"/>
                <w:sz w:val="16"/>
                <w:szCs w:val="16"/>
                <w:color w:val="auto"/>
              </w:rPr>
              <w:t> Accelerated PRSUs</w:t>
            </w:r>
          </w:p>
        </w:tc>
        <w:tc>
          <w:tcPr>
            <w:tcW w:w="15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540" w:type="dxa"/>
            <w:vAlign w:val="bottom"/>
            <w:gridSpan w:val="2"/>
            <w:shd w:val="clear" w:color="auto" w:fill="EDEDEE"/>
          </w:tcPr>
          <w:p>
            <w:pPr>
              <w:spacing w:after="0"/>
              <w:rPr>
                <w:sz w:val="20"/>
                <w:szCs w:val="20"/>
                <w:color w:val="auto"/>
              </w:rPr>
            </w:pPr>
            <w:r>
              <w:rPr>
                <w:rFonts w:ascii="Arial" w:cs="Arial" w:eastAsia="Arial" w:hAnsi="Arial"/>
                <w:sz w:val="16"/>
                <w:szCs w:val="16"/>
                <w:color w:val="auto"/>
              </w:rPr>
              <w:t> Accelerated RSUs</w:t>
            </w:r>
          </w:p>
        </w:tc>
        <w:tc>
          <w:tcPr>
            <w:tcW w:w="1580" w:type="dxa"/>
            <w:vAlign w:val="bottom"/>
            <w:gridSpan w:val="2"/>
            <w:shd w:val="clear" w:color="auto" w:fill="EDEDEE"/>
          </w:tcPr>
          <w:p>
            <w:pPr>
              <w:jc w:val="right"/>
              <w:ind w:right="360"/>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EDEDEE"/>
          </w:tcPr>
          <w:p>
            <w:pPr>
              <w:jc w:val="right"/>
              <w:ind w:right="34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EDEDEE"/>
          </w:tcPr>
          <w:p>
            <w:pPr>
              <w:jc w:val="right"/>
              <w:ind w:right="32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EDEDEE"/>
          </w:tcPr>
          <w:p>
            <w:pPr>
              <w:jc w:val="right"/>
              <w:ind w:right="32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EDEDEE"/>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3540" w:type="dxa"/>
            <w:vAlign w:val="bottom"/>
            <w:gridSpan w:val="2"/>
          </w:tcPr>
          <w:p>
            <w:pPr>
              <w:spacing w:after="0" w:line="177" w:lineRule="exact"/>
              <w:rPr>
                <w:sz w:val="20"/>
                <w:szCs w:val="20"/>
                <w:color w:val="auto"/>
              </w:rPr>
            </w:pPr>
            <w:r>
              <w:rPr>
                <w:rFonts w:ascii="Arial" w:cs="Arial" w:eastAsia="Arial" w:hAnsi="Arial"/>
                <w:sz w:val="16"/>
                <w:szCs w:val="16"/>
                <w:b w:val="1"/>
                <w:bCs w:val="1"/>
                <w:i w:val="1"/>
                <w:iCs w:val="1"/>
                <w:color w:val="auto"/>
              </w:rPr>
              <w:t> Termination in connection with</w:t>
            </w: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54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Retirement</w:t>
            </w: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540" w:type="dxa"/>
            <w:vAlign w:val="bottom"/>
            <w:gridSpan w:val="2"/>
            <w:shd w:val="clear" w:color="auto" w:fill="EDEDEE"/>
          </w:tcPr>
          <w:p>
            <w:pPr>
              <w:spacing w:after="0" w:line="189" w:lineRule="exact"/>
              <w:rPr>
                <w:sz w:val="20"/>
                <w:szCs w:val="20"/>
                <w:color w:val="auto"/>
              </w:rPr>
            </w:pPr>
            <w:r>
              <w:rPr>
                <w:rFonts w:ascii="Arial" w:cs="Arial" w:eastAsia="Arial" w:hAnsi="Arial"/>
                <w:sz w:val="16"/>
                <w:szCs w:val="16"/>
                <w:color w:val="auto"/>
              </w:rPr>
              <w:t> Pro Rata Annual Incentive Compensation</w:t>
            </w:r>
            <w:r>
              <w:rPr>
                <w:rFonts w:ascii="Arial" w:cs="Arial" w:eastAsia="Arial" w:hAnsi="Arial"/>
                <w:sz w:val="20"/>
                <w:szCs w:val="20"/>
                <w:color w:val="auto"/>
                <w:vertAlign w:val="superscript"/>
              </w:rPr>
              <w:t>(2)</w:t>
            </w:r>
          </w:p>
        </w:tc>
        <w:tc>
          <w:tcPr>
            <w:tcW w:w="1220" w:type="dxa"/>
            <w:vAlign w:val="bottom"/>
            <w:shd w:val="clear" w:color="auto" w:fill="EDEDEE"/>
          </w:tcPr>
          <w:p>
            <w:pPr>
              <w:jc w:val="right"/>
              <w:spacing w:after="0"/>
              <w:rPr>
                <w:sz w:val="20"/>
                <w:szCs w:val="20"/>
                <w:color w:val="auto"/>
              </w:rPr>
            </w:pPr>
            <w:r>
              <w:rPr>
                <w:rFonts w:ascii="Arial" w:cs="Arial" w:eastAsia="Arial" w:hAnsi="Arial"/>
                <w:sz w:val="16"/>
                <w:szCs w:val="16"/>
                <w:color w:val="auto"/>
              </w:rPr>
              <w:t>513,755</w:t>
            </w:r>
          </w:p>
        </w:tc>
        <w:tc>
          <w:tcPr>
            <w:tcW w:w="360" w:type="dxa"/>
            <w:vAlign w:val="bottom"/>
            <w:shd w:val="clear" w:color="auto" w:fill="EDEDEE"/>
          </w:tcPr>
          <w:p>
            <w:pPr>
              <w:spacing w:after="0"/>
              <w:rPr>
                <w:sz w:val="16"/>
                <w:szCs w:val="16"/>
                <w:color w:val="auto"/>
              </w:rPr>
            </w:pPr>
          </w:p>
        </w:tc>
        <w:tc>
          <w:tcPr>
            <w:tcW w:w="1200" w:type="dxa"/>
            <w:vAlign w:val="bottom"/>
            <w:shd w:val="clear" w:color="auto" w:fill="EDEDEE"/>
          </w:tcPr>
          <w:p>
            <w:pPr>
              <w:jc w:val="right"/>
              <w:spacing w:after="0"/>
              <w:rPr>
                <w:sz w:val="20"/>
                <w:szCs w:val="20"/>
                <w:color w:val="auto"/>
              </w:rPr>
            </w:pPr>
            <w:r>
              <w:rPr>
                <w:rFonts w:ascii="Arial" w:cs="Arial" w:eastAsia="Arial" w:hAnsi="Arial"/>
                <w:sz w:val="16"/>
                <w:szCs w:val="16"/>
                <w:color w:val="auto"/>
              </w:rPr>
              <w:t>457,500</w:t>
            </w:r>
          </w:p>
        </w:tc>
        <w:tc>
          <w:tcPr>
            <w:tcW w:w="340" w:type="dxa"/>
            <w:vAlign w:val="bottom"/>
            <w:shd w:val="clear" w:color="auto" w:fill="EDEDEE"/>
          </w:tcPr>
          <w:p>
            <w:pPr>
              <w:spacing w:after="0"/>
              <w:rPr>
                <w:sz w:val="16"/>
                <w:szCs w:val="16"/>
                <w:color w:val="auto"/>
              </w:rPr>
            </w:pPr>
          </w:p>
        </w:tc>
        <w:tc>
          <w:tcPr>
            <w:tcW w:w="1520" w:type="dxa"/>
            <w:vAlign w:val="bottom"/>
            <w:gridSpan w:val="2"/>
            <w:shd w:val="clear" w:color="auto" w:fill="EDEDEE"/>
          </w:tcPr>
          <w:p>
            <w:pPr>
              <w:jc w:val="right"/>
              <w:ind w:right="320"/>
              <w:spacing w:after="0"/>
              <w:rPr>
                <w:sz w:val="20"/>
                <w:szCs w:val="20"/>
                <w:color w:val="auto"/>
              </w:rPr>
            </w:pPr>
            <w:r>
              <w:rPr>
                <w:rFonts w:ascii="Arial" w:cs="Arial" w:eastAsia="Arial" w:hAnsi="Arial"/>
                <w:sz w:val="16"/>
                <w:szCs w:val="16"/>
                <w:color w:val="auto"/>
              </w:rPr>
              <w:t>390,000</w:t>
            </w:r>
          </w:p>
        </w:tc>
        <w:tc>
          <w:tcPr>
            <w:tcW w:w="1200" w:type="dxa"/>
            <w:vAlign w:val="bottom"/>
            <w:shd w:val="clear" w:color="auto" w:fill="EDEDEE"/>
          </w:tcPr>
          <w:p>
            <w:pPr>
              <w:jc w:val="right"/>
              <w:spacing w:after="0"/>
              <w:rPr>
                <w:sz w:val="20"/>
                <w:szCs w:val="20"/>
                <w:color w:val="auto"/>
              </w:rPr>
            </w:pPr>
            <w:r>
              <w:rPr>
                <w:rFonts w:ascii="Arial" w:cs="Arial" w:eastAsia="Arial" w:hAnsi="Arial"/>
                <w:sz w:val="16"/>
                <w:szCs w:val="16"/>
                <w:color w:val="auto"/>
              </w:rPr>
              <w:t>353,500</w:t>
            </w:r>
          </w:p>
        </w:tc>
        <w:tc>
          <w:tcPr>
            <w:tcW w:w="320" w:type="dxa"/>
            <w:vAlign w:val="bottom"/>
            <w:shd w:val="clear" w:color="auto" w:fill="EDEDEE"/>
          </w:tcPr>
          <w:p>
            <w:pPr>
              <w:spacing w:after="0"/>
              <w:rPr>
                <w:sz w:val="16"/>
                <w:szCs w:val="16"/>
                <w:color w:val="auto"/>
              </w:rPr>
            </w:pPr>
          </w:p>
        </w:tc>
        <w:tc>
          <w:tcPr>
            <w:tcW w:w="1320" w:type="dxa"/>
            <w:vAlign w:val="bottom"/>
            <w:gridSpan w:val="2"/>
            <w:shd w:val="clear" w:color="auto" w:fill="EDEDEE"/>
          </w:tcPr>
          <w:p>
            <w:pPr>
              <w:jc w:val="right"/>
              <w:ind w:right="120"/>
              <w:spacing w:after="0"/>
              <w:rPr>
                <w:sz w:val="20"/>
                <w:szCs w:val="20"/>
                <w:color w:val="auto"/>
              </w:rPr>
            </w:pPr>
            <w:r>
              <w:rPr>
                <w:rFonts w:ascii="Arial" w:cs="Arial" w:eastAsia="Arial" w:hAnsi="Arial"/>
                <w:sz w:val="16"/>
                <w:szCs w:val="16"/>
                <w:color w:val="auto"/>
              </w:rPr>
              <w:t>375,000</w:t>
            </w:r>
          </w:p>
        </w:tc>
        <w:tc>
          <w:tcPr>
            <w:tcW w:w="0" w:type="dxa"/>
            <w:vAlign w:val="bottom"/>
          </w:tcPr>
          <w:p>
            <w:pPr>
              <w:spacing w:after="0"/>
              <w:rPr>
                <w:sz w:val="1"/>
                <w:szCs w:val="1"/>
                <w:color w:val="auto"/>
              </w:rPr>
            </w:pPr>
          </w:p>
        </w:tc>
      </w:tr>
      <w:tr>
        <w:trPr>
          <w:trHeight w:val="189"/>
        </w:trPr>
        <w:tc>
          <w:tcPr>
            <w:tcW w:w="3540" w:type="dxa"/>
            <w:vAlign w:val="bottom"/>
            <w:gridSpan w:val="2"/>
          </w:tcPr>
          <w:p>
            <w:pPr>
              <w:spacing w:after="0"/>
              <w:rPr>
                <w:sz w:val="20"/>
                <w:szCs w:val="20"/>
                <w:color w:val="auto"/>
              </w:rPr>
            </w:pPr>
            <w:r>
              <w:rPr>
                <w:rFonts w:ascii="Arial" w:cs="Arial" w:eastAsia="Arial" w:hAnsi="Arial"/>
                <w:sz w:val="16"/>
                <w:szCs w:val="16"/>
                <w:color w:val="auto"/>
              </w:rPr>
              <w:t> Accelerated Stock Options</w:t>
            </w:r>
          </w:p>
        </w:tc>
        <w:tc>
          <w:tcPr>
            <w:tcW w:w="15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540" w:type="dxa"/>
            <w:vAlign w:val="bottom"/>
            <w:gridSpan w:val="2"/>
            <w:shd w:val="clear" w:color="auto" w:fill="EDEDEE"/>
          </w:tcPr>
          <w:p>
            <w:pPr>
              <w:spacing w:after="0"/>
              <w:rPr>
                <w:sz w:val="20"/>
                <w:szCs w:val="20"/>
                <w:color w:val="auto"/>
              </w:rPr>
            </w:pPr>
            <w:r>
              <w:rPr>
                <w:rFonts w:ascii="Arial" w:cs="Arial" w:eastAsia="Arial" w:hAnsi="Arial"/>
                <w:sz w:val="16"/>
                <w:szCs w:val="16"/>
                <w:color w:val="auto"/>
              </w:rPr>
              <w:t> Accelerated PRSUs</w:t>
            </w:r>
          </w:p>
        </w:tc>
        <w:tc>
          <w:tcPr>
            <w:tcW w:w="1580" w:type="dxa"/>
            <w:vAlign w:val="bottom"/>
            <w:gridSpan w:val="2"/>
            <w:shd w:val="clear" w:color="auto" w:fill="EDEDEE"/>
          </w:tcPr>
          <w:p>
            <w:pPr>
              <w:jc w:val="right"/>
              <w:ind w:right="360"/>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EDEDEE"/>
          </w:tcPr>
          <w:p>
            <w:pPr>
              <w:jc w:val="right"/>
              <w:ind w:right="34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EDEDEE"/>
          </w:tcPr>
          <w:p>
            <w:pPr>
              <w:jc w:val="right"/>
              <w:ind w:right="320"/>
              <w:spacing w:after="0"/>
              <w:rPr>
                <w:sz w:val="20"/>
                <w:szCs w:val="20"/>
                <w:color w:val="auto"/>
              </w:rPr>
            </w:pPr>
            <w:r>
              <w:rPr>
                <w:rFonts w:ascii="Arial" w:cs="Arial" w:eastAsia="Arial" w:hAnsi="Arial"/>
                <w:sz w:val="16"/>
                <w:szCs w:val="16"/>
                <w:color w:val="auto"/>
              </w:rPr>
              <w:t>32,777</w:t>
            </w:r>
          </w:p>
        </w:tc>
        <w:tc>
          <w:tcPr>
            <w:tcW w:w="1200" w:type="dxa"/>
            <w:vAlign w:val="bottom"/>
            <w:shd w:val="clear" w:color="auto" w:fill="EDEDEE"/>
          </w:tcPr>
          <w:p>
            <w:pPr>
              <w:jc w:val="right"/>
              <w:spacing w:after="0"/>
              <w:rPr>
                <w:sz w:val="20"/>
                <w:szCs w:val="20"/>
                <w:color w:val="auto"/>
              </w:rPr>
            </w:pPr>
            <w:r>
              <w:rPr>
                <w:rFonts w:ascii="Arial" w:cs="Arial" w:eastAsia="Arial" w:hAnsi="Arial"/>
                <w:sz w:val="16"/>
                <w:szCs w:val="16"/>
                <w:color w:val="auto"/>
              </w:rPr>
              <w:t>50,260</w:t>
            </w:r>
          </w:p>
        </w:tc>
        <w:tc>
          <w:tcPr>
            <w:tcW w:w="320" w:type="dxa"/>
            <w:vAlign w:val="bottom"/>
            <w:shd w:val="clear" w:color="auto" w:fill="EDEDEE"/>
          </w:tcPr>
          <w:p>
            <w:pPr>
              <w:spacing w:after="0"/>
              <w:rPr>
                <w:sz w:val="16"/>
                <w:szCs w:val="16"/>
                <w:color w:val="auto"/>
              </w:rPr>
            </w:pPr>
          </w:p>
        </w:tc>
        <w:tc>
          <w:tcPr>
            <w:tcW w:w="1320" w:type="dxa"/>
            <w:vAlign w:val="bottom"/>
            <w:gridSpan w:val="2"/>
            <w:shd w:val="clear" w:color="auto" w:fill="EDEDEE"/>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540" w:type="dxa"/>
            <w:vAlign w:val="bottom"/>
            <w:gridSpan w:val="2"/>
          </w:tcPr>
          <w:p>
            <w:pPr>
              <w:spacing w:after="0"/>
              <w:rPr>
                <w:sz w:val="20"/>
                <w:szCs w:val="20"/>
                <w:color w:val="auto"/>
              </w:rPr>
            </w:pPr>
            <w:r>
              <w:rPr>
                <w:rFonts w:ascii="Arial" w:cs="Arial" w:eastAsia="Arial" w:hAnsi="Arial"/>
                <w:sz w:val="16"/>
                <w:szCs w:val="16"/>
                <w:color w:val="auto"/>
              </w:rPr>
              <w:t> Accelerated RSUs</w:t>
            </w:r>
          </w:p>
        </w:tc>
        <w:tc>
          <w:tcPr>
            <w:tcW w:w="15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320"/>
              <w:spacing w:after="0"/>
              <w:rPr>
                <w:sz w:val="20"/>
                <w:szCs w:val="20"/>
                <w:color w:val="auto"/>
              </w:rPr>
            </w:pPr>
            <w:r>
              <w:rPr>
                <w:rFonts w:ascii="Arial" w:cs="Arial" w:eastAsia="Arial" w:hAnsi="Arial"/>
                <w:sz w:val="16"/>
                <w:szCs w:val="16"/>
                <w:color w:val="auto"/>
              </w:rPr>
              <w:t>140,126</w:t>
            </w:r>
          </w:p>
        </w:tc>
        <w:tc>
          <w:tcPr>
            <w:tcW w:w="1200" w:type="dxa"/>
            <w:vAlign w:val="bottom"/>
          </w:tcPr>
          <w:p>
            <w:pPr>
              <w:jc w:val="right"/>
              <w:spacing w:after="0"/>
              <w:rPr>
                <w:sz w:val="20"/>
                <w:szCs w:val="20"/>
                <w:color w:val="auto"/>
              </w:rPr>
            </w:pPr>
            <w:r>
              <w:rPr>
                <w:rFonts w:ascii="Arial" w:cs="Arial" w:eastAsia="Arial" w:hAnsi="Arial"/>
                <w:sz w:val="16"/>
                <w:szCs w:val="16"/>
                <w:color w:val="auto"/>
              </w:rPr>
              <w:t>204,622</w:t>
            </w:r>
          </w:p>
        </w:tc>
        <w:tc>
          <w:tcPr>
            <w:tcW w:w="320" w:type="dxa"/>
            <w:vAlign w:val="bottom"/>
          </w:tcPr>
          <w:p>
            <w:pPr>
              <w:spacing w:after="0"/>
              <w:rPr>
                <w:sz w:val="16"/>
                <w:szCs w:val="16"/>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3540" w:type="dxa"/>
            <w:vAlign w:val="bottom"/>
            <w:gridSpan w:val="2"/>
            <w:shd w:val="clear" w:color="auto" w:fill="EDEDEE"/>
          </w:tcPr>
          <w:p>
            <w:pPr>
              <w:spacing w:after="0" w:line="177" w:lineRule="exact"/>
              <w:rPr>
                <w:sz w:val="20"/>
                <w:szCs w:val="20"/>
                <w:color w:val="auto"/>
              </w:rPr>
            </w:pPr>
            <w:r>
              <w:rPr>
                <w:rFonts w:ascii="Arial" w:cs="Arial" w:eastAsia="Arial" w:hAnsi="Arial"/>
                <w:sz w:val="16"/>
                <w:szCs w:val="16"/>
                <w:b w:val="1"/>
                <w:bCs w:val="1"/>
                <w:i w:val="1"/>
                <w:iCs w:val="1"/>
                <w:color w:val="auto"/>
              </w:rPr>
              <w:t> Termination in connection with Death or</w:t>
            </w:r>
          </w:p>
        </w:tc>
        <w:tc>
          <w:tcPr>
            <w:tcW w:w="1220" w:type="dxa"/>
            <w:vAlign w:val="bottom"/>
            <w:shd w:val="clear" w:color="auto" w:fill="EDEDEE"/>
          </w:tcPr>
          <w:p>
            <w:pPr>
              <w:spacing w:after="0"/>
              <w:rPr>
                <w:sz w:val="15"/>
                <w:szCs w:val="15"/>
                <w:color w:val="auto"/>
              </w:rPr>
            </w:pPr>
          </w:p>
        </w:tc>
        <w:tc>
          <w:tcPr>
            <w:tcW w:w="360" w:type="dxa"/>
            <w:vAlign w:val="bottom"/>
            <w:shd w:val="clear" w:color="auto" w:fill="EDEDEE"/>
          </w:tcPr>
          <w:p>
            <w:pPr>
              <w:spacing w:after="0"/>
              <w:rPr>
                <w:sz w:val="15"/>
                <w:szCs w:val="15"/>
                <w:color w:val="auto"/>
              </w:rPr>
            </w:pPr>
          </w:p>
        </w:tc>
        <w:tc>
          <w:tcPr>
            <w:tcW w:w="1200" w:type="dxa"/>
            <w:vAlign w:val="bottom"/>
            <w:shd w:val="clear" w:color="auto" w:fill="EDEDEE"/>
          </w:tcPr>
          <w:p>
            <w:pPr>
              <w:spacing w:after="0"/>
              <w:rPr>
                <w:sz w:val="15"/>
                <w:szCs w:val="15"/>
                <w:color w:val="auto"/>
              </w:rPr>
            </w:pPr>
          </w:p>
        </w:tc>
        <w:tc>
          <w:tcPr>
            <w:tcW w:w="340" w:type="dxa"/>
            <w:vAlign w:val="bottom"/>
            <w:shd w:val="clear" w:color="auto" w:fill="EDEDEE"/>
          </w:tcPr>
          <w:p>
            <w:pPr>
              <w:spacing w:after="0"/>
              <w:rPr>
                <w:sz w:val="15"/>
                <w:szCs w:val="15"/>
                <w:color w:val="auto"/>
              </w:rPr>
            </w:pPr>
          </w:p>
        </w:tc>
        <w:tc>
          <w:tcPr>
            <w:tcW w:w="1200" w:type="dxa"/>
            <w:vAlign w:val="bottom"/>
            <w:shd w:val="clear" w:color="auto" w:fill="EDEDEE"/>
          </w:tcPr>
          <w:p>
            <w:pPr>
              <w:spacing w:after="0"/>
              <w:rPr>
                <w:sz w:val="15"/>
                <w:szCs w:val="15"/>
                <w:color w:val="auto"/>
              </w:rPr>
            </w:pPr>
          </w:p>
        </w:tc>
        <w:tc>
          <w:tcPr>
            <w:tcW w:w="320" w:type="dxa"/>
            <w:vAlign w:val="bottom"/>
            <w:shd w:val="clear" w:color="auto" w:fill="EDEDEE"/>
          </w:tcPr>
          <w:p>
            <w:pPr>
              <w:spacing w:after="0"/>
              <w:rPr>
                <w:sz w:val="15"/>
                <w:szCs w:val="15"/>
                <w:color w:val="auto"/>
              </w:rPr>
            </w:pPr>
          </w:p>
        </w:tc>
        <w:tc>
          <w:tcPr>
            <w:tcW w:w="1200" w:type="dxa"/>
            <w:vAlign w:val="bottom"/>
            <w:shd w:val="clear" w:color="auto" w:fill="EDEDEE"/>
          </w:tcPr>
          <w:p>
            <w:pPr>
              <w:spacing w:after="0"/>
              <w:rPr>
                <w:sz w:val="15"/>
                <w:szCs w:val="15"/>
                <w:color w:val="auto"/>
              </w:rPr>
            </w:pPr>
          </w:p>
        </w:tc>
        <w:tc>
          <w:tcPr>
            <w:tcW w:w="320" w:type="dxa"/>
            <w:vAlign w:val="bottom"/>
            <w:shd w:val="clear" w:color="auto" w:fill="EDEDEE"/>
          </w:tcPr>
          <w:p>
            <w:pPr>
              <w:spacing w:after="0"/>
              <w:rPr>
                <w:sz w:val="15"/>
                <w:szCs w:val="15"/>
                <w:color w:val="auto"/>
              </w:rPr>
            </w:pPr>
          </w:p>
        </w:tc>
        <w:tc>
          <w:tcPr>
            <w:tcW w:w="1200" w:type="dxa"/>
            <w:vAlign w:val="bottom"/>
            <w:shd w:val="clear" w:color="auto" w:fill="EDEDEE"/>
          </w:tcPr>
          <w:p>
            <w:pPr>
              <w:spacing w:after="0"/>
              <w:rPr>
                <w:sz w:val="15"/>
                <w:szCs w:val="15"/>
                <w:color w:val="auto"/>
              </w:rPr>
            </w:pPr>
          </w:p>
        </w:tc>
        <w:tc>
          <w:tcPr>
            <w:tcW w:w="120" w:type="dxa"/>
            <w:vAlign w:val="bottom"/>
            <w:shd w:val="clear" w:color="auto" w:fill="EDEDE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540" w:type="dxa"/>
            <w:vAlign w:val="bottom"/>
            <w:gridSpan w:val="2"/>
            <w:shd w:val="clear" w:color="auto" w:fill="EDEDEE"/>
          </w:tcPr>
          <w:p>
            <w:pPr>
              <w:spacing w:after="0"/>
              <w:rPr>
                <w:sz w:val="20"/>
                <w:szCs w:val="20"/>
                <w:color w:val="auto"/>
              </w:rPr>
            </w:pPr>
            <w:r>
              <w:rPr>
                <w:rFonts w:ascii="Arial" w:cs="Arial" w:eastAsia="Arial" w:hAnsi="Arial"/>
                <w:sz w:val="16"/>
                <w:szCs w:val="16"/>
                <w:b w:val="1"/>
                <w:bCs w:val="1"/>
                <w:i w:val="1"/>
                <w:iCs w:val="1"/>
                <w:color w:val="auto"/>
              </w:rPr>
              <w:t>Disability</w:t>
            </w:r>
          </w:p>
        </w:tc>
        <w:tc>
          <w:tcPr>
            <w:tcW w:w="1220" w:type="dxa"/>
            <w:vAlign w:val="bottom"/>
            <w:shd w:val="clear" w:color="auto" w:fill="EDEDEE"/>
          </w:tcPr>
          <w:p>
            <w:pPr>
              <w:spacing w:after="0"/>
              <w:rPr>
                <w:sz w:val="17"/>
                <w:szCs w:val="17"/>
                <w:color w:val="auto"/>
              </w:rPr>
            </w:pPr>
          </w:p>
        </w:tc>
        <w:tc>
          <w:tcPr>
            <w:tcW w:w="360" w:type="dxa"/>
            <w:vAlign w:val="bottom"/>
            <w:shd w:val="clear" w:color="auto" w:fill="EDEDEE"/>
          </w:tcPr>
          <w:p>
            <w:pPr>
              <w:spacing w:after="0"/>
              <w:rPr>
                <w:sz w:val="17"/>
                <w:szCs w:val="17"/>
                <w:color w:val="auto"/>
              </w:rPr>
            </w:pPr>
          </w:p>
        </w:tc>
        <w:tc>
          <w:tcPr>
            <w:tcW w:w="1200" w:type="dxa"/>
            <w:vAlign w:val="bottom"/>
            <w:shd w:val="clear" w:color="auto" w:fill="EDEDEE"/>
          </w:tcPr>
          <w:p>
            <w:pPr>
              <w:spacing w:after="0"/>
              <w:rPr>
                <w:sz w:val="17"/>
                <w:szCs w:val="17"/>
                <w:color w:val="auto"/>
              </w:rPr>
            </w:pPr>
          </w:p>
        </w:tc>
        <w:tc>
          <w:tcPr>
            <w:tcW w:w="340" w:type="dxa"/>
            <w:vAlign w:val="bottom"/>
            <w:shd w:val="clear" w:color="auto" w:fill="EDEDEE"/>
          </w:tcPr>
          <w:p>
            <w:pPr>
              <w:spacing w:after="0"/>
              <w:rPr>
                <w:sz w:val="17"/>
                <w:szCs w:val="17"/>
                <w:color w:val="auto"/>
              </w:rPr>
            </w:pPr>
          </w:p>
        </w:tc>
        <w:tc>
          <w:tcPr>
            <w:tcW w:w="1200" w:type="dxa"/>
            <w:vAlign w:val="bottom"/>
            <w:shd w:val="clear" w:color="auto" w:fill="EDEDEE"/>
          </w:tcPr>
          <w:p>
            <w:pPr>
              <w:spacing w:after="0"/>
              <w:rPr>
                <w:sz w:val="17"/>
                <w:szCs w:val="17"/>
                <w:color w:val="auto"/>
              </w:rPr>
            </w:pPr>
          </w:p>
        </w:tc>
        <w:tc>
          <w:tcPr>
            <w:tcW w:w="320" w:type="dxa"/>
            <w:vAlign w:val="bottom"/>
            <w:shd w:val="clear" w:color="auto" w:fill="EDEDEE"/>
          </w:tcPr>
          <w:p>
            <w:pPr>
              <w:spacing w:after="0"/>
              <w:rPr>
                <w:sz w:val="17"/>
                <w:szCs w:val="17"/>
                <w:color w:val="auto"/>
              </w:rPr>
            </w:pPr>
          </w:p>
        </w:tc>
        <w:tc>
          <w:tcPr>
            <w:tcW w:w="1200" w:type="dxa"/>
            <w:vAlign w:val="bottom"/>
            <w:shd w:val="clear" w:color="auto" w:fill="EDEDEE"/>
          </w:tcPr>
          <w:p>
            <w:pPr>
              <w:spacing w:after="0"/>
              <w:rPr>
                <w:sz w:val="17"/>
                <w:szCs w:val="17"/>
                <w:color w:val="auto"/>
              </w:rPr>
            </w:pPr>
          </w:p>
        </w:tc>
        <w:tc>
          <w:tcPr>
            <w:tcW w:w="320" w:type="dxa"/>
            <w:vAlign w:val="bottom"/>
            <w:shd w:val="clear" w:color="auto" w:fill="EDEDEE"/>
          </w:tcPr>
          <w:p>
            <w:pPr>
              <w:spacing w:after="0"/>
              <w:rPr>
                <w:sz w:val="17"/>
                <w:szCs w:val="17"/>
                <w:color w:val="auto"/>
              </w:rPr>
            </w:pPr>
          </w:p>
        </w:tc>
        <w:tc>
          <w:tcPr>
            <w:tcW w:w="1200" w:type="dxa"/>
            <w:vAlign w:val="bottom"/>
            <w:shd w:val="clear" w:color="auto" w:fill="EDEDEE"/>
          </w:tcPr>
          <w:p>
            <w:pPr>
              <w:spacing w:after="0"/>
              <w:rPr>
                <w:sz w:val="17"/>
                <w:szCs w:val="17"/>
                <w:color w:val="auto"/>
              </w:rPr>
            </w:pPr>
          </w:p>
        </w:tc>
        <w:tc>
          <w:tcPr>
            <w:tcW w:w="120" w:type="dxa"/>
            <w:vAlign w:val="bottom"/>
            <w:shd w:val="clear" w:color="auto" w:fill="EDEDE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540" w:type="dxa"/>
            <w:vAlign w:val="bottom"/>
            <w:gridSpan w:val="2"/>
          </w:tcPr>
          <w:p>
            <w:pPr>
              <w:spacing w:after="0" w:line="189" w:lineRule="exact"/>
              <w:rPr>
                <w:sz w:val="20"/>
                <w:szCs w:val="20"/>
                <w:color w:val="auto"/>
              </w:rPr>
            </w:pPr>
            <w:r>
              <w:rPr>
                <w:rFonts w:ascii="Arial" w:cs="Arial" w:eastAsia="Arial" w:hAnsi="Arial"/>
                <w:sz w:val="16"/>
                <w:szCs w:val="16"/>
                <w:color w:val="auto"/>
              </w:rPr>
              <w:t> Pro Rata Annual Incentive Compensation</w:t>
            </w:r>
            <w:r>
              <w:rPr>
                <w:rFonts w:ascii="Arial" w:cs="Arial" w:eastAsia="Arial" w:hAnsi="Arial"/>
                <w:sz w:val="20"/>
                <w:szCs w:val="20"/>
                <w:color w:val="auto"/>
                <w:vertAlign w:val="superscript"/>
              </w:rPr>
              <w:t>(2)</w:t>
            </w:r>
          </w:p>
        </w:tc>
        <w:tc>
          <w:tcPr>
            <w:tcW w:w="1220" w:type="dxa"/>
            <w:vAlign w:val="bottom"/>
          </w:tcPr>
          <w:p>
            <w:pPr>
              <w:jc w:val="right"/>
              <w:spacing w:after="0"/>
              <w:rPr>
                <w:sz w:val="20"/>
                <w:szCs w:val="20"/>
                <w:color w:val="auto"/>
              </w:rPr>
            </w:pPr>
            <w:r>
              <w:rPr>
                <w:rFonts w:ascii="Arial" w:cs="Arial" w:eastAsia="Arial" w:hAnsi="Arial"/>
                <w:sz w:val="16"/>
                <w:szCs w:val="16"/>
                <w:color w:val="auto"/>
              </w:rPr>
              <w:t>513,755</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457,500</w:t>
            </w:r>
          </w:p>
        </w:tc>
        <w:tc>
          <w:tcPr>
            <w:tcW w:w="340" w:type="dxa"/>
            <w:vAlign w:val="bottom"/>
          </w:tcPr>
          <w:p>
            <w:pPr>
              <w:spacing w:after="0"/>
              <w:rPr>
                <w:sz w:val="16"/>
                <w:szCs w:val="16"/>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6"/>
                <w:szCs w:val="16"/>
                <w:color w:val="auto"/>
              </w:rPr>
              <w:t>390,000</w:t>
            </w:r>
          </w:p>
        </w:tc>
        <w:tc>
          <w:tcPr>
            <w:tcW w:w="1200" w:type="dxa"/>
            <w:vAlign w:val="bottom"/>
          </w:tcPr>
          <w:p>
            <w:pPr>
              <w:jc w:val="right"/>
              <w:spacing w:after="0"/>
              <w:rPr>
                <w:sz w:val="20"/>
                <w:szCs w:val="20"/>
                <w:color w:val="auto"/>
              </w:rPr>
            </w:pPr>
            <w:r>
              <w:rPr>
                <w:rFonts w:ascii="Arial" w:cs="Arial" w:eastAsia="Arial" w:hAnsi="Arial"/>
                <w:sz w:val="16"/>
                <w:szCs w:val="16"/>
                <w:color w:val="auto"/>
              </w:rPr>
              <w:t>353,500</w:t>
            </w:r>
          </w:p>
        </w:tc>
        <w:tc>
          <w:tcPr>
            <w:tcW w:w="320" w:type="dxa"/>
            <w:vAlign w:val="bottom"/>
          </w:tcPr>
          <w:p>
            <w:pPr>
              <w:spacing w:after="0"/>
              <w:rPr>
                <w:sz w:val="16"/>
                <w:szCs w:val="16"/>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375,000</w:t>
            </w:r>
          </w:p>
        </w:tc>
        <w:tc>
          <w:tcPr>
            <w:tcW w:w="0" w:type="dxa"/>
            <w:vAlign w:val="bottom"/>
          </w:tcPr>
          <w:p>
            <w:pPr>
              <w:spacing w:after="0"/>
              <w:rPr>
                <w:sz w:val="1"/>
                <w:szCs w:val="1"/>
                <w:color w:val="auto"/>
              </w:rPr>
            </w:pPr>
          </w:p>
        </w:tc>
      </w:tr>
      <w:tr>
        <w:trPr>
          <w:trHeight w:val="189"/>
        </w:trPr>
        <w:tc>
          <w:tcPr>
            <w:tcW w:w="3540" w:type="dxa"/>
            <w:vAlign w:val="bottom"/>
            <w:gridSpan w:val="2"/>
            <w:shd w:val="clear" w:color="auto" w:fill="EDEDEE"/>
          </w:tcPr>
          <w:p>
            <w:pPr>
              <w:spacing w:after="0"/>
              <w:rPr>
                <w:sz w:val="20"/>
                <w:szCs w:val="20"/>
                <w:color w:val="auto"/>
              </w:rPr>
            </w:pPr>
            <w:r>
              <w:rPr>
                <w:rFonts w:ascii="Arial" w:cs="Arial" w:eastAsia="Arial" w:hAnsi="Arial"/>
                <w:sz w:val="16"/>
                <w:szCs w:val="16"/>
                <w:color w:val="auto"/>
              </w:rPr>
              <w:t> Accelerated Stock Options</w:t>
            </w:r>
          </w:p>
        </w:tc>
        <w:tc>
          <w:tcPr>
            <w:tcW w:w="1580" w:type="dxa"/>
            <w:vAlign w:val="bottom"/>
            <w:gridSpan w:val="2"/>
            <w:shd w:val="clear" w:color="auto" w:fill="EDEDEE"/>
          </w:tcPr>
          <w:p>
            <w:pPr>
              <w:jc w:val="right"/>
              <w:ind w:right="360"/>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EDEDEE"/>
          </w:tcPr>
          <w:p>
            <w:pPr>
              <w:jc w:val="right"/>
              <w:ind w:right="34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EDEDEE"/>
          </w:tcPr>
          <w:p>
            <w:pPr>
              <w:jc w:val="right"/>
              <w:ind w:right="32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EDEDEE"/>
          </w:tcPr>
          <w:p>
            <w:pPr>
              <w:jc w:val="right"/>
              <w:ind w:right="32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EDEDEE"/>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540" w:type="dxa"/>
            <w:vAlign w:val="bottom"/>
            <w:gridSpan w:val="2"/>
          </w:tcPr>
          <w:p>
            <w:pPr>
              <w:spacing w:after="0"/>
              <w:rPr>
                <w:sz w:val="20"/>
                <w:szCs w:val="20"/>
                <w:color w:val="auto"/>
              </w:rPr>
            </w:pPr>
            <w:r>
              <w:rPr>
                <w:rFonts w:ascii="Arial" w:cs="Arial" w:eastAsia="Arial" w:hAnsi="Arial"/>
                <w:sz w:val="16"/>
                <w:szCs w:val="16"/>
                <w:color w:val="auto"/>
              </w:rPr>
              <w:t> Accelerated PRSUs</w:t>
            </w:r>
          </w:p>
        </w:tc>
        <w:tc>
          <w:tcPr>
            <w:tcW w:w="1220" w:type="dxa"/>
            <w:vAlign w:val="bottom"/>
          </w:tcPr>
          <w:p>
            <w:pPr>
              <w:jc w:val="right"/>
              <w:spacing w:after="0"/>
              <w:rPr>
                <w:sz w:val="20"/>
                <w:szCs w:val="20"/>
                <w:color w:val="auto"/>
              </w:rPr>
            </w:pPr>
            <w:r>
              <w:rPr>
                <w:rFonts w:ascii="Arial" w:cs="Arial" w:eastAsia="Arial" w:hAnsi="Arial"/>
                <w:sz w:val="16"/>
                <w:szCs w:val="16"/>
                <w:color w:val="auto"/>
              </w:rPr>
              <w:t>528,665</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220,566</w:t>
            </w:r>
          </w:p>
        </w:tc>
        <w:tc>
          <w:tcPr>
            <w:tcW w:w="340" w:type="dxa"/>
            <w:vAlign w:val="bottom"/>
          </w:tcPr>
          <w:p>
            <w:pPr>
              <w:spacing w:after="0"/>
              <w:rPr>
                <w:sz w:val="16"/>
                <w:szCs w:val="16"/>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6"/>
                <w:szCs w:val="16"/>
                <w:color w:val="auto"/>
              </w:rPr>
              <w:t>132,646</w:t>
            </w:r>
          </w:p>
        </w:tc>
        <w:tc>
          <w:tcPr>
            <w:tcW w:w="1200" w:type="dxa"/>
            <w:vAlign w:val="bottom"/>
          </w:tcPr>
          <w:p>
            <w:pPr>
              <w:jc w:val="right"/>
              <w:spacing w:after="0"/>
              <w:rPr>
                <w:sz w:val="20"/>
                <w:szCs w:val="20"/>
                <w:color w:val="auto"/>
              </w:rPr>
            </w:pPr>
            <w:r>
              <w:rPr>
                <w:rFonts w:ascii="Arial" w:cs="Arial" w:eastAsia="Arial" w:hAnsi="Arial"/>
                <w:sz w:val="16"/>
                <w:szCs w:val="16"/>
                <w:color w:val="auto"/>
              </w:rPr>
              <w:t>91,873</w:t>
            </w:r>
          </w:p>
        </w:tc>
        <w:tc>
          <w:tcPr>
            <w:tcW w:w="320" w:type="dxa"/>
            <w:vAlign w:val="bottom"/>
          </w:tcPr>
          <w:p>
            <w:pPr>
              <w:spacing w:after="0"/>
              <w:rPr>
                <w:sz w:val="16"/>
                <w:szCs w:val="16"/>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116,002</w:t>
            </w:r>
          </w:p>
        </w:tc>
        <w:tc>
          <w:tcPr>
            <w:tcW w:w="0" w:type="dxa"/>
            <w:vAlign w:val="bottom"/>
          </w:tcPr>
          <w:p>
            <w:pPr>
              <w:spacing w:after="0"/>
              <w:rPr>
                <w:sz w:val="1"/>
                <w:szCs w:val="1"/>
                <w:color w:val="auto"/>
              </w:rPr>
            </w:pPr>
          </w:p>
        </w:tc>
      </w:tr>
      <w:tr>
        <w:trPr>
          <w:trHeight w:val="189"/>
        </w:trPr>
        <w:tc>
          <w:tcPr>
            <w:tcW w:w="3540" w:type="dxa"/>
            <w:vAlign w:val="bottom"/>
            <w:gridSpan w:val="2"/>
            <w:shd w:val="clear" w:color="auto" w:fill="EDEDEE"/>
          </w:tcPr>
          <w:p>
            <w:pPr>
              <w:spacing w:after="0"/>
              <w:rPr>
                <w:sz w:val="20"/>
                <w:szCs w:val="20"/>
                <w:color w:val="auto"/>
              </w:rPr>
            </w:pPr>
            <w:r>
              <w:rPr>
                <w:rFonts w:ascii="Arial" w:cs="Arial" w:eastAsia="Arial" w:hAnsi="Arial"/>
                <w:sz w:val="16"/>
                <w:szCs w:val="16"/>
                <w:color w:val="auto"/>
              </w:rPr>
              <w:t> Accelerated RSUs</w:t>
            </w:r>
          </w:p>
        </w:tc>
        <w:tc>
          <w:tcPr>
            <w:tcW w:w="1580" w:type="dxa"/>
            <w:vAlign w:val="bottom"/>
            <w:gridSpan w:val="2"/>
            <w:shd w:val="clear" w:color="auto" w:fill="EDEDEE"/>
          </w:tcPr>
          <w:p>
            <w:pPr>
              <w:jc w:val="right"/>
              <w:ind w:right="360"/>
              <w:spacing w:after="0"/>
              <w:rPr>
                <w:sz w:val="20"/>
                <w:szCs w:val="20"/>
                <w:color w:val="auto"/>
              </w:rPr>
            </w:pPr>
            <w:r>
              <w:rPr>
                <w:rFonts w:ascii="Arial" w:cs="Arial" w:eastAsia="Arial" w:hAnsi="Arial"/>
                <w:sz w:val="16"/>
                <w:szCs w:val="16"/>
                <w:color w:val="auto"/>
              </w:rPr>
              <w:t>2,565,325</w:t>
            </w:r>
          </w:p>
        </w:tc>
        <w:tc>
          <w:tcPr>
            <w:tcW w:w="1540" w:type="dxa"/>
            <w:vAlign w:val="bottom"/>
            <w:gridSpan w:val="2"/>
            <w:shd w:val="clear" w:color="auto" w:fill="EDEDEE"/>
          </w:tcPr>
          <w:p>
            <w:pPr>
              <w:jc w:val="right"/>
              <w:ind w:right="340"/>
              <w:spacing w:after="0"/>
              <w:rPr>
                <w:sz w:val="20"/>
                <w:szCs w:val="20"/>
                <w:color w:val="auto"/>
              </w:rPr>
            </w:pPr>
            <w:r>
              <w:rPr>
                <w:rFonts w:ascii="Arial" w:cs="Arial" w:eastAsia="Arial" w:hAnsi="Arial"/>
                <w:sz w:val="16"/>
                <w:szCs w:val="16"/>
                <w:color w:val="auto"/>
              </w:rPr>
              <w:t>2,558,213</w:t>
            </w:r>
          </w:p>
        </w:tc>
        <w:tc>
          <w:tcPr>
            <w:tcW w:w="1520" w:type="dxa"/>
            <w:vAlign w:val="bottom"/>
            <w:gridSpan w:val="2"/>
            <w:shd w:val="clear" w:color="auto" w:fill="EDEDEE"/>
          </w:tcPr>
          <w:p>
            <w:pPr>
              <w:jc w:val="right"/>
              <w:ind w:right="320"/>
              <w:spacing w:after="0"/>
              <w:rPr>
                <w:sz w:val="20"/>
                <w:szCs w:val="20"/>
                <w:color w:val="auto"/>
              </w:rPr>
            </w:pPr>
            <w:r>
              <w:rPr>
                <w:rFonts w:ascii="Arial" w:cs="Arial" w:eastAsia="Arial" w:hAnsi="Arial"/>
                <w:sz w:val="16"/>
                <w:szCs w:val="16"/>
                <w:color w:val="auto"/>
              </w:rPr>
              <w:t>622,390</w:t>
            </w:r>
          </w:p>
        </w:tc>
        <w:tc>
          <w:tcPr>
            <w:tcW w:w="1200" w:type="dxa"/>
            <w:vAlign w:val="bottom"/>
            <w:shd w:val="clear" w:color="auto" w:fill="EDEDEE"/>
          </w:tcPr>
          <w:p>
            <w:pPr>
              <w:jc w:val="right"/>
              <w:spacing w:after="0"/>
              <w:rPr>
                <w:sz w:val="20"/>
                <w:szCs w:val="20"/>
                <w:color w:val="auto"/>
              </w:rPr>
            </w:pPr>
            <w:r>
              <w:rPr>
                <w:rFonts w:ascii="Arial" w:cs="Arial" w:eastAsia="Arial" w:hAnsi="Arial"/>
                <w:sz w:val="16"/>
                <w:szCs w:val="16"/>
                <w:color w:val="auto"/>
              </w:rPr>
              <w:t>807,458</w:t>
            </w:r>
          </w:p>
        </w:tc>
        <w:tc>
          <w:tcPr>
            <w:tcW w:w="320" w:type="dxa"/>
            <w:vAlign w:val="bottom"/>
            <w:shd w:val="clear" w:color="auto" w:fill="EDEDEE"/>
          </w:tcPr>
          <w:p>
            <w:pPr>
              <w:spacing w:after="0"/>
              <w:rPr>
                <w:sz w:val="16"/>
                <w:szCs w:val="16"/>
                <w:color w:val="auto"/>
              </w:rPr>
            </w:pPr>
          </w:p>
        </w:tc>
        <w:tc>
          <w:tcPr>
            <w:tcW w:w="1320" w:type="dxa"/>
            <w:vAlign w:val="bottom"/>
            <w:gridSpan w:val="2"/>
            <w:shd w:val="clear" w:color="auto" w:fill="EDEDEE"/>
          </w:tcPr>
          <w:p>
            <w:pPr>
              <w:jc w:val="right"/>
              <w:ind w:right="120"/>
              <w:spacing w:after="0"/>
              <w:rPr>
                <w:sz w:val="20"/>
                <w:szCs w:val="20"/>
                <w:color w:val="auto"/>
              </w:rPr>
            </w:pPr>
            <w:r>
              <w:rPr>
                <w:rFonts w:ascii="Arial" w:cs="Arial" w:eastAsia="Arial" w:hAnsi="Arial"/>
                <w:sz w:val="16"/>
                <w:szCs w:val="16"/>
                <w:color w:val="auto"/>
              </w:rPr>
              <w:t>565,008</w:t>
            </w:r>
          </w:p>
        </w:tc>
        <w:tc>
          <w:tcPr>
            <w:tcW w:w="0" w:type="dxa"/>
            <w:vAlign w:val="bottom"/>
          </w:tcPr>
          <w:p>
            <w:pPr>
              <w:spacing w:after="0"/>
              <w:rPr>
                <w:sz w:val="1"/>
                <w:szCs w:val="1"/>
                <w:color w:val="auto"/>
              </w:rPr>
            </w:pPr>
          </w:p>
        </w:tc>
      </w:tr>
      <w:tr>
        <w:trPr>
          <w:trHeight w:val="177"/>
        </w:trPr>
        <w:tc>
          <w:tcPr>
            <w:tcW w:w="3540" w:type="dxa"/>
            <w:vAlign w:val="bottom"/>
            <w:gridSpan w:val="2"/>
          </w:tcPr>
          <w:p>
            <w:pPr>
              <w:spacing w:after="0" w:line="177" w:lineRule="exact"/>
              <w:rPr>
                <w:sz w:val="20"/>
                <w:szCs w:val="20"/>
                <w:color w:val="auto"/>
              </w:rPr>
            </w:pPr>
            <w:r>
              <w:rPr>
                <w:rFonts w:ascii="Arial" w:cs="Arial" w:eastAsia="Arial" w:hAnsi="Arial"/>
                <w:sz w:val="16"/>
                <w:szCs w:val="16"/>
                <w:b w:val="1"/>
                <w:bCs w:val="1"/>
                <w:i w:val="1"/>
                <w:iCs w:val="1"/>
                <w:color w:val="auto"/>
              </w:rPr>
              <w:t> Termination in connection with a “change</w:t>
            </w: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54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of control”</w:t>
            </w: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540" w:type="dxa"/>
            <w:vAlign w:val="bottom"/>
            <w:gridSpan w:val="2"/>
            <w:shd w:val="clear" w:color="auto" w:fill="EDEDEE"/>
          </w:tcPr>
          <w:p>
            <w:pPr>
              <w:spacing w:after="0"/>
              <w:rPr>
                <w:sz w:val="20"/>
                <w:szCs w:val="20"/>
                <w:color w:val="auto"/>
              </w:rPr>
            </w:pPr>
            <w:r>
              <w:rPr>
                <w:rFonts w:ascii="Arial" w:cs="Arial" w:eastAsia="Arial" w:hAnsi="Arial"/>
                <w:sz w:val="16"/>
                <w:szCs w:val="16"/>
                <w:color w:val="auto"/>
              </w:rPr>
              <w:t> Lump Sum Payment</w:t>
            </w:r>
          </w:p>
        </w:tc>
        <w:tc>
          <w:tcPr>
            <w:tcW w:w="1580" w:type="dxa"/>
            <w:vAlign w:val="bottom"/>
            <w:gridSpan w:val="2"/>
            <w:shd w:val="clear" w:color="auto" w:fill="EDEDEE"/>
          </w:tcPr>
          <w:p>
            <w:pPr>
              <w:jc w:val="right"/>
              <w:ind w:right="360"/>
              <w:spacing w:after="0"/>
              <w:rPr>
                <w:sz w:val="20"/>
                <w:szCs w:val="20"/>
                <w:color w:val="auto"/>
              </w:rPr>
            </w:pPr>
            <w:r>
              <w:rPr>
                <w:rFonts w:ascii="Arial" w:cs="Arial" w:eastAsia="Arial" w:hAnsi="Arial"/>
                <w:sz w:val="16"/>
                <w:szCs w:val="16"/>
                <w:color w:val="auto"/>
              </w:rPr>
              <w:t>2,884,932</w:t>
            </w:r>
          </w:p>
        </w:tc>
        <w:tc>
          <w:tcPr>
            <w:tcW w:w="1540" w:type="dxa"/>
            <w:vAlign w:val="bottom"/>
            <w:gridSpan w:val="2"/>
            <w:shd w:val="clear" w:color="auto" w:fill="EDEDEE"/>
          </w:tcPr>
          <w:p>
            <w:pPr>
              <w:jc w:val="right"/>
              <w:ind w:right="340"/>
              <w:spacing w:after="0"/>
              <w:rPr>
                <w:sz w:val="20"/>
                <w:szCs w:val="20"/>
                <w:color w:val="auto"/>
              </w:rPr>
            </w:pPr>
            <w:r>
              <w:rPr>
                <w:rFonts w:ascii="Arial" w:cs="Arial" w:eastAsia="Arial" w:hAnsi="Arial"/>
                <w:sz w:val="16"/>
                <w:szCs w:val="16"/>
                <w:color w:val="auto"/>
              </w:rPr>
              <w:t>2,135,000</w:t>
            </w:r>
          </w:p>
        </w:tc>
        <w:tc>
          <w:tcPr>
            <w:tcW w:w="1520" w:type="dxa"/>
            <w:vAlign w:val="bottom"/>
            <w:gridSpan w:val="2"/>
            <w:shd w:val="clear" w:color="auto" w:fill="EDEDEE"/>
          </w:tcPr>
          <w:p>
            <w:pPr>
              <w:jc w:val="right"/>
              <w:ind w:right="320"/>
              <w:spacing w:after="0"/>
              <w:rPr>
                <w:sz w:val="20"/>
                <w:szCs w:val="20"/>
                <w:color w:val="auto"/>
              </w:rPr>
            </w:pPr>
            <w:r>
              <w:rPr>
                <w:rFonts w:ascii="Arial" w:cs="Arial" w:eastAsia="Arial" w:hAnsi="Arial"/>
                <w:sz w:val="16"/>
                <w:szCs w:val="16"/>
                <w:color w:val="auto"/>
              </w:rPr>
              <w:t>1,820,000</w:t>
            </w:r>
          </w:p>
        </w:tc>
        <w:tc>
          <w:tcPr>
            <w:tcW w:w="1520" w:type="dxa"/>
            <w:vAlign w:val="bottom"/>
            <w:gridSpan w:val="2"/>
            <w:shd w:val="clear" w:color="auto" w:fill="EDEDEE"/>
          </w:tcPr>
          <w:p>
            <w:pPr>
              <w:jc w:val="right"/>
              <w:ind w:right="320"/>
              <w:spacing w:after="0"/>
              <w:rPr>
                <w:sz w:val="20"/>
                <w:szCs w:val="20"/>
                <w:color w:val="auto"/>
              </w:rPr>
            </w:pPr>
            <w:r>
              <w:rPr>
                <w:rFonts w:ascii="Arial" w:cs="Arial" w:eastAsia="Arial" w:hAnsi="Arial"/>
                <w:sz w:val="16"/>
                <w:szCs w:val="16"/>
                <w:color w:val="auto"/>
              </w:rPr>
              <w:t>1,717,001</w:t>
            </w:r>
          </w:p>
        </w:tc>
        <w:tc>
          <w:tcPr>
            <w:tcW w:w="1320" w:type="dxa"/>
            <w:vAlign w:val="bottom"/>
            <w:gridSpan w:val="2"/>
            <w:shd w:val="clear" w:color="auto" w:fill="EDEDEE"/>
          </w:tcPr>
          <w:p>
            <w:pPr>
              <w:jc w:val="right"/>
              <w:ind w:right="120"/>
              <w:spacing w:after="0"/>
              <w:rPr>
                <w:sz w:val="20"/>
                <w:szCs w:val="20"/>
                <w:color w:val="auto"/>
              </w:rPr>
            </w:pPr>
            <w:r>
              <w:rPr>
                <w:rFonts w:ascii="Arial" w:cs="Arial" w:eastAsia="Arial" w:hAnsi="Arial"/>
                <w:sz w:val="16"/>
                <w:szCs w:val="16"/>
                <w:color w:val="auto"/>
              </w:rPr>
              <w:t>1,750,000</w:t>
            </w:r>
          </w:p>
        </w:tc>
        <w:tc>
          <w:tcPr>
            <w:tcW w:w="0" w:type="dxa"/>
            <w:vAlign w:val="bottom"/>
          </w:tcPr>
          <w:p>
            <w:pPr>
              <w:spacing w:after="0"/>
              <w:rPr>
                <w:sz w:val="1"/>
                <w:szCs w:val="1"/>
                <w:color w:val="auto"/>
              </w:rPr>
            </w:pPr>
          </w:p>
        </w:tc>
      </w:tr>
      <w:tr>
        <w:trPr>
          <w:trHeight w:val="189"/>
        </w:trPr>
        <w:tc>
          <w:tcPr>
            <w:tcW w:w="3540" w:type="dxa"/>
            <w:vAlign w:val="bottom"/>
            <w:gridSpan w:val="2"/>
          </w:tcPr>
          <w:p>
            <w:pPr>
              <w:spacing w:after="0" w:line="189" w:lineRule="exact"/>
              <w:rPr>
                <w:sz w:val="20"/>
                <w:szCs w:val="20"/>
                <w:color w:val="auto"/>
              </w:rPr>
            </w:pPr>
            <w:r>
              <w:rPr>
                <w:rFonts w:ascii="Arial" w:cs="Arial" w:eastAsia="Arial" w:hAnsi="Arial"/>
                <w:sz w:val="16"/>
                <w:szCs w:val="16"/>
                <w:color w:val="auto"/>
              </w:rPr>
              <w:t> Pro Rata Annual Incentive Compensation</w:t>
            </w:r>
            <w:r>
              <w:rPr>
                <w:rFonts w:ascii="Arial" w:cs="Arial" w:eastAsia="Arial" w:hAnsi="Arial"/>
                <w:sz w:val="20"/>
                <w:szCs w:val="20"/>
                <w:color w:val="auto"/>
                <w:vertAlign w:val="superscript"/>
              </w:rPr>
              <w:t>(2)</w:t>
            </w:r>
          </w:p>
        </w:tc>
        <w:tc>
          <w:tcPr>
            <w:tcW w:w="15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540" w:type="dxa"/>
            <w:vAlign w:val="bottom"/>
            <w:gridSpan w:val="2"/>
            <w:shd w:val="clear" w:color="auto" w:fill="EDEDEE"/>
          </w:tcPr>
          <w:p>
            <w:pPr>
              <w:spacing w:after="0" w:line="189" w:lineRule="exact"/>
              <w:rPr>
                <w:sz w:val="20"/>
                <w:szCs w:val="20"/>
                <w:color w:val="auto"/>
              </w:rPr>
            </w:pPr>
            <w:r>
              <w:rPr>
                <w:rFonts w:ascii="Arial" w:cs="Arial" w:eastAsia="Arial" w:hAnsi="Arial"/>
                <w:sz w:val="16"/>
                <w:szCs w:val="16"/>
                <w:color w:val="auto"/>
              </w:rPr>
              <w:t> Accelerated Stock Options</w:t>
            </w:r>
            <w:r>
              <w:rPr>
                <w:rFonts w:ascii="Arial" w:cs="Arial" w:eastAsia="Arial" w:hAnsi="Arial"/>
                <w:sz w:val="20"/>
                <w:szCs w:val="20"/>
                <w:color w:val="auto"/>
                <w:vertAlign w:val="superscript"/>
              </w:rPr>
              <w:t>(3)</w:t>
            </w:r>
          </w:p>
        </w:tc>
        <w:tc>
          <w:tcPr>
            <w:tcW w:w="1580" w:type="dxa"/>
            <w:vAlign w:val="bottom"/>
            <w:gridSpan w:val="2"/>
            <w:shd w:val="clear" w:color="auto" w:fill="EDEDEE"/>
          </w:tcPr>
          <w:p>
            <w:pPr>
              <w:jc w:val="right"/>
              <w:ind w:right="360"/>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EDEDEE"/>
          </w:tcPr>
          <w:p>
            <w:pPr>
              <w:jc w:val="right"/>
              <w:ind w:right="34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EDEDEE"/>
          </w:tcPr>
          <w:p>
            <w:pPr>
              <w:jc w:val="right"/>
              <w:ind w:right="32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EDEDEE"/>
          </w:tcPr>
          <w:p>
            <w:pPr>
              <w:jc w:val="right"/>
              <w:ind w:right="32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EDEDEE"/>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540" w:type="dxa"/>
            <w:vAlign w:val="bottom"/>
            <w:gridSpan w:val="2"/>
          </w:tcPr>
          <w:p>
            <w:pPr>
              <w:spacing w:after="0" w:line="189" w:lineRule="exact"/>
              <w:rPr>
                <w:sz w:val="20"/>
                <w:szCs w:val="20"/>
                <w:color w:val="auto"/>
              </w:rPr>
            </w:pPr>
            <w:r>
              <w:rPr>
                <w:rFonts w:ascii="Arial" w:cs="Arial" w:eastAsia="Arial" w:hAnsi="Arial"/>
                <w:sz w:val="16"/>
                <w:szCs w:val="16"/>
                <w:color w:val="auto"/>
              </w:rPr>
              <w:t> Accelerated PRSUs</w:t>
            </w:r>
            <w:r>
              <w:rPr>
                <w:rFonts w:ascii="Arial" w:cs="Arial" w:eastAsia="Arial" w:hAnsi="Arial"/>
                <w:sz w:val="20"/>
                <w:szCs w:val="20"/>
                <w:color w:val="auto"/>
                <w:vertAlign w:val="superscript"/>
              </w:rPr>
              <w:t>(3)(4)</w:t>
            </w:r>
          </w:p>
        </w:tc>
        <w:tc>
          <w:tcPr>
            <w:tcW w:w="1580" w:type="dxa"/>
            <w:vAlign w:val="bottom"/>
            <w:gridSpan w:val="2"/>
          </w:tcPr>
          <w:p>
            <w:pPr>
              <w:jc w:val="right"/>
              <w:ind w:right="360"/>
              <w:spacing w:after="0"/>
              <w:rPr>
                <w:sz w:val="20"/>
                <w:szCs w:val="20"/>
                <w:color w:val="auto"/>
              </w:rPr>
            </w:pPr>
            <w:r>
              <w:rPr>
                <w:rFonts w:ascii="Arial" w:cs="Arial" w:eastAsia="Arial" w:hAnsi="Arial"/>
                <w:sz w:val="16"/>
                <w:szCs w:val="16"/>
                <w:color w:val="auto"/>
              </w:rPr>
              <w:t>1,585,995</w:t>
            </w:r>
          </w:p>
        </w:tc>
        <w:tc>
          <w:tcPr>
            <w:tcW w:w="1200" w:type="dxa"/>
            <w:vAlign w:val="bottom"/>
          </w:tcPr>
          <w:p>
            <w:pPr>
              <w:jc w:val="right"/>
              <w:spacing w:after="0"/>
              <w:rPr>
                <w:sz w:val="20"/>
                <w:szCs w:val="20"/>
                <w:color w:val="auto"/>
              </w:rPr>
            </w:pPr>
            <w:r>
              <w:rPr>
                <w:rFonts w:ascii="Arial" w:cs="Arial" w:eastAsia="Arial" w:hAnsi="Arial"/>
                <w:sz w:val="16"/>
                <w:szCs w:val="16"/>
                <w:color w:val="auto"/>
              </w:rPr>
              <w:t>530,582</w:t>
            </w:r>
          </w:p>
        </w:tc>
        <w:tc>
          <w:tcPr>
            <w:tcW w:w="340" w:type="dxa"/>
            <w:vAlign w:val="bottom"/>
          </w:tcPr>
          <w:p>
            <w:pPr>
              <w:spacing w:after="0"/>
              <w:rPr>
                <w:sz w:val="16"/>
                <w:szCs w:val="16"/>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6"/>
                <w:szCs w:val="16"/>
                <w:color w:val="auto"/>
              </w:rPr>
              <w:t>348,771</w:t>
            </w:r>
          </w:p>
        </w:tc>
        <w:tc>
          <w:tcPr>
            <w:tcW w:w="1200" w:type="dxa"/>
            <w:vAlign w:val="bottom"/>
          </w:tcPr>
          <w:p>
            <w:pPr>
              <w:jc w:val="right"/>
              <w:spacing w:after="0"/>
              <w:rPr>
                <w:sz w:val="20"/>
                <w:szCs w:val="20"/>
                <w:color w:val="auto"/>
              </w:rPr>
            </w:pPr>
            <w:r>
              <w:rPr>
                <w:rFonts w:ascii="Arial" w:cs="Arial" w:eastAsia="Arial" w:hAnsi="Arial"/>
                <w:sz w:val="16"/>
                <w:szCs w:val="16"/>
                <w:color w:val="auto"/>
              </w:rPr>
              <w:t>200,227</w:t>
            </w:r>
          </w:p>
        </w:tc>
        <w:tc>
          <w:tcPr>
            <w:tcW w:w="320" w:type="dxa"/>
            <w:vAlign w:val="bottom"/>
          </w:tcPr>
          <w:p>
            <w:pPr>
              <w:spacing w:after="0"/>
              <w:rPr>
                <w:sz w:val="16"/>
                <w:szCs w:val="16"/>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298,839</w:t>
            </w:r>
          </w:p>
        </w:tc>
        <w:tc>
          <w:tcPr>
            <w:tcW w:w="0" w:type="dxa"/>
            <w:vAlign w:val="bottom"/>
          </w:tcPr>
          <w:p>
            <w:pPr>
              <w:spacing w:after="0"/>
              <w:rPr>
                <w:sz w:val="1"/>
                <w:szCs w:val="1"/>
                <w:color w:val="auto"/>
              </w:rPr>
            </w:pPr>
          </w:p>
        </w:tc>
      </w:tr>
      <w:tr>
        <w:trPr>
          <w:trHeight w:val="189"/>
        </w:trPr>
        <w:tc>
          <w:tcPr>
            <w:tcW w:w="3540" w:type="dxa"/>
            <w:vAlign w:val="bottom"/>
            <w:gridSpan w:val="2"/>
            <w:shd w:val="clear" w:color="auto" w:fill="EDEDEE"/>
          </w:tcPr>
          <w:p>
            <w:pPr>
              <w:spacing w:after="0" w:line="189" w:lineRule="exact"/>
              <w:rPr>
                <w:sz w:val="20"/>
                <w:szCs w:val="20"/>
                <w:color w:val="auto"/>
              </w:rPr>
            </w:pPr>
            <w:r>
              <w:rPr>
                <w:rFonts w:ascii="Arial" w:cs="Arial" w:eastAsia="Arial" w:hAnsi="Arial"/>
                <w:sz w:val="16"/>
                <w:szCs w:val="16"/>
                <w:color w:val="auto"/>
              </w:rPr>
              <w:t> Accelerated RSUs</w:t>
            </w:r>
            <w:r>
              <w:rPr>
                <w:rFonts w:ascii="Arial" w:cs="Arial" w:eastAsia="Arial" w:hAnsi="Arial"/>
                <w:sz w:val="20"/>
                <w:szCs w:val="20"/>
                <w:color w:val="auto"/>
                <w:vertAlign w:val="superscript"/>
              </w:rPr>
              <w:t>(3)</w:t>
            </w:r>
          </w:p>
        </w:tc>
        <w:tc>
          <w:tcPr>
            <w:tcW w:w="1580" w:type="dxa"/>
            <w:vAlign w:val="bottom"/>
            <w:gridSpan w:val="2"/>
            <w:shd w:val="clear" w:color="auto" w:fill="EDEDEE"/>
          </w:tcPr>
          <w:p>
            <w:pPr>
              <w:jc w:val="right"/>
              <w:ind w:right="360"/>
              <w:spacing w:after="0"/>
              <w:rPr>
                <w:sz w:val="20"/>
                <w:szCs w:val="20"/>
                <w:color w:val="auto"/>
              </w:rPr>
            </w:pPr>
            <w:r>
              <w:rPr>
                <w:rFonts w:ascii="Arial" w:cs="Arial" w:eastAsia="Arial" w:hAnsi="Arial"/>
                <w:sz w:val="16"/>
                <w:szCs w:val="16"/>
                <w:color w:val="auto"/>
              </w:rPr>
              <w:t>2,565,325</w:t>
            </w:r>
          </w:p>
        </w:tc>
        <w:tc>
          <w:tcPr>
            <w:tcW w:w="1540" w:type="dxa"/>
            <w:vAlign w:val="bottom"/>
            <w:gridSpan w:val="2"/>
            <w:shd w:val="clear" w:color="auto" w:fill="EDEDEE"/>
          </w:tcPr>
          <w:p>
            <w:pPr>
              <w:jc w:val="right"/>
              <w:ind w:right="340"/>
              <w:spacing w:after="0"/>
              <w:rPr>
                <w:sz w:val="20"/>
                <w:szCs w:val="20"/>
                <w:color w:val="auto"/>
              </w:rPr>
            </w:pPr>
            <w:r>
              <w:rPr>
                <w:rFonts w:ascii="Arial" w:cs="Arial" w:eastAsia="Arial" w:hAnsi="Arial"/>
                <w:sz w:val="16"/>
                <w:szCs w:val="16"/>
                <w:color w:val="auto"/>
              </w:rPr>
              <w:t>2,558,213</w:t>
            </w:r>
          </w:p>
        </w:tc>
        <w:tc>
          <w:tcPr>
            <w:tcW w:w="1520" w:type="dxa"/>
            <w:vAlign w:val="bottom"/>
            <w:gridSpan w:val="2"/>
            <w:shd w:val="clear" w:color="auto" w:fill="EDEDEE"/>
          </w:tcPr>
          <w:p>
            <w:pPr>
              <w:jc w:val="right"/>
              <w:ind w:right="320"/>
              <w:spacing w:after="0"/>
              <w:rPr>
                <w:sz w:val="20"/>
                <w:szCs w:val="20"/>
                <w:color w:val="auto"/>
              </w:rPr>
            </w:pPr>
            <w:r>
              <w:rPr>
                <w:rFonts w:ascii="Arial" w:cs="Arial" w:eastAsia="Arial" w:hAnsi="Arial"/>
                <w:sz w:val="16"/>
                <w:szCs w:val="16"/>
                <w:color w:val="auto"/>
              </w:rPr>
              <w:t>622,390</w:t>
            </w:r>
          </w:p>
        </w:tc>
        <w:tc>
          <w:tcPr>
            <w:tcW w:w="1200" w:type="dxa"/>
            <w:vAlign w:val="bottom"/>
            <w:shd w:val="clear" w:color="auto" w:fill="EDEDEE"/>
          </w:tcPr>
          <w:p>
            <w:pPr>
              <w:jc w:val="right"/>
              <w:spacing w:after="0"/>
              <w:rPr>
                <w:sz w:val="20"/>
                <w:szCs w:val="20"/>
                <w:color w:val="auto"/>
              </w:rPr>
            </w:pPr>
            <w:r>
              <w:rPr>
                <w:rFonts w:ascii="Arial" w:cs="Arial" w:eastAsia="Arial" w:hAnsi="Arial"/>
                <w:sz w:val="16"/>
                <w:szCs w:val="16"/>
                <w:color w:val="auto"/>
              </w:rPr>
              <w:t>807,458</w:t>
            </w:r>
          </w:p>
        </w:tc>
        <w:tc>
          <w:tcPr>
            <w:tcW w:w="320" w:type="dxa"/>
            <w:vAlign w:val="bottom"/>
            <w:shd w:val="clear" w:color="auto" w:fill="EDEDEE"/>
          </w:tcPr>
          <w:p>
            <w:pPr>
              <w:spacing w:after="0"/>
              <w:rPr>
                <w:sz w:val="16"/>
                <w:szCs w:val="16"/>
                <w:color w:val="auto"/>
              </w:rPr>
            </w:pPr>
          </w:p>
        </w:tc>
        <w:tc>
          <w:tcPr>
            <w:tcW w:w="1320" w:type="dxa"/>
            <w:vAlign w:val="bottom"/>
            <w:gridSpan w:val="2"/>
            <w:shd w:val="clear" w:color="auto" w:fill="EDEDEE"/>
          </w:tcPr>
          <w:p>
            <w:pPr>
              <w:jc w:val="right"/>
              <w:ind w:right="120"/>
              <w:spacing w:after="0"/>
              <w:rPr>
                <w:sz w:val="20"/>
                <w:szCs w:val="20"/>
                <w:color w:val="auto"/>
              </w:rPr>
            </w:pPr>
            <w:r>
              <w:rPr>
                <w:rFonts w:ascii="Arial" w:cs="Arial" w:eastAsia="Arial" w:hAnsi="Arial"/>
                <w:sz w:val="16"/>
                <w:szCs w:val="16"/>
                <w:color w:val="auto"/>
              </w:rPr>
              <w:t>565,008</w:t>
            </w:r>
          </w:p>
        </w:tc>
        <w:tc>
          <w:tcPr>
            <w:tcW w:w="0" w:type="dxa"/>
            <w:vAlign w:val="bottom"/>
          </w:tcPr>
          <w:p>
            <w:pPr>
              <w:spacing w:after="0"/>
              <w:rPr>
                <w:sz w:val="1"/>
                <w:szCs w:val="1"/>
                <w:color w:val="auto"/>
              </w:rPr>
            </w:pPr>
          </w:p>
        </w:tc>
      </w:tr>
      <w:tr>
        <w:trPr>
          <w:trHeight w:val="203"/>
        </w:trPr>
        <w:tc>
          <w:tcPr>
            <w:tcW w:w="354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6"/>
                <w:szCs w:val="16"/>
                <w:color w:val="auto"/>
              </w:rPr>
              <w:t> NQDC Plans/Pension</w:t>
            </w:r>
            <w:r>
              <w:rPr>
                <w:rFonts w:ascii="Arial" w:cs="Arial" w:eastAsia="Arial" w:hAnsi="Arial"/>
                <w:sz w:val="20"/>
                <w:szCs w:val="20"/>
                <w:color w:val="auto"/>
                <w:vertAlign w:val="superscript"/>
              </w:rPr>
              <w:t>(5)(6)</w:t>
            </w:r>
          </w:p>
        </w:tc>
        <w:tc>
          <w:tcPr>
            <w:tcW w:w="15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color w:val="auto"/>
              </w:rPr>
              <w:t>482,006</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556,650</w:t>
            </w: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424" w:hanging="424"/>
        <w:spacing w:after="0"/>
        <w:tabs>
          <w:tab w:leader="none" w:pos="424" w:val="left"/>
        </w:tabs>
        <w:numPr>
          <w:ilvl w:val="0"/>
          <w:numId w:val="96"/>
        </w:numPr>
        <w:rPr>
          <w:rFonts w:ascii="Arial" w:cs="Arial" w:eastAsia="Arial" w:hAnsi="Arial"/>
          <w:sz w:val="14"/>
          <w:szCs w:val="14"/>
          <w:i w:val="1"/>
          <w:iCs w:val="1"/>
          <w:color w:val="auto"/>
        </w:rPr>
      </w:pPr>
      <w:r>
        <w:rPr>
          <w:rFonts w:ascii="Arial" w:cs="Arial" w:eastAsia="Arial" w:hAnsi="Arial"/>
          <w:sz w:val="14"/>
          <w:szCs w:val="14"/>
          <w:i w:val="1"/>
          <w:iCs w:val="1"/>
          <w:color w:val="auto"/>
        </w:rPr>
        <w:t>For Mr. McDonald, the amount is paid over the 24 months following termination. For the other NEOs, the amount is paid as a lump sum.</w:t>
      </w:r>
    </w:p>
    <w:p>
      <w:pPr>
        <w:spacing w:after="0" w:line="163" w:lineRule="exact"/>
        <w:rPr>
          <w:rFonts w:ascii="Arial" w:cs="Arial" w:eastAsia="Arial" w:hAnsi="Arial"/>
          <w:sz w:val="14"/>
          <w:szCs w:val="14"/>
          <w:i w:val="1"/>
          <w:iCs w:val="1"/>
          <w:color w:val="auto"/>
        </w:rPr>
      </w:pPr>
    </w:p>
    <w:p>
      <w:pPr>
        <w:ind w:left="424" w:hanging="424"/>
        <w:spacing w:after="0"/>
        <w:tabs>
          <w:tab w:leader="none" w:pos="424" w:val="left"/>
        </w:tabs>
        <w:numPr>
          <w:ilvl w:val="0"/>
          <w:numId w:val="96"/>
        </w:numPr>
        <w:rPr>
          <w:rFonts w:ascii="Arial" w:cs="Arial" w:eastAsia="Arial" w:hAnsi="Arial"/>
          <w:sz w:val="14"/>
          <w:szCs w:val="14"/>
          <w:i w:val="1"/>
          <w:iCs w:val="1"/>
          <w:color w:val="auto"/>
        </w:rPr>
      </w:pPr>
      <w:r>
        <w:rPr>
          <w:rFonts w:ascii="Arial" w:cs="Arial" w:eastAsia="Arial" w:hAnsi="Arial"/>
          <w:sz w:val="14"/>
          <w:szCs w:val="14"/>
          <w:i w:val="1"/>
          <w:iCs w:val="1"/>
          <w:color w:val="auto"/>
        </w:rPr>
        <w:t>Assumes achievement at target.</w:t>
      </w:r>
    </w:p>
    <w:p>
      <w:pPr>
        <w:spacing w:after="0" w:line="176" w:lineRule="exact"/>
        <w:rPr>
          <w:rFonts w:ascii="Arial" w:cs="Arial" w:eastAsia="Arial" w:hAnsi="Arial"/>
          <w:sz w:val="14"/>
          <w:szCs w:val="14"/>
          <w:i w:val="1"/>
          <w:iCs w:val="1"/>
          <w:color w:val="auto"/>
        </w:rPr>
      </w:pPr>
    </w:p>
    <w:p>
      <w:pPr>
        <w:ind w:left="424" w:right="20" w:hanging="424"/>
        <w:spacing w:after="0" w:line="241" w:lineRule="auto"/>
        <w:tabs>
          <w:tab w:leader="none" w:pos="424" w:val="left"/>
        </w:tabs>
        <w:numPr>
          <w:ilvl w:val="0"/>
          <w:numId w:val="96"/>
        </w:numPr>
        <w:rPr>
          <w:rFonts w:ascii="Arial" w:cs="Arial" w:eastAsia="Arial" w:hAnsi="Arial"/>
          <w:sz w:val="14"/>
          <w:szCs w:val="14"/>
          <w:i w:val="1"/>
          <w:iCs w:val="1"/>
          <w:color w:val="auto"/>
        </w:rPr>
      </w:pPr>
      <w:r>
        <w:rPr>
          <w:rFonts w:ascii="Arial" w:cs="Arial" w:eastAsia="Arial" w:hAnsi="Arial"/>
          <w:sz w:val="14"/>
          <w:szCs w:val="14"/>
          <w:i w:val="1"/>
          <w:iCs w:val="1"/>
          <w:color w:val="auto"/>
        </w:rPr>
        <w:t>In addition to accelerated vesting pursuant to the award agreements, stock options, PRSUs and RSUs accelerate if not assumed or substituted as discussed above, upon a “Business Combination” as defined above.</w:t>
      </w:r>
    </w:p>
    <w:p>
      <w:pPr>
        <w:spacing w:after="0" w:line="135" w:lineRule="exact"/>
        <w:rPr>
          <w:rFonts w:ascii="Arial" w:cs="Arial" w:eastAsia="Arial" w:hAnsi="Arial"/>
          <w:sz w:val="14"/>
          <w:szCs w:val="14"/>
          <w:i w:val="1"/>
          <w:iCs w:val="1"/>
          <w:color w:val="auto"/>
        </w:rPr>
      </w:pPr>
    </w:p>
    <w:p>
      <w:pPr>
        <w:jc w:val="both"/>
        <w:ind w:left="424" w:right="20" w:hanging="424"/>
        <w:spacing w:after="0"/>
        <w:tabs>
          <w:tab w:leader="none" w:pos="424" w:val="left"/>
        </w:tabs>
        <w:numPr>
          <w:ilvl w:val="0"/>
          <w:numId w:val="96"/>
        </w:numPr>
        <w:rPr>
          <w:rFonts w:ascii="Arial" w:cs="Arial" w:eastAsia="Arial" w:hAnsi="Arial"/>
          <w:sz w:val="14"/>
          <w:szCs w:val="14"/>
          <w:i w:val="1"/>
          <w:iCs w:val="1"/>
          <w:color w:val="auto"/>
        </w:rPr>
      </w:pPr>
      <w:r>
        <w:rPr>
          <w:rFonts w:ascii="Arial" w:cs="Arial" w:eastAsia="Arial" w:hAnsi="Arial"/>
          <w:sz w:val="14"/>
          <w:szCs w:val="14"/>
          <w:i w:val="1"/>
          <w:iCs w:val="1"/>
          <w:color w:val="auto"/>
        </w:rPr>
        <w:t>Assumes achievement at target. Under the award agreements, in the event of a termination in connection with a change in control, the performance objectives applicable to unearned PRSUs will be deemed to have been met at the greater of (i) the target level at the date of termination, and (ii) actual performance at the date of termination.</w:t>
      </w:r>
    </w:p>
    <w:p>
      <w:pPr>
        <w:spacing w:after="0" w:line="285" w:lineRule="exact"/>
        <w:rPr>
          <w:rFonts w:ascii="Arial" w:cs="Arial" w:eastAsia="Arial" w:hAnsi="Arial"/>
          <w:sz w:val="14"/>
          <w:szCs w:val="14"/>
          <w:i w:val="1"/>
          <w:iCs w:val="1"/>
          <w:color w:val="auto"/>
        </w:rPr>
      </w:pPr>
    </w:p>
    <w:p>
      <w:pPr>
        <w:ind w:left="424" w:right="20" w:hanging="424"/>
        <w:spacing w:after="0" w:line="261" w:lineRule="auto"/>
        <w:tabs>
          <w:tab w:leader="none" w:pos="424" w:val="left"/>
        </w:tabs>
        <w:numPr>
          <w:ilvl w:val="0"/>
          <w:numId w:val="96"/>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 the aggregate balance of the NEO’s Excess Benefit Plan or Non-Qualified Deferred Compensation account as of December 31, 2025. For more details on these plans, see “Nonqualified Deferred Compensation” above.</w:t>
      </w:r>
    </w:p>
    <w:p>
      <w:pPr>
        <w:spacing w:after="0" w:line="122" w:lineRule="exact"/>
        <w:rPr>
          <w:rFonts w:ascii="Arial" w:cs="Arial" w:eastAsia="Arial" w:hAnsi="Arial"/>
          <w:sz w:val="14"/>
          <w:szCs w:val="14"/>
          <w:i w:val="1"/>
          <w:iCs w:val="1"/>
          <w:color w:val="auto"/>
        </w:rPr>
      </w:pPr>
    </w:p>
    <w:p>
      <w:pPr>
        <w:ind w:left="424" w:hanging="424"/>
        <w:spacing w:after="0"/>
        <w:tabs>
          <w:tab w:leader="none" w:pos="424" w:val="left"/>
        </w:tabs>
        <w:numPr>
          <w:ilvl w:val="0"/>
          <w:numId w:val="96"/>
        </w:numPr>
        <w:rPr>
          <w:rFonts w:ascii="Arial" w:cs="Arial" w:eastAsia="Arial" w:hAnsi="Arial"/>
          <w:sz w:val="14"/>
          <w:szCs w:val="14"/>
          <w:i w:val="1"/>
          <w:iCs w:val="1"/>
          <w:color w:val="auto"/>
        </w:rPr>
      </w:pPr>
      <w:r>
        <w:rPr>
          <w:rFonts w:ascii="Arial" w:cs="Arial" w:eastAsia="Arial" w:hAnsi="Arial"/>
          <w:sz w:val="14"/>
          <w:szCs w:val="14"/>
          <w:i w:val="1"/>
          <w:iCs w:val="1"/>
          <w:color w:val="auto"/>
        </w:rPr>
        <w:t>Potential payments apply to all termination scenarios presented herein.</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-118745</wp:posOffset>
            </wp:positionV>
            <wp:extent cx="762635" cy="38608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62635" cy="386080"/>
                    </a:xfrm>
                    <a:prstGeom prst="rect">
                      <a:avLst/>
                    </a:prstGeom>
                    <a:noFill/>
                  </pic:spPr>
                </pic:pic>
              </a:graphicData>
            </a:graphic>
          </wp:anchor>
        </w:drawing>
      </w:r>
    </w:p>
    <w:p>
      <w:pPr>
        <w:ind w:left="1584"/>
        <w:spacing w:after="0"/>
        <w:rPr>
          <w:sz w:val="20"/>
          <w:szCs w:val="20"/>
          <w:color w:val="auto"/>
        </w:rPr>
      </w:pPr>
      <w:r>
        <w:rPr>
          <w:rFonts w:ascii="Arial" w:cs="Arial" w:eastAsia="Arial" w:hAnsi="Arial"/>
          <w:sz w:val="18"/>
          <w:szCs w:val="18"/>
          <w:color w:val="auto"/>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699516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609" w:right="439" w:bottom="1440" w:gutter="0" w:footer="0" w:header="0"/>
        </w:sectPr>
      </w:pPr>
    </w:p>
    <w:bookmarkStart w:id="58" w:name="page59"/>
    <w:bookmarkEnd w:id="58"/>
    <w:p>
      <w:pPr>
        <w:ind w:left="644" w:hanging="644"/>
        <w:spacing w:after="0"/>
        <w:tabs>
          <w:tab w:leader="none" w:pos="644" w:val="left"/>
        </w:tabs>
        <w:numPr>
          <w:ilvl w:val="0"/>
          <w:numId w:val="97"/>
        </w:numPr>
        <w:rPr>
          <w:rFonts w:ascii="MS PGothic" w:cs="MS PGothic" w:eastAsia="MS PGothic" w:hAnsi="MS PGothic"/>
          <w:sz w:val="47"/>
          <w:szCs w:val="47"/>
          <w:color w:val="C8102E"/>
        </w:rPr>
      </w:pPr>
      <w:r>
        <w:rPr>
          <w:rFonts w:ascii="Arial" w:cs="Arial" w:eastAsia="Arial" w:hAnsi="Arial"/>
          <w:sz w:val="47"/>
          <w:szCs w:val="47"/>
          <w:color w:val="auto"/>
        </w:rPr>
        <w:t>CEO PAY RATIO DISCLOSURE</w:t>
      </w:r>
    </w:p>
    <w:p>
      <w:pPr>
        <w:spacing w:after="0" w:line="138" w:lineRule="exact"/>
        <w:rPr>
          <w:sz w:val="20"/>
          <w:szCs w:val="20"/>
          <w:color w:val="auto"/>
        </w:rPr>
      </w:pPr>
    </w:p>
    <w:p>
      <w:pPr>
        <w:ind w:left="4"/>
        <w:spacing w:after="0"/>
        <w:rPr>
          <w:sz w:val="20"/>
          <w:szCs w:val="20"/>
          <w:color w:val="auto"/>
        </w:rPr>
      </w:pPr>
      <w:r>
        <w:rPr>
          <w:rFonts w:ascii="Arial" w:cs="Arial" w:eastAsia="Arial" w:hAnsi="Arial"/>
          <w:sz w:val="16"/>
          <w:szCs w:val="16"/>
          <w:color w:val="auto"/>
        </w:rPr>
        <w:t>As required by Section 953(b) of the Dodd-Frank Wall Street Reform and Consumer Protection Act, and Item 402(u) of Regulation S-K, we are providing</w:t>
      </w:r>
    </w:p>
    <w:p>
      <w:pPr>
        <w:ind w:left="4"/>
        <w:spacing w:after="0" w:line="211" w:lineRule="auto"/>
        <w:rPr>
          <w:sz w:val="20"/>
          <w:szCs w:val="20"/>
          <w:color w:val="auto"/>
        </w:rPr>
      </w:pPr>
      <w:r>
        <w:rPr>
          <w:rFonts w:ascii="Arial" w:cs="Arial" w:eastAsia="Arial" w:hAnsi="Arial"/>
          <w:sz w:val="16"/>
          <w:szCs w:val="16"/>
          <w:color w:val="auto"/>
        </w:rPr>
        <w:t>the following information about the relationship of the annual total compensation of our median compensated associate and the annual total</w:t>
      </w:r>
    </w:p>
    <w:p>
      <w:pPr>
        <w:ind w:left="4"/>
        <w:spacing w:after="0" w:line="211" w:lineRule="auto"/>
        <w:rPr>
          <w:sz w:val="20"/>
          <w:szCs w:val="20"/>
          <w:color w:val="auto"/>
        </w:rPr>
      </w:pPr>
      <w:r>
        <w:rPr>
          <w:rFonts w:ascii="Arial" w:cs="Arial" w:eastAsia="Arial" w:hAnsi="Arial"/>
          <w:sz w:val="16"/>
          <w:szCs w:val="16"/>
          <w:color w:val="auto"/>
        </w:rPr>
        <w:t>compensation of Mr. McDonald, our President and Chief Executive Officer. The pay ratio included in this section is a reasonable estimate calculated in a</w:t>
      </w:r>
    </w:p>
    <w:p>
      <w:pPr>
        <w:ind w:left="4"/>
        <w:spacing w:after="0" w:line="211" w:lineRule="auto"/>
        <w:rPr>
          <w:sz w:val="20"/>
          <w:szCs w:val="20"/>
          <w:color w:val="auto"/>
        </w:rPr>
      </w:pPr>
      <w:r>
        <w:rPr>
          <w:rFonts w:ascii="Arial" w:cs="Arial" w:eastAsia="Arial" w:hAnsi="Arial"/>
          <w:sz w:val="16"/>
          <w:szCs w:val="16"/>
          <w:color w:val="auto"/>
        </w:rPr>
        <w:t>matter consistent with Item 402(u) of Regulation S-K.</w:t>
      </w:r>
    </w:p>
    <w:p>
      <w:pPr>
        <w:spacing w:after="0" w:line="1" w:lineRule="exact"/>
        <w:rPr>
          <w:sz w:val="20"/>
          <w:szCs w:val="20"/>
          <w:color w:val="auto"/>
        </w:rPr>
      </w:pPr>
    </w:p>
    <w:p>
      <w:pPr>
        <w:ind w:left="4"/>
        <w:spacing w:after="0"/>
        <w:rPr>
          <w:sz w:val="20"/>
          <w:szCs w:val="20"/>
          <w:color w:val="auto"/>
        </w:rPr>
      </w:pPr>
      <w:r>
        <w:rPr>
          <w:rFonts w:ascii="Arial" w:cs="Arial" w:eastAsia="Arial" w:hAnsi="Arial"/>
          <w:sz w:val="16"/>
          <w:szCs w:val="16"/>
          <w:color w:val="auto"/>
        </w:rPr>
        <w:t>For 2025:</w:t>
      </w:r>
    </w:p>
    <w:p>
      <w:pPr>
        <w:spacing w:after="0" w:line="76" w:lineRule="exact"/>
        <w:rPr>
          <w:sz w:val="20"/>
          <w:szCs w:val="20"/>
          <w:color w:val="auto"/>
        </w:rPr>
      </w:pPr>
    </w:p>
    <w:p>
      <w:pPr>
        <w:ind w:left="224" w:hanging="224"/>
        <w:spacing w:after="0"/>
        <w:tabs>
          <w:tab w:leader="none" w:pos="224" w:val="left"/>
        </w:tabs>
        <w:numPr>
          <w:ilvl w:val="0"/>
          <w:numId w:val="98"/>
        </w:numPr>
        <w:rPr>
          <w:rFonts w:ascii="MS PGothic" w:cs="MS PGothic" w:eastAsia="MS PGothic" w:hAnsi="MS PGothic"/>
          <w:sz w:val="29"/>
          <w:szCs w:val="29"/>
          <w:color w:val="C8102E"/>
          <w:vertAlign w:val="superscript"/>
        </w:rPr>
      </w:pPr>
      <w:r>
        <w:rPr>
          <w:rFonts w:ascii="Arial" w:cs="Arial" w:eastAsia="Arial" w:hAnsi="Arial"/>
          <w:sz w:val="16"/>
          <w:szCs w:val="16"/>
          <w:color w:val="auto"/>
        </w:rPr>
        <w:t>The annual total compensation of the median employee was $44,633; and</w:t>
      </w:r>
    </w:p>
    <w:p>
      <w:pPr>
        <w:spacing w:after="0" w:line="138" w:lineRule="exact"/>
        <w:rPr>
          <w:rFonts w:ascii="MS PGothic" w:cs="MS PGothic" w:eastAsia="MS PGothic" w:hAnsi="MS PGothic"/>
          <w:sz w:val="29"/>
          <w:szCs w:val="29"/>
          <w:color w:val="C8102E"/>
          <w:vertAlign w:val="superscript"/>
        </w:rPr>
      </w:pPr>
    </w:p>
    <w:p>
      <w:pPr>
        <w:ind w:left="224" w:right="20" w:hanging="224"/>
        <w:spacing w:after="0" w:line="182" w:lineRule="auto"/>
        <w:tabs>
          <w:tab w:leader="none" w:pos="224" w:val="left"/>
        </w:tabs>
        <w:numPr>
          <w:ilvl w:val="0"/>
          <w:numId w:val="98"/>
        </w:numPr>
        <w:rPr>
          <w:rFonts w:ascii="MS PGothic" w:cs="MS PGothic" w:eastAsia="MS PGothic" w:hAnsi="MS PGothic"/>
          <w:sz w:val="29"/>
          <w:szCs w:val="29"/>
          <w:color w:val="C8102E"/>
          <w:vertAlign w:val="superscript"/>
        </w:rPr>
      </w:pPr>
      <w:r>
        <w:rPr>
          <w:rFonts w:ascii="Arial" w:cs="Arial" w:eastAsia="Arial" w:hAnsi="Arial"/>
          <w:sz w:val="16"/>
          <w:szCs w:val="16"/>
          <w:color w:val="auto"/>
        </w:rPr>
        <w:t>The annual total compensation of Mr. McDonald, as presented in the Summary Compensation Table, was $9,597,437, adjusting for annualized base salary.</w:t>
      </w:r>
    </w:p>
    <w:p>
      <w:pPr>
        <w:spacing w:after="0" w:line="394" w:lineRule="exact"/>
        <w:rPr>
          <w:sz w:val="20"/>
          <w:szCs w:val="20"/>
          <w:color w:val="auto"/>
        </w:rPr>
      </w:pPr>
    </w:p>
    <w:p>
      <w:pPr>
        <w:ind w:left="124" w:right="120"/>
        <w:spacing w:after="0" w:line="261" w:lineRule="auto"/>
        <w:rPr>
          <w:sz w:val="20"/>
          <w:szCs w:val="20"/>
          <w:color w:val="auto"/>
        </w:rPr>
      </w:pPr>
      <w:r>
        <w:rPr>
          <w:rFonts w:ascii="Arial" w:cs="Arial" w:eastAsia="Arial" w:hAnsi="Arial"/>
          <w:sz w:val="16"/>
          <w:szCs w:val="16"/>
          <w:b w:val="1"/>
          <w:bCs w:val="1"/>
          <w:color w:val="auto"/>
        </w:rPr>
        <w:t>Based on this information, for 2025 the ratio of the annual total compensation of Mr. McDonald, our Chief Executive Officer, to the annual total compensation of our median employee was 215 to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-253365</wp:posOffset>
            </wp:positionV>
            <wp:extent cx="6995160" cy="2317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5160" cy="231775"/>
                    </a:xfrm>
                    <a:prstGeom prst="rect">
                      <a:avLst/>
                    </a:prstGeom>
                    <a:noFill/>
                  </pic:spPr>
                </pic:pic>
              </a:graphicData>
            </a:graphic>
          </wp:anchor>
        </w:drawing>
      </w:r>
    </w:p>
    <w:p>
      <w:pPr>
        <w:spacing w:after="0" w:line="79" w:lineRule="exact"/>
        <w:rPr>
          <w:sz w:val="20"/>
          <w:szCs w:val="20"/>
          <w:color w:val="auto"/>
        </w:rPr>
      </w:pPr>
    </w:p>
    <w:p>
      <w:pPr>
        <w:jc w:val="both"/>
        <w:ind w:left="4" w:right="20"/>
        <w:spacing w:after="0" w:line="225" w:lineRule="auto"/>
        <w:rPr>
          <w:sz w:val="20"/>
          <w:szCs w:val="20"/>
          <w:color w:val="auto"/>
        </w:rPr>
      </w:pPr>
      <w:r>
        <w:rPr>
          <w:rFonts w:ascii="Arial" w:cs="Arial" w:eastAsia="Arial" w:hAnsi="Arial"/>
          <w:sz w:val="16"/>
          <w:szCs w:val="16"/>
          <w:color w:val="auto"/>
        </w:rPr>
        <w:t>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110" w:lineRule="exact"/>
        <w:rPr>
          <w:sz w:val="20"/>
          <w:szCs w:val="20"/>
          <w:color w:val="auto"/>
        </w:rPr>
      </w:pPr>
    </w:p>
    <w:p>
      <w:pPr>
        <w:ind w:left="4"/>
        <w:spacing w:after="0"/>
        <w:rPr>
          <w:sz w:val="20"/>
          <w:szCs w:val="20"/>
          <w:color w:val="auto"/>
        </w:rPr>
      </w:pPr>
      <w:r>
        <w:rPr>
          <w:rFonts w:ascii="Arial" w:cs="Arial" w:eastAsia="Arial" w:hAnsi="Arial"/>
          <w:sz w:val="16"/>
          <w:szCs w:val="16"/>
          <w:color w:val="auto"/>
        </w:rPr>
        <w:t>To identify our median compensated employee, as well as to determine the annual total compensation of this “median employee”:</w:t>
      </w:r>
    </w:p>
    <w:p>
      <w:pPr>
        <w:spacing w:after="0" w:line="167" w:lineRule="exact"/>
        <w:rPr>
          <w:sz w:val="20"/>
          <w:szCs w:val="20"/>
          <w:color w:val="auto"/>
        </w:rPr>
      </w:pPr>
    </w:p>
    <w:p>
      <w:pPr>
        <w:ind w:left="224" w:right="20" w:hanging="224"/>
        <w:spacing w:after="0" w:line="190" w:lineRule="auto"/>
        <w:tabs>
          <w:tab w:leader="none" w:pos="224" w:val="left"/>
        </w:tabs>
        <w:numPr>
          <w:ilvl w:val="0"/>
          <w:numId w:val="99"/>
        </w:numPr>
        <w:rPr>
          <w:rFonts w:ascii="MS PGothic" w:cs="MS PGothic" w:eastAsia="MS PGothic" w:hAnsi="MS PGothic"/>
          <w:sz w:val="29"/>
          <w:szCs w:val="29"/>
          <w:color w:val="C8102E"/>
          <w:vertAlign w:val="superscript"/>
        </w:rPr>
      </w:pPr>
      <w:r>
        <w:rPr>
          <w:rFonts w:ascii="Arial" w:cs="Arial" w:eastAsia="Arial" w:hAnsi="Arial"/>
          <w:sz w:val="16"/>
          <w:szCs w:val="16"/>
          <w:color w:val="auto"/>
        </w:rPr>
        <w:t>We determined that, as of December 31, 2025, our employee population consisted of approximately 7,780 persons, of whom approximately 2,100 were employed in the United States and approximately 5,675 were employed outside the United States, based on our payroll records;</w:t>
      </w:r>
    </w:p>
    <w:p>
      <w:pPr>
        <w:spacing w:after="0" w:line="48" w:lineRule="exact"/>
        <w:rPr>
          <w:rFonts w:ascii="MS PGothic" w:cs="MS PGothic" w:eastAsia="MS PGothic" w:hAnsi="MS PGothic"/>
          <w:sz w:val="29"/>
          <w:szCs w:val="29"/>
          <w:color w:val="C8102E"/>
          <w:vertAlign w:val="superscript"/>
        </w:rPr>
      </w:pPr>
    </w:p>
    <w:p>
      <w:pPr>
        <w:ind w:left="224" w:hanging="224"/>
        <w:spacing w:after="0"/>
        <w:tabs>
          <w:tab w:leader="none" w:pos="224" w:val="left"/>
        </w:tabs>
        <w:numPr>
          <w:ilvl w:val="0"/>
          <w:numId w:val="99"/>
        </w:numPr>
        <w:rPr>
          <w:rFonts w:ascii="MS PGothic" w:cs="MS PGothic" w:eastAsia="MS PGothic" w:hAnsi="MS PGothic"/>
          <w:sz w:val="29"/>
          <w:szCs w:val="29"/>
          <w:color w:val="C8102E"/>
          <w:vertAlign w:val="superscript"/>
        </w:rPr>
      </w:pPr>
      <w:r>
        <w:rPr>
          <w:rFonts w:ascii="Arial" w:cs="Arial" w:eastAsia="Arial" w:hAnsi="Arial"/>
          <w:sz w:val="16"/>
          <w:szCs w:val="16"/>
          <w:color w:val="auto"/>
        </w:rPr>
        <w:t>We selected December 31, 2025 as the date upon which we would identify the “median employee”;</w:t>
      </w:r>
    </w:p>
    <w:p>
      <w:pPr>
        <w:spacing w:after="0" w:line="138" w:lineRule="exact"/>
        <w:rPr>
          <w:rFonts w:ascii="MS PGothic" w:cs="MS PGothic" w:eastAsia="MS PGothic" w:hAnsi="MS PGothic"/>
          <w:sz w:val="29"/>
          <w:szCs w:val="29"/>
          <w:color w:val="C8102E"/>
          <w:vertAlign w:val="superscript"/>
        </w:rPr>
      </w:pPr>
    </w:p>
    <w:p>
      <w:pPr>
        <w:ind w:left="224" w:hanging="224"/>
        <w:spacing w:after="0" w:line="183" w:lineRule="auto"/>
        <w:tabs>
          <w:tab w:leader="none" w:pos="224" w:val="left"/>
        </w:tabs>
        <w:numPr>
          <w:ilvl w:val="0"/>
          <w:numId w:val="99"/>
        </w:numPr>
        <w:rPr>
          <w:rFonts w:ascii="MS PGothic" w:cs="MS PGothic" w:eastAsia="MS PGothic" w:hAnsi="MS PGothic"/>
          <w:sz w:val="26"/>
          <w:szCs w:val="26"/>
          <w:color w:val="C8102E"/>
          <w:vertAlign w:val="superscript"/>
        </w:rPr>
      </w:pPr>
      <w:r>
        <w:rPr>
          <w:rFonts w:ascii="Arial" w:cs="Arial" w:eastAsia="Arial" w:hAnsi="Arial"/>
          <w:sz w:val="15"/>
          <w:szCs w:val="15"/>
          <w:color w:val="auto"/>
        </w:rPr>
        <w:t>We annualized the compensation of team members employed by us for less than a full fiscal year;</w:t>
      </w:r>
    </w:p>
    <w:p>
      <w:pPr>
        <w:spacing w:after="0" w:line="152" w:lineRule="exact"/>
        <w:rPr>
          <w:rFonts w:ascii="MS PGothic" w:cs="MS PGothic" w:eastAsia="MS PGothic" w:hAnsi="MS PGothic"/>
          <w:sz w:val="26"/>
          <w:szCs w:val="26"/>
          <w:color w:val="C8102E"/>
          <w:vertAlign w:val="superscript"/>
        </w:rPr>
      </w:pPr>
    </w:p>
    <w:p>
      <w:pPr>
        <w:ind w:left="224" w:right="20" w:hanging="224"/>
        <w:spacing w:after="0" w:line="182" w:lineRule="auto"/>
        <w:tabs>
          <w:tab w:leader="none" w:pos="224" w:val="left"/>
        </w:tabs>
        <w:numPr>
          <w:ilvl w:val="0"/>
          <w:numId w:val="99"/>
        </w:numPr>
        <w:rPr>
          <w:rFonts w:ascii="MS PGothic" w:cs="MS PGothic" w:eastAsia="MS PGothic" w:hAnsi="MS PGothic"/>
          <w:sz w:val="29"/>
          <w:szCs w:val="29"/>
          <w:color w:val="C8102E"/>
          <w:vertAlign w:val="superscript"/>
        </w:rPr>
      </w:pPr>
      <w:r>
        <w:rPr>
          <w:rFonts w:ascii="Arial" w:cs="Arial" w:eastAsia="Arial" w:hAnsi="Arial"/>
          <w:sz w:val="16"/>
          <w:szCs w:val="16"/>
          <w:color w:val="auto"/>
        </w:rPr>
        <w:t>Based on payroll data for all employees, we used annualized base salary or base pay rate to identify our median employee, who was a full-time, hourly associate in the United States; and</w:t>
      </w:r>
    </w:p>
    <w:p>
      <w:pPr>
        <w:spacing w:after="0" w:line="124" w:lineRule="exact"/>
        <w:rPr>
          <w:rFonts w:ascii="MS PGothic" w:cs="MS PGothic" w:eastAsia="MS PGothic" w:hAnsi="MS PGothic"/>
          <w:sz w:val="29"/>
          <w:szCs w:val="29"/>
          <w:color w:val="C8102E"/>
          <w:vertAlign w:val="superscript"/>
        </w:rPr>
      </w:pPr>
    </w:p>
    <w:p>
      <w:pPr>
        <w:ind w:left="124" w:hanging="124"/>
        <w:spacing w:after="0" w:line="190" w:lineRule="auto"/>
        <w:tabs>
          <w:tab w:leader="none" w:pos="124" w:val="left"/>
        </w:tabs>
        <w:numPr>
          <w:ilvl w:val="0"/>
          <w:numId w:val="99"/>
        </w:numPr>
        <w:rPr>
          <w:rFonts w:ascii="MS PGothic" w:cs="MS PGothic" w:eastAsia="MS PGothic" w:hAnsi="MS PGothic"/>
          <w:sz w:val="29"/>
          <w:szCs w:val="29"/>
          <w:color w:val="C8102E"/>
          <w:vertAlign w:val="superscript"/>
        </w:rPr>
      </w:pPr>
      <w:r>
        <w:rPr>
          <w:rFonts w:ascii="Arial" w:cs="Arial" w:eastAsia="Arial" w:hAnsi="Arial"/>
          <w:sz w:val="16"/>
          <w:szCs w:val="16"/>
          <w:color w:val="auto"/>
        </w:rPr>
        <w:t>Once the median employee was identified, we calculated the elements of this employee’s compensation for 2025 in accordance with the requirements of Item 402(c)(2)(x) of Regulation S-X, resulting in annual total compensation of $44,633 as of December 31, 2025.</w:t>
      </w:r>
    </w:p>
    <w:p>
      <w:pPr>
        <w:spacing w:after="0" w:line="152" w:lineRule="exact"/>
        <w:rPr>
          <w:sz w:val="20"/>
          <w:szCs w:val="20"/>
          <w:color w:val="auto"/>
        </w:rPr>
      </w:pPr>
    </w:p>
    <w:p>
      <w:pPr>
        <w:jc w:val="right"/>
        <w:spacing w:after="0"/>
        <w:tabs>
          <w:tab w:leader="none" w:pos="180" w:val="left"/>
        </w:tabs>
        <w:rPr>
          <w:sz w:val="20"/>
          <w:szCs w:val="20"/>
          <w:color w:val="auto"/>
        </w:rPr>
      </w:pPr>
      <w:r>
        <w:rPr>
          <w:sz w:val="1"/>
          <w:szCs w:val="1"/>
          <w:color w:val="auto"/>
        </w:rPr>
        <w:drawing>
          <wp:inline distT="0" distB="0" distL="0" distR="0">
            <wp:extent cx="685800" cy="163195"/>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0" cy="163195"/>
                    </a:xfrm>
                    <a:prstGeom prst="rect">
                      <a:avLst/>
                    </a:prstGeom>
                    <a:noFill/>
                    <a:ln>
                      <a:noFill/>
                    </a:ln>
                  </pic:spPr>
                </pic:pic>
              </a:graphicData>
            </a:graphic>
          </wp:inline>
        </w:drawing>
      </w:r>
      <w:r>
        <w:rPr>
          <w:rFonts w:ascii="Arial" w:cs="Arial" w:eastAsia="Arial" w:hAnsi="Arial"/>
          <w:sz w:val="18"/>
          <w:szCs w:val="18"/>
          <w:color w:val="auto"/>
        </w:rPr>
        <w:t xml:space="preserve"> - 2026 Proxy Statement</w:t>
      </w:r>
      <w:r>
        <w:rPr>
          <w:sz w:val="20"/>
          <w:szCs w:val="20"/>
          <w:color w:val="auto"/>
        </w:rPr>
        <w:tab/>
      </w: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-186690</wp:posOffset>
            </wp:positionV>
            <wp:extent cx="6995160" cy="3340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95160" cy="334010"/>
                    </a:xfrm>
                    <a:prstGeom prst="rect">
                      <a:avLst/>
                    </a:prstGeom>
                    <a:noFill/>
                  </pic:spPr>
                </pic:pic>
              </a:graphicData>
            </a:graphic>
          </wp:anchor>
        </w:drawing>
      </w:r>
    </w:p>
    <w:p>
      <w:pPr>
        <w:sectPr>
          <w:pgSz w:w="11900" w:h="16838" w:orient="portrait"/>
          <w:cols w:equalWidth="0" w:num="1">
            <w:col w:w="11024"/>
          </w:cols>
          <w:pgMar w:left="436" w:top="588" w:right="439" w:bottom="1440" w:gutter="0" w:footer="0" w:header="0"/>
        </w:sectPr>
      </w:pPr>
    </w:p>
    <w:bookmarkStart w:id="59" w:name="page60"/>
    <w:bookmarkEnd w:id="59"/>
    <w:p>
      <w:pPr>
        <w:ind w:left="644" w:hanging="644"/>
        <w:spacing w:after="0"/>
        <w:tabs>
          <w:tab w:leader="none" w:pos="644" w:val="left"/>
        </w:tabs>
        <w:numPr>
          <w:ilvl w:val="0"/>
          <w:numId w:val="100"/>
        </w:numPr>
        <w:rPr>
          <w:rFonts w:ascii="MS PGothic" w:cs="MS PGothic" w:eastAsia="MS PGothic" w:hAnsi="MS PGothic"/>
          <w:sz w:val="47"/>
          <w:szCs w:val="47"/>
          <w:color w:val="C8102E"/>
        </w:rPr>
      </w:pPr>
      <w:r>
        <w:rPr>
          <w:rFonts w:ascii="Arial" w:cs="Arial" w:eastAsia="Arial" w:hAnsi="Arial"/>
          <w:sz w:val="47"/>
          <w:szCs w:val="47"/>
          <w:color w:val="auto"/>
        </w:rPr>
        <w:t>PAY-VERSUS-PERFORMANCE</w:t>
      </w:r>
    </w:p>
    <w:p>
      <w:pPr>
        <w:spacing w:after="0" w:line="16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Disclosures Concerning Pay-Versus-Performance</w:t>
      </w:r>
    </w:p>
    <w:p>
      <w:pPr>
        <w:spacing w:after="0" w:line="135" w:lineRule="exact"/>
        <w:rPr>
          <w:sz w:val="20"/>
          <w:szCs w:val="20"/>
          <w:color w:val="auto"/>
        </w:rPr>
      </w:pPr>
    </w:p>
    <w:p>
      <w:pPr>
        <w:jc w:val="both"/>
        <w:ind w:left="4" w:right="20"/>
        <w:spacing w:after="0" w:line="228" w:lineRule="auto"/>
        <w:rPr>
          <w:sz w:val="20"/>
          <w:szCs w:val="20"/>
          <w:color w:val="auto"/>
        </w:rPr>
      </w:pPr>
      <w:r>
        <w:rPr>
          <w:rFonts w:ascii="Arial" w:cs="Arial" w:eastAsia="Arial" w:hAnsi="Arial"/>
          <w:sz w:val="16"/>
          <w:szCs w:val="16"/>
          <w:color w:val="auto"/>
        </w:rPr>
        <w:t>This disclosure is being provided as required by the SEC’s pay versus performance rules in Item 402(v) of Regulation S-K promulgated under the Exchange Act, and certain measures disclosed in the table below, including “Compensation Actually Paid,” are calculated in accordance with those rules. For a description of the CHCM Committee’s processes, policies, and considerations when setting compensation and evaluating performance, please see the “Compensation Discussion and Analysis” beginning on page 27.</w:t>
      </w:r>
    </w:p>
    <w:p>
      <w:pPr>
        <w:spacing w:after="0" w:line="143"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460" w:type="dxa"/>
            <w:vAlign w:val="bottom"/>
          </w:tcPr>
          <w:p>
            <w:pPr>
              <w:jc w:val="center"/>
              <w:spacing w:after="0"/>
              <w:rPr>
                <w:sz w:val="20"/>
                <w:szCs w:val="20"/>
                <w:color w:val="auto"/>
              </w:rPr>
            </w:pPr>
            <w:r>
              <w:rPr>
                <w:rFonts w:ascii="Arial" w:cs="Arial" w:eastAsia="Arial" w:hAnsi="Arial"/>
                <w:sz w:val="14"/>
                <w:szCs w:val="14"/>
                <w:color w:val="auto"/>
              </w:rPr>
              <w:t>(a)</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right"/>
              <w:ind w:right="480"/>
              <w:spacing w:after="0"/>
              <w:rPr>
                <w:sz w:val="20"/>
                <w:szCs w:val="20"/>
                <w:color w:val="auto"/>
              </w:rPr>
            </w:pPr>
            <w:r>
              <w:rPr>
                <w:rFonts w:ascii="Arial" w:cs="Arial" w:eastAsia="Arial" w:hAnsi="Arial"/>
                <w:sz w:val="14"/>
                <w:szCs w:val="14"/>
                <w:color w:val="auto"/>
              </w:rPr>
              <w:t>(b)</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4"/>
                <w:szCs w:val="14"/>
                <w:color w:val="auto"/>
              </w:rPr>
              <w:t>(c)</w:t>
            </w: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color w:val="auto"/>
              </w:rPr>
              <w:t>(d)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ind w:left="320"/>
              <w:spacing w:after="0"/>
              <w:rPr>
                <w:sz w:val="20"/>
                <w:szCs w:val="20"/>
                <w:color w:val="auto"/>
              </w:rPr>
            </w:pPr>
            <w:r>
              <w:rPr>
                <w:rFonts w:ascii="Arial" w:cs="Arial" w:eastAsia="Arial" w:hAnsi="Arial"/>
                <w:sz w:val="14"/>
                <w:szCs w:val="14"/>
                <w:color w:val="auto"/>
              </w:rPr>
              <w:t>(e)</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ind w:left="200"/>
              <w:spacing w:after="0"/>
              <w:rPr>
                <w:sz w:val="20"/>
                <w:szCs w:val="20"/>
                <w:color w:val="auto"/>
              </w:rPr>
            </w:pPr>
            <w:r>
              <w:rPr>
                <w:rFonts w:ascii="Arial" w:cs="Arial" w:eastAsia="Arial" w:hAnsi="Arial"/>
                <w:sz w:val="14"/>
                <w:szCs w:val="14"/>
                <w:color w:val="auto"/>
              </w:rPr>
              <w:t>(f)</w:t>
            </w:r>
          </w:p>
        </w:tc>
        <w:tc>
          <w:tcPr>
            <w:tcW w:w="160" w:type="dxa"/>
            <w:vAlign w:val="bottom"/>
          </w:tcPr>
          <w:p>
            <w:pPr>
              <w:spacing w:after="0"/>
              <w:rPr>
                <w:sz w:val="14"/>
                <w:szCs w:val="14"/>
                <w:color w:val="auto"/>
              </w:rPr>
            </w:pPr>
          </w:p>
        </w:tc>
        <w:tc>
          <w:tcPr>
            <w:tcW w:w="740" w:type="dxa"/>
            <w:vAlign w:val="bottom"/>
            <w:gridSpan w:val="3"/>
          </w:tcPr>
          <w:p>
            <w:pPr>
              <w:ind w:left="180"/>
              <w:spacing w:after="0"/>
              <w:rPr>
                <w:sz w:val="20"/>
                <w:szCs w:val="20"/>
                <w:color w:val="auto"/>
              </w:rPr>
            </w:pPr>
            <w:r>
              <w:rPr>
                <w:rFonts w:ascii="Arial" w:cs="Arial" w:eastAsia="Arial" w:hAnsi="Arial"/>
                <w:sz w:val="14"/>
                <w:szCs w:val="14"/>
                <w:color w:val="auto"/>
              </w:rPr>
              <w:t>(g)</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color w:val="auto"/>
              </w:rPr>
              <w:t>(h)</w:t>
            </w:r>
          </w:p>
        </w:tc>
        <w:tc>
          <w:tcPr>
            <w:tcW w:w="0" w:type="dxa"/>
            <w:vAlign w:val="bottom"/>
          </w:tcPr>
          <w:p>
            <w:pPr>
              <w:spacing w:after="0"/>
              <w:rPr>
                <w:sz w:val="1"/>
                <w:szCs w:val="1"/>
                <w:color w:val="auto"/>
              </w:rPr>
            </w:pPr>
          </w:p>
        </w:tc>
      </w:tr>
      <w:tr>
        <w:trPr>
          <w:trHeight w:val="162"/>
        </w:trPr>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C8102E"/>
              </w:rPr>
              <w:t>Average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60" w:type="dxa"/>
            <w:vAlign w:val="bottom"/>
            <w:gridSpan w:val="7"/>
          </w:tcPr>
          <w:p>
            <w:pPr>
              <w:jc w:val="right"/>
              <w:ind w:right="40"/>
              <w:spacing w:after="0"/>
              <w:rPr>
                <w:sz w:val="20"/>
                <w:szCs w:val="20"/>
                <w:color w:val="auto"/>
              </w:rPr>
            </w:pPr>
            <w:r>
              <w:rPr>
                <w:rFonts w:ascii="Arial" w:cs="Arial" w:eastAsia="Arial" w:hAnsi="Arial"/>
                <w:sz w:val="14"/>
                <w:szCs w:val="14"/>
                <w:b w:val="1"/>
                <w:bCs w:val="1"/>
                <w:color w:val="C8102E"/>
              </w:rPr>
              <w:t>Value of Initial Fixed $100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C8102E"/>
              </w:rPr>
              <w:t>Summary</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C8102E"/>
              </w:rPr>
              <w:t>Average</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6"/>
          </w:tcPr>
          <w:p>
            <w:pPr>
              <w:jc w:val="right"/>
              <w:ind w:right="40"/>
              <w:spacing w:after="0"/>
              <w:rPr>
                <w:sz w:val="20"/>
                <w:szCs w:val="20"/>
                <w:color w:val="auto"/>
              </w:rPr>
            </w:pPr>
            <w:r>
              <w:rPr>
                <w:rFonts w:ascii="Arial" w:cs="Arial" w:eastAsia="Arial" w:hAnsi="Arial"/>
                <w:sz w:val="14"/>
                <w:szCs w:val="14"/>
                <w:b w:val="1"/>
                <w:bCs w:val="1"/>
                <w:color w:val="C8102E"/>
              </w:rPr>
              <w:t>Investment Based On:</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C8102E"/>
              </w:rPr>
              <w:t>Summary</w:t>
            </w:r>
          </w:p>
        </w:tc>
        <w:tc>
          <w:tcPr>
            <w:tcW w:w="11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C8102E"/>
              </w:rPr>
              <w:t>Compensation</w:t>
            </w:r>
          </w:p>
        </w:tc>
        <w:tc>
          <w:tcPr>
            <w:tcW w:w="60" w:type="dxa"/>
            <w:vAlign w:val="bottom"/>
          </w:tcPr>
          <w:p>
            <w:pPr>
              <w:spacing w:after="0"/>
              <w:rPr>
                <w:sz w:val="13"/>
                <w:szCs w:val="13"/>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C8102E"/>
              </w:rPr>
              <w:t>Summary</w:t>
            </w: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C8102E"/>
              </w:rPr>
              <w:t>Compensation</w:t>
            </w:r>
          </w:p>
        </w:tc>
        <w:tc>
          <w:tcPr>
            <w:tcW w:w="1120" w:type="dxa"/>
            <w:vAlign w:val="bottom"/>
            <w:gridSpan w:val="4"/>
          </w:tcPr>
          <w:p>
            <w:pPr>
              <w:ind w:left="60"/>
              <w:spacing w:after="0"/>
              <w:rPr>
                <w:sz w:val="20"/>
                <w:szCs w:val="20"/>
                <w:color w:val="auto"/>
              </w:rPr>
            </w:pPr>
            <w:r>
              <w:rPr>
                <w:rFonts w:ascii="Arial" w:cs="Arial" w:eastAsia="Arial" w:hAnsi="Arial"/>
                <w:sz w:val="14"/>
                <w:szCs w:val="14"/>
                <w:b w:val="1"/>
                <w:bCs w:val="1"/>
                <w:color w:val="C8102E"/>
              </w:rPr>
              <w:t>Compensation</w:t>
            </w:r>
          </w:p>
        </w:tc>
        <w:tc>
          <w:tcPr>
            <w:tcW w:w="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2"/>
            <w:vMerge w:val="restart"/>
          </w:tcPr>
          <w:p>
            <w:pPr>
              <w:jc w:val="right"/>
              <w:ind w:right="100"/>
              <w:spacing w:after="0"/>
              <w:rPr>
                <w:sz w:val="20"/>
                <w:szCs w:val="20"/>
                <w:color w:val="auto"/>
              </w:rPr>
            </w:pPr>
            <w:r>
              <w:rPr>
                <w:rFonts w:ascii="Arial" w:cs="Arial" w:eastAsia="Arial" w:hAnsi="Arial"/>
                <w:sz w:val="14"/>
                <w:szCs w:val="14"/>
                <w:b w:val="1"/>
                <w:bCs w:val="1"/>
                <w:color w:val="C8102E"/>
              </w:rPr>
              <w:t>Total</w:t>
            </w: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C8102E"/>
              </w:rPr>
              <w:t>Peer</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C8102E"/>
              </w:rPr>
              <w:t>GAAP</w:t>
            </w:r>
          </w:p>
        </w:tc>
        <w:tc>
          <w:tcPr>
            <w:tcW w:w="12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C8102E"/>
              </w:rPr>
              <w:t>Net Sales</w:t>
            </w: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1120" w:type="dxa"/>
            <w:vAlign w:val="bottom"/>
            <w:gridSpan w:val="4"/>
          </w:tcPr>
          <w:p>
            <w:pPr>
              <w:ind w:left="60"/>
              <w:spacing w:after="0"/>
              <w:rPr>
                <w:sz w:val="20"/>
                <w:szCs w:val="20"/>
                <w:color w:val="auto"/>
              </w:rPr>
            </w:pPr>
            <w:r>
              <w:rPr>
                <w:rFonts w:ascii="Arial" w:cs="Arial" w:eastAsia="Arial" w:hAnsi="Arial"/>
                <w:sz w:val="14"/>
                <w:szCs w:val="14"/>
                <w:b w:val="1"/>
                <w:bCs w:val="1"/>
                <w:color w:val="C8102E"/>
              </w:rPr>
              <w:t>Compensation</w:t>
            </w:r>
          </w:p>
        </w:tc>
        <w:tc>
          <w:tcPr>
            <w:tcW w:w="1100" w:type="dxa"/>
            <w:vAlign w:val="bottom"/>
            <w:gridSpan w:val="4"/>
            <w:vMerge w:val="continue"/>
          </w:tcPr>
          <w:p>
            <w:pPr>
              <w:spacing w:after="0"/>
              <w:rPr>
                <w:sz w:val="15"/>
                <w:szCs w:val="15"/>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C8102E"/>
              </w:rPr>
              <w:t>Compensation</w:t>
            </w:r>
          </w:p>
        </w:tc>
        <w:tc>
          <w:tcPr>
            <w:tcW w:w="11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C8102E"/>
              </w:rPr>
              <w:t>Compensation</w:t>
            </w:r>
          </w:p>
        </w:tc>
        <w:tc>
          <w:tcPr>
            <w:tcW w:w="60" w:type="dxa"/>
            <w:vAlign w:val="bottom"/>
          </w:tcPr>
          <w:p>
            <w:pPr>
              <w:spacing w:after="0"/>
              <w:rPr>
                <w:sz w:val="15"/>
                <w:szCs w:val="15"/>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C8102E"/>
                <w:w w:val="99"/>
              </w:rPr>
              <w:t>Table Total for</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C8102E"/>
              </w:rPr>
              <w:t>Actually Paid</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9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C8102E"/>
              </w:rPr>
              <w:t>Group Total</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C8102E"/>
              </w:rPr>
              <w:t>Net</w:t>
            </w:r>
          </w:p>
        </w:tc>
        <w:tc>
          <w:tcPr>
            <w:tcW w:w="10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C8102E"/>
              </w:rPr>
              <w:t>(as adjusted)</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C8102E"/>
              </w:rPr>
              <w:t>Table Total for</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C8102E"/>
              </w:rPr>
              <w:t>Actually Paid</w:t>
            </w:r>
          </w:p>
        </w:tc>
        <w:tc>
          <w:tcPr>
            <w:tcW w:w="60" w:type="dxa"/>
            <w:vAlign w:val="bottom"/>
          </w:tcPr>
          <w:p>
            <w:pPr>
              <w:spacing w:after="0"/>
              <w:rPr>
                <w:sz w:val="14"/>
                <w:szCs w:val="14"/>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C8102E"/>
              </w:rPr>
              <w:t>Table Total for</w:t>
            </w:r>
          </w:p>
        </w:tc>
        <w:tc>
          <w:tcPr>
            <w:tcW w:w="6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C8102E"/>
              </w:rPr>
              <w:t>Actually Paid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C8102E"/>
              </w:rPr>
              <w:t>Non-</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C8102E"/>
              </w:rPr>
              <w:t>to Non-</w:t>
            </w:r>
          </w:p>
        </w:tc>
        <w:tc>
          <w:tcPr>
            <w:tcW w:w="4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C8102E"/>
              </w:rPr>
              <w:t>Shareholder</w:t>
            </w:r>
          </w:p>
        </w:tc>
        <w:tc>
          <w:tcPr>
            <w:tcW w:w="9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C8102E"/>
              </w:rPr>
              <w:t>Shareholder</w:t>
            </w:r>
          </w:p>
        </w:tc>
        <w:tc>
          <w:tcPr>
            <w:tcW w:w="60" w:type="dxa"/>
            <w:vAlign w:val="bottom"/>
          </w:tcPr>
          <w:p>
            <w:pPr>
              <w:spacing w:after="0"/>
              <w:rPr>
                <w:sz w:val="14"/>
                <w:szCs w:val="14"/>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C8102E"/>
              </w:rPr>
              <w:t>Income (in</w:t>
            </w:r>
          </w:p>
        </w:tc>
        <w:tc>
          <w:tcPr>
            <w:tcW w:w="12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C8102E"/>
              </w:rPr>
              <w:t>(thousands)</w:t>
            </w:r>
          </w:p>
        </w:tc>
        <w:tc>
          <w:tcPr>
            <w:tcW w:w="0" w:type="dxa"/>
            <w:vAlign w:val="bottom"/>
          </w:tcPr>
          <w:p>
            <w:pPr>
              <w:spacing w:after="0"/>
              <w:rPr>
                <w:sz w:val="1"/>
                <w:szCs w:val="1"/>
                <w:color w:val="auto"/>
              </w:rPr>
            </w:pPr>
          </w:p>
        </w:tc>
      </w:tr>
      <w:tr>
        <w:trPr>
          <w:trHeight w:val="189"/>
        </w:trPr>
        <w:tc>
          <w:tcPr>
            <w:tcW w:w="460" w:type="dxa"/>
            <w:vAlign w:val="bottom"/>
          </w:tcPr>
          <w:p>
            <w:pPr>
              <w:jc w:val="center"/>
              <w:spacing w:after="0"/>
              <w:rPr>
                <w:sz w:val="20"/>
                <w:szCs w:val="20"/>
                <w:color w:val="auto"/>
              </w:rPr>
            </w:pPr>
            <w:r>
              <w:rPr>
                <w:rFonts w:ascii="Arial" w:cs="Arial" w:eastAsia="Arial" w:hAnsi="Arial"/>
                <w:sz w:val="14"/>
                <w:szCs w:val="14"/>
                <w:b w:val="1"/>
                <w:bCs w:val="1"/>
                <w:color w:val="C8102E"/>
                <w:w w:val="98"/>
              </w:rPr>
              <w:t>Year</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tcPr>
          <w:p>
            <w:pPr>
              <w:jc w:val="right"/>
              <w:ind w:right="60"/>
              <w:spacing w:after="0" w:line="189" w:lineRule="exact"/>
              <w:rPr>
                <w:sz w:val="20"/>
                <w:szCs w:val="20"/>
                <w:color w:val="auto"/>
              </w:rPr>
            </w:pPr>
            <w:r>
              <w:rPr>
                <w:rFonts w:ascii="Arial" w:cs="Arial" w:eastAsia="Arial" w:hAnsi="Arial"/>
                <w:sz w:val="13"/>
                <w:szCs w:val="13"/>
                <w:b w:val="1"/>
                <w:bCs w:val="1"/>
                <w:color w:val="C8102E"/>
              </w:rPr>
              <w:t>PEO 1</w:t>
            </w:r>
            <w:r>
              <w:rPr>
                <w:rFonts w:ascii="Arial" w:cs="Arial" w:eastAsia="Arial" w:hAnsi="Arial"/>
                <w:sz w:val="21"/>
                <w:szCs w:val="21"/>
                <w:b w:val="1"/>
                <w:bCs w:val="1"/>
                <w:color w:val="C8102E"/>
                <w:vertAlign w:val="superscript"/>
              </w:rPr>
              <w:t>(1)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60"/>
              <w:spacing w:after="0" w:line="189" w:lineRule="exact"/>
              <w:rPr>
                <w:sz w:val="20"/>
                <w:szCs w:val="20"/>
                <w:color w:val="auto"/>
              </w:rPr>
            </w:pPr>
            <w:r>
              <w:rPr>
                <w:rFonts w:ascii="Arial" w:cs="Arial" w:eastAsia="Arial" w:hAnsi="Arial"/>
                <w:sz w:val="13"/>
                <w:szCs w:val="13"/>
                <w:b w:val="1"/>
                <w:bCs w:val="1"/>
                <w:color w:val="C8102E"/>
              </w:rPr>
              <w:t>to PEO 1</w:t>
            </w:r>
            <w:r>
              <w:rPr>
                <w:rFonts w:ascii="Arial" w:cs="Arial" w:eastAsia="Arial" w:hAnsi="Arial"/>
                <w:sz w:val="21"/>
                <w:szCs w:val="21"/>
                <w:b w:val="1"/>
                <w:bCs w:val="1"/>
                <w:color w:val="C8102E"/>
                <w:vertAlign w:val="superscript"/>
              </w:rPr>
              <w:t>(1)</w:t>
            </w:r>
          </w:p>
        </w:tc>
        <w:tc>
          <w:tcPr>
            <w:tcW w:w="60" w:type="dxa"/>
            <w:vAlign w:val="bottom"/>
          </w:tcPr>
          <w:p>
            <w:pPr>
              <w:spacing w:after="0"/>
              <w:rPr>
                <w:sz w:val="16"/>
                <w:szCs w:val="16"/>
                <w:color w:val="auto"/>
              </w:rPr>
            </w:pPr>
          </w:p>
        </w:tc>
        <w:tc>
          <w:tcPr>
            <w:tcW w:w="1040" w:type="dxa"/>
            <w:vAlign w:val="bottom"/>
            <w:gridSpan w:val="2"/>
          </w:tcPr>
          <w:p>
            <w:pPr>
              <w:jc w:val="right"/>
              <w:ind w:right="40"/>
              <w:spacing w:after="0" w:line="189" w:lineRule="exact"/>
              <w:rPr>
                <w:sz w:val="20"/>
                <w:szCs w:val="20"/>
                <w:color w:val="auto"/>
              </w:rPr>
            </w:pPr>
            <w:r>
              <w:rPr>
                <w:rFonts w:ascii="Arial" w:cs="Arial" w:eastAsia="Arial" w:hAnsi="Arial"/>
                <w:sz w:val="13"/>
                <w:szCs w:val="13"/>
                <w:b w:val="1"/>
                <w:bCs w:val="1"/>
                <w:color w:val="C8102E"/>
              </w:rPr>
              <w:t>PEO 2</w:t>
            </w:r>
            <w:r>
              <w:rPr>
                <w:rFonts w:ascii="Arial" w:cs="Arial" w:eastAsia="Arial" w:hAnsi="Arial"/>
                <w:sz w:val="21"/>
                <w:szCs w:val="21"/>
                <w:b w:val="1"/>
                <w:bCs w:val="1"/>
                <w:color w:val="C8102E"/>
                <w:vertAlign w:val="superscript"/>
              </w:rPr>
              <w:t>(2)</w:t>
            </w:r>
          </w:p>
        </w:tc>
        <w:tc>
          <w:tcPr>
            <w:tcW w:w="60" w:type="dxa"/>
            <w:vAlign w:val="bottom"/>
          </w:tcPr>
          <w:p>
            <w:pPr>
              <w:spacing w:after="0"/>
              <w:rPr>
                <w:sz w:val="16"/>
                <w:szCs w:val="16"/>
                <w:color w:val="auto"/>
              </w:rPr>
            </w:pPr>
          </w:p>
        </w:tc>
        <w:tc>
          <w:tcPr>
            <w:tcW w:w="1060" w:type="dxa"/>
            <w:vAlign w:val="bottom"/>
            <w:gridSpan w:val="2"/>
          </w:tcPr>
          <w:p>
            <w:pPr>
              <w:jc w:val="right"/>
              <w:ind w:right="60"/>
              <w:spacing w:after="0" w:line="189" w:lineRule="exact"/>
              <w:rPr>
                <w:sz w:val="20"/>
                <w:szCs w:val="20"/>
                <w:color w:val="auto"/>
              </w:rPr>
            </w:pPr>
            <w:r>
              <w:rPr>
                <w:rFonts w:ascii="Arial" w:cs="Arial" w:eastAsia="Arial" w:hAnsi="Arial"/>
                <w:sz w:val="13"/>
                <w:szCs w:val="13"/>
                <w:b w:val="1"/>
                <w:bCs w:val="1"/>
                <w:color w:val="C8102E"/>
              </w:rPr>
              <w:t>to PEO 2</w:t>
            </w:r>
            <w:r>
              <w:rPr>
                <w:rFonts w:ascii="Arial" w:cs="Arial" w:eastAsia="Arial" w:hAnsi="Arial"/>
                <w:sz w:val="21"/>
                <w:szCs w:val="21"/>
                <w:b w:val="1"/>
                <w:bCs w:val="1"/>
                <w:color w:val="C8102E"/>
                <w:vertAlign w:val="superscript"/>
              </w:rPr>
              <w:t>(2)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60"/>
              <w:spacing w:after="0" w:line="189" w:lineRule="exact"/>
              <w:rPr>
                <w:sz w:val="20"/>
                <w:szCs w:val="20"/>
                <w:color w:val="auto"/>
              </w:rPr>
            </w:pPr>
            <w:r>
              <w:rPr>
                <w:rFonts w:ascii="Arial" w:cs="Arial" w:eastAsia="Arial" w:hAnsi="Arial"/>
                <w:sz w:val="13"/>
                <w:szCs w:val="13"/>
                <w:b w:val="1"/>
                <w:bCs w:val="1"/>
                <w:color w:val="C8102E"/>
              </w:rPr>
              <w:t>PEONEOs</w:t>
            </w:r>
            <w:r>
              <w:rPr>
                <w:rFonts w:ascii="Arial" w:cs="Arial" w:eastAsia="Arial" w:hAnsi="Arial"/>
                <w:sz w:val="21"/>
                <w:szCs w:val="21"/>
                <w:b w:val="1"/>
                <w:bCs w:val="1"/>
                <w:color w:val="C8102E"/>
                <w:vertAlign w:val="superscript"/>
              </w:rPr>
              <w:t>(3)</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right"/>
              <w:ind w:right="60"/>
              <w:spacing w:after="0" w:line="189" w:lineRule="exact"/>
              <w:rPr>
                <w:sz w:val="20"/>
                <w:szCs w:val="20"/>
                <w:color w:val="auto"/>
              </w:rPr>
            </w:pPr>
            <w:r>
              <w:rPr>
                <w:rFonts w:ascii="Arial" w:cs="Arial" w:eastAsia="Arial" w:hAnsi="Arial"/>
                <w:sz w:val="13"/>
                <w:szCs w:val="13"/>
                <w:b w:val="1"/>
                <w:bCs w:val="1"/>
                <w:color w:val="C8102E"/>
              </w:rPr>
              <w:t>PEONEOs</w:t>
            </w:r>
            <w:r>
              <w:rPr>
                <w:rFonts w:ascii="Arial" w:cs="Arial" w:eastAsia="Arial" w:hAnsi="Arial"/>
                <w:sz w:val="21"/>
                <w:szCs w:val="21"/>
                <w:b w:val="1"/>
                <w:bCs w:val="1"/>
                <w:color w:val="C8102E"/>
                <w:vertAlign w:val="superscript"/>
              </w:rPr>
              <w:t>(3)</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00"/>
              <w:spacing w:after="0" w:line="189" w:lineRule="exact"/>
              <w:rPr>
                <w:sz w:val="20"/>
                <w:szCs w:val="20"/>
                <w:color w:val="auto"/>
              </w:rPr>
            </w:pPr>
            <w:r>
              <w:rPr>
                <w:rFonts w:ascii="Arial" w:cs="Arial" w:eastAsia="Arial" w:hAnsi="Arial"/>
                <w:sz w:val="13"/>
                <w:szCs w:val="13"/>
                <w:b w:val="1"/>
                <w:bCs w:val="1"/>
                <w:color w:val="C8102E"/>
              </w:rPr>
              <w:t>Return</w:t>
            </w:r>
            <w:r>
              <w:rPr>
                <w:rFonts w:ascii="Arial" w:cs="Arial" w:eastAsia="Arial" w:hAnsi="Arial"/>
                <w:sz w:val="21"/>
                <w:szCs w:val="21"/>
                <w:b w:val="1"/>
                <w:bCs w:val="1"/>
                <w:color w:val="C8102E"/>
                <w:vertAlign w:val="superscript"/>
              </w:rPr>
              <w:t>(4)</w:t>
            </w:r>
          </w:p>
        </w:tc>
        <w:tc>
          <w:tcPr>
            <w:tcW w:w="160" w:type="dxa"/>
            <w:vAlign w:val="bottom"/>
          </w:tcPr>
          <w:p>
            <w:pPr>
              <w:spacing w:after="0"/>
              <w:rPr>
                <w:sz w:val="16"/>
                <w:szCs w:val="16"/>
                <w:color w:val="auto"/>
              </w:rPr>
            </w:pPr>
          </w:p>
        </w:tc>
        <w:tc>
          <w:tcPr>
            <w:tcW w:w="740" w:type="dxa"/>
            <w:vAlign w:val="bottom"/>
            <w:gridSpan w:val="3"/>
          </w:tcPr>
          <w:p>
            <w:pPr>
              <w:jc w:val="right"/>
              <w:ind w:right="40"/>
              <w:spacing w:after="0" w:line="189" w:lineRule="exact"/>
              <w:rPr>
                <w:sz w:val="20"/>
                <w:szCs w:val="20"/>
                <w:color w:val="auto"/>
              </w:rPr>
            </w:pPr>
            <w:r>
              <w:rPr>
                <w:rFonts w:ascii="Arial" w:cs="Arial" w:eastAsia="Arial" w:hAnsi="Arial"/>
                <w:sz w:val="13"/>
                <w:szCs w:val="13"/>
                <w:b w:val="1"/>
                <w:bCs w:val="1"/>
                <w:color w:val="C8102E"/>
              </w:rPr>
              <w:t>Return</w:t>
            </w:r>
            <w:r>
              <w:rPr>
                <w:rFonts w:ascii="Arial" w:cs="Arial" w:eastAsia="Arial" w:hAnsi="Arial"/>
                <w:sz w:val="21"/>
                <w:szCs w:val="21"/>
                <w:b w:val="1"/>
                <w:bCs w:val="1"/>
                <w:color w:val="C8102E"/>
                <w:vertAlign w:val="superscript"/>
              </w:rPr>
              <w:t>(5)</w:t>
            </w:r>
          </w:p>
        </w:tc>
        <w:tc>
          <w:tcPr>
            <w:tcW w:w="960" w:type="dxa"/>
            <w:vAlign w:val="bottom"/>
            <w:gridSpan w:val="4"/>
          </w:tcPr>
          <w:p>
            <w:pPr>
              <w:ind w:left="60"/>
              <w:spacing w:after="0"/>
              <w:rPr>
                <w:sz w:val="20"/>
                <w:szCs w:val="20"/>
                <w:color w:val="auto"/>
              </w:rPr>
            </w:pPr>
            <w:r>
              <w:rPr>
                <w:rFonts w:ascii="Arial" w:cs="Arial" w:eastAsia="Arial" w:hAnsi="Arial"/>
                <w:sz w:val="14"/>
                <w:szCs w:val="14"/>
                <w:b w:val="1"/>
                <w:bCs w:val="1"/>
                <w:color w:val="C8102E"/>
              </w:rPr>
              <w:t>thousands)</w:t>
            </w:r>
          </w:p>
        </w:tc>
        <w:tc>
          <w:tcPr>
            <w:tcW w:w="12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b w:val="1"/>
                <w:bCs w:val="1"/>
                <w:color w:val="C8102E"/>
              </w:rPr>
              <w:t>(6)</w:t>
            </w:r>
          </w:p>
        </w:tc>
        <w:tc>
          <w:tcPr>
            <w:tcW w:w="0" w:type="dxa"/>
            <w:vAlign w:val="bottom"/>
          </w:tcPr>
          <w:p>
            <w:pPr>
              <w:spacing w:after="0"/>
              <w:rPr>
                <w:sz w:val="1"/>
                <w:szCs w:val="1"/>
                <w:color w:val="auto"/>
              </w:rPr>
            </w:pPr>
          </w:p>
        </w:tc>
      </w:tr>
      <w:tr>
        <w:trPr>
          <w:trHeight w:val="156"/>
        </w:trPr>
        <w:tc>
          <w:tcPr>
            <w:tcW w:w="460" w:type="dxa"/>
            <w:vAlign w:val="bottom"/>
            <w:tcBorders>
              <w:top w:val="single" w:sz="8" w:color="auto"/>
            </w:tcBorders>
            <w:shd w:val="clear" w:color="auto" w:fill="EDEDEE"/>
          </w:tcPr>
          <w:p>
            <w:pPr>
              <w:jc w:val="center"/>
              <w:spacing w:after="0" w:line="155" w:lineRule="exact"/>
              <w:rPr>
                <w:sz w:val="20"/>
                <w:szCs w:val="20"/>
                <w:color w:val="auto"/>
              </w:rPr>
            </w:pPr>
            <w:r>
              <w:rPr>
                <w:rFonts w:ascii="Arial" w:cs="Arial" w:eastAsia="Arial" w:hAnsi="Arial"/>
                <w:sz w:val="14"/>
                <w:szCs w:val="14"/>
                <w:b w:val="1"/>
                <w:bCs w:val="1"/>
                <w:color w:val="auto"/>
                <w:w w:val="90"/>
              </w:rPr>
              <w:t>  2025</w:t>
            </w:r>
          </w:p>
        </w:tc>
        <w:tc>
          <w:tcPr>
            <w:tcW w:w="60" w:type="dxa"/>
            <w:vAlign w:val="bottom"/>
            <w:tcBorders>
              <w:top w:val="single" w:sz="8" w:color="EDEDEE"/>
            </w:tcBorders>
            <w:shd w:val="clear" w:color="auto" w:fill="EDEDEE"/>
          </w:tcPr>
          <w:p>
            <w:pPr>
              <w:spacing w:after="0"/>
              <w:rPr>
                <w:sz w:val="13"/>
                <w:szCs w:val="13"/>
                <w:color w:val="auto"/>
              </w:rPr>
            </w:pPr>
          </w:p>
        </w:tc>
        <w:tc>
          <w:tcPr>
            <w:tcW w:w="220" w:type="dxa"/>
            <w:vAlign w:val="bottom"/>
            <w:tcBorders>
              <w:top w:val="single" w:sz="8" w:color="auto"/>
            </w:tcBorders>
            <w:shd w:val="clear" w:color="auto" w:fill="EDEDEE"/>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EDEDEE"/>
          </w:tcPr>
          <w:p>
            <w:pPr>
              <w:jc w:val="right"/>
              <w:spacing w:after="0" w:line="155" w:lineRule="exact"/>
              <w:rPr>
                <w:sz w:val="20"/>
                <w:szCs w:val="20"/>
                <w:color w:val="auto"/>
              </w:rPr>
            </w:pPr>
            <w:r>
              <w:rPr>
                <w:rFonts w:ascii="Arial" w:cs="Arial" w:eastAsia="Arial" w:hAnsi="Arial"/>
                <w:sz w:val="14"/>
                <w:szCs w:val="14"/>
                <w:color w:val="auto"/>
              </w:rPr>
              <w:t>9,242,161</w:t>
            </w:r>
          </w:p>
        </w:tc>
        <w:tc>
          <w:tcPr>
            <w:tcW w:w="60" w:type="dxa"/>
            <w:vAlign w:val="bottom"/>
            <w:tcBorders>
              <w:top w:val="single" w:sz="8" w:color="EDEDEE"/>
            </w:tcBorders>
            <w:shd w:val="clear" w:color="auto" w:fill="EDEDEE"/>
          </w:tcPr>
          <w:p>
            <w:pPr>
              <w:spacing w:after="0"/>
              <w:rPr>
                <w:sz w:val="13"/>
                <w:szCs w:val="13"/>
                <w:color w:val="auto"/>
              </w:rPr>
            </w:pPr>
          </w:p>
        </w:tc>
        <w:tc>
          <w:tcPr>
            <w:tcW w:w="40" w:type="dxa"/>
            <w:vAlign w:val="bottom"/>
            <w:tcBorders>
              <w:top w:val="single" w:sz="8" w:color="EDEDEE"/>
            </w:tcBorders>
            <w:shd w:val="clear" w:color="auto" w:fill="EDEDEE"/>
          </w:tcPr>
          <w:p>
            <w:pPr>
              <w:spacing w:after="0"/>
              <w:rPr>
                <w:sz w:val="13"/>
                <w:szCs w:val="13"/>
                <w:color w:val="auto"/>
              </w:rPr>
            </w:pPr>
          </w:p>
        </w:tc>
        <w:tc>
          <w:tcPr>
            <w:tcW w:w="100" w:type="dxa"/>
            <w:vAlign w:val="bottom"/>
            <w:tcBorders>
              <w:top w:val="single" w:sz="8" w:color="auto"/>
            </w:tcBorders>
            <w:shd w:val="clear" w:color="auto" w:fill="EDEDEE"/>
          </w:tcPr>
          <w:p>
            <w:pPr>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EDEDEE"/>
          </w:tcPr>
          <w:p>
            <w:pPr>
              <w:jc w:val="right"/>
              <w:spacing w:after="0" w:line="155" w:lineRule="exact"/>
              <w:rPr>
                <w:sz w:val="20"/>
                <w:szCs w:val="20"/>
                <w:color w:val="auto"/>
              </w:rPr>
            </w:pPr>
            <w:r>
              <w:rPr>
                <w:rFonts w:ascii="Arial" w:cs="Arial" w:eastAsia="Arial" w:hAnsi="Arial"/>
                <w:sz w:val="14"/>
                <w:szCs w:val="14"/>
                <w:color w:val="auto"/>
              </w:rPr>
              <w:t>6,130,837</w:t>
            </w:r>
          </w:p>
        </w:tc>
        <w:tc>
          <w:tcPr>
            <w:tcW w:w="60" w:type="dxa"/>
            <w:vAlign w:val="bottom"/>
            <w:tcBorders>
              <w:top w:val="single" w:sz="8" w:color="EDEDEE"/>
            </w:tcBorders>
            <w:shd w:val="clear" w:color="auto" w:fill="EDEDEE"/>
          </w:tcPr>
          <w:p>
            <w:pPr>
              <w:spacing w:after="0"/>
              <w:rPr>
                <w:sz w:val="13"/>
                <w:szCs w:val="13"/>
                <w:color w:val="auto"/>
              </w:rPr>
            </w:pPr>
          </w:p>
        </w:tc>
        <w:tc>
          <w:tcPr>
            <w:tcW w:w="60" w:type="dxa"/>
            <w:vAlign w:val="bottom"/>
            <w:tcBorders>
              <w:top w:val="single" w:sz="8" w:color="EDEDEE"/>
            </w:tcBorders>
            <w:shd w:val="clear" w:color="auto" w:fill="EDEDEE"/>
          </w:tcPr>
          <w:p>
            <w:pPr>
              <w:spacing w:after="0"/>
              <w:rPr>
                <w:sz w:val="13"/>
                <w:szCs w:val="13"/>
                <w:color w:val="auto"/>
              </w:rPr>
            </w:pPr>
          </w:p>
        </w:tc>
        <w:tc>
          <w:tcPr>
            <w:tcW w:w="1000" w:type="dxa"/>
            <w:vAlign w:val="bottom"/>
            <w:tcBorders>
              <w:top w:val="single" w:sz="8" w:color="auto"/>
            </w:tcBorders>
            <w:shd w:val="clear" w:color="auto" w:fill="EDEDEE"/>
          </w:tcPr>
          <w:p>
            <w:pPr>
              <w:jc w:val="right"/>
              <w:spacing w:after="0" w:line="155" w:lineRule="exact"/>
              <w:rPr>
                <w:sz w:val="20"/>
                <w:szCs w:val="20"/>
                <w:color w:val="auto"/>
              </w:rPr>
            </w:pPr>
            <w:r>
              <w:rPr>
                <w:rFonts w:ascii="Arial" w:cs="Arial" w:eastAsia="Arial" w:hAnsi="Arial"/>
                <w:sz w:val="14"/>
                <w:szCs w:val="14"/>
                <w:color w:val="auto"/>
              </w:rPr>
              <w:t>9,424,946</w:t>
            </w:r>
          </w:p>
        </w:tc>
        <w:tc>
          <w:tcPr>
            <w:tcW w:w="40" w:type="dxa"/>
            <w:vAlign w:val="bottom"/>
            <w:tcBorders>
              <w:top w:val="single" w:sz="8" w:color="EDEDEE"/>
            </w:tcBorders>
            <w:shd w:val="clear" w:color="auto" w:fill="EDEDEE"/>
          </w:tcPr>
          <w:p>
            <w:pPr>
              <w:spacing w:after="0"/>
              <w:rPr>
                <w:sz w:val="13"/>
                <w:szCs w:val="13"/>
                <w:color w:val="auto"/>
              </w:rPr>
            </w:pPr>
          </w:p>
        </w:tc>
        <w:tc>
          <w:tcPr>
            <w:tcW w:w="60" w:type="dxa"/>
            <w:vAlign w:val="bottom"/>
            <w:tcBorders>
              <w:top w:val="single" w:sz="8" w:color="EDEDEE"/>
            </w:tcBorders>
            <w:shd w:val="clear" w:color="auto" w:fill="EDEDEE"/>
          </w:tcPr>
          <w:p>
            <w:pPr>
              <w:spacing w:after="0"/>
              <w:rPr>
                <w:sz w:val="13"/>
                <w:szCs w:val="13"/>
                <w:color w:val="auto"/>
              </w:rPr>
            </w:pPr>
          </w:p>
        </w:tc>
        <w:tc>
          <w:tcPr>
            <w:tcW w:w="1000" w:type="dxa"/>
            <w:vAlign w:val="bottom"/>
            <w:tcBorders>
              <w:top w:val="single" w:sz="8" w:color="auto"/>
            </w:tcBorders>
            <w:shd w:val="clear" w:color="auto" w:fill="EDEDEE"/>
          </w:tcPr>
          <w:p>
            <w:pPr>
              <w:jc w:val="right"/>
              <w:spacing w:after="0" w:line="155" w:lineRule="exact"/>
              <w:rPr>
                <w:sz w:val="20"/>
                <w:szCs w:val="20"/>
                <w:color w:val="auto"/>
              </w:rPr>
            </w:pPr>
            <w:r>
              <w:rPr>
                <w:rFonts w:ascii="Arial" w:cs="Arial" w:eastAsia="Arial" w:hAnsi="Arial"/>
                <w:sz w:val="14"/>
                <w:szCs w:val="14"/>
                <w:color w:val="auto"/>
              </w:rPr>
              <w:t>1,473,093</w:t>
            </w:r>
          </w:p>
        </w:tc>
        <w:tc>
          <w:tcPr>
            <w:tcW w:w="60" w:type="dxa"/>
            <w:vAlign w:val="bottom"/>
            <w:tcBorders>
              <w:top w:val="single" w:sz="8" w:color="EDEDEE"/>
            </w:tcBorders>
            <w:shd w:val="clear" w:color="auto" w:fill="EDEDEE"/>
          </w:tcPr>
          <w:p>
            <w:pPr>
              <w:spacing w:after="0"/>
              <w:rPr>
                <w:sz w:val="13"/>
                <w:szCs w:val="13"/>
                <w:color w:val="auto"/>
              </w:rPr>
            </w:pPr>
          </w:p>
        </w:tc>
        <w:tc>
          <w:tcPr>
            <w:tcW w:w="60" w:type="dxa"/>
            <w:vAlign w:val="bottom"/>
            <w:tcBorders>
              <w:top w:val="single" w:sz="8" w:color="EDEDEE"/>
            </w:tcBorders>
            <w:shd w:val="clear" w:color="auto" w:fill="EDEDEE"/>
          </w:tcPr>
          <w:p>
            <w:pPr>
              <w:spacing w:after="0"/>
              <w:rPr>
                <w:sz w:val="13"/>
                <w:szCs w:val="13"/>
                <w:color w:val="auto"/>
              </w:rPr>
            </w:pPr>
          </w:p>
        </w:tc>
        <w:tc>
          <w:tcPr>
            <w:tcW w:w="100" w:type="dxa"/>
            <w:vAlign w:val="bottom"/>
            <w:tcBorders>
              <w:top w:val="single" w:sz="8" w:color="auto"/>
            </w:tcBorders>
            <w:shd w:val="clear" w:color="auto" w:fill="EDEDEE"/>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EDEDEE"/>
          </w:tcPr>
          <w:p>
            <w:pPr>
              <w:ind w:left="240"/>
              <w:spacing w:after="0" w:line="155" w:lineRule="exact"/>
              <w:rPr>
                <w:sz w:val="20"/>
                <w:szCs w:val="20"/>
                <w:color w:val="auto"/>
              </w:rPr>
            </w:pPr>
            <w:r>
              <w:rPr>
                <w:rFonts w:ascii="Arial" w:cs="Arial" w:eastAsia="Arial" w:hAnsi="Arial"/>
                <w:sz w:val="14"/>
                <w:szCs w:val="14"/>
                <w:color w:val="auto"/>
                <w:w w:val="99"/>
              </w:rPr>
              <w:t>2,929,251</w:t>
            </w:r>
          </w:p>
        </w:tc>
        <w:tc>
          <w:tcPr>
            <w:tcW w:w="60" w:type="dxa"/>
            <w:vAlign w:val="bottom"/>
            <w:tcBorders>
              <w:top w:val="single" w:sz="8" w:color="EDEDEE"/>
            </w:tcBorders>
            <w:shd w:val="clear" w:color="auto" w:fill="EDEDEE"/>
          </w:tcPr>
          <w:p>
            <w:pPr>
              <w:spacing w:after="0"/>
              <w:rPr>
                <w:sz w:val="13"/>
                <w:szCs w:val="13"/>
                <w:color w:val="auto"/>
              </w:rPr>
            </w:pPr>
          </w:p>
        </w:tc>
        <w:tc>
          <w:tcPr>
            <w:tcW w:w="60" w:type="dxa"/>
            <w:vAlign w:val="bottom"/>
            <w:tcBorders>
              <w:top w:val="single" w:sz="8" w:color="EDEDEE"/>
            </w:tcBorders>
            <w:shd w:val="clear" w:color="auto" w:fill="EDEDEE"/>
          </w:tcPr>
          <w:p>
            <w:pPr>
              <w:spacing w:after="0"/>
              <w:rPr>
                <w:sz w:val="13"/>
                <w:szCs w:val="13"/>
                <w:color w:val="auto"/>
              </w:rPr>
            </w:pPr>
          </w:p>
        </w:tc>
        <w:tc>
          <w:tcPr>
            <w:tcW w:w="80" w:type="dxa"/>
            <w:vAlign w:val="bottom"/>
            <w:tcBorders>
              <w:top w:val="single" w:sz="8" w:color="auto"/>
            </w:tcBorders>
            <w:shd w:val="clear" w:color="auto" w:fill="EDEDEE"/>
          </w:tcPr>
          <w:p>
            <w:pPr>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EDEDEE"/>
          </w:tcPr>
          <w:p>
            <w:pPr>
              <w:jc w:val="right"/>
              <w:spacing w:after="0" w:line="155" w:lineRule="exact"/>
              <w:rPr>
                <w:sz w:val="20"/>
                <w:szCs w:val="20"/>
                <w:color w:val="auto"/>
              </w:rPr>
            </w:pPr>
            <w:r>
              <w:rPr>
                <w:rFonts w:ascii="Arial" w:cs="Arial" w:eastAsia="Arial" w:hAnsi="Arial"/>
                <w:sz w:val="14"/>
                <w:szCs w:val="14"/>
                <w:color w:val="auto"/>
              </w:rPr>
              <w:t>1,248,305</w:t>
            </w:r>
          </w:p>
        </w:tc>
        <w:tc>
          <w:tcPr>
            <w:tcW w:w="60" w:type="dxa"/>
            <w:vAlign w:val="bottom"/>
            <w:tcBorders>
              <w:top w:val="single" w:sz="8" w:color="EDEDEE"/>
            </w:tcBorders>
            <w:shd w:val="clear" w:color="auto" w:fill="EDEDEE"/>
          </w:tcPr>
          <w:p>
            <w:pPr>
              <w:spacing w:after="0"/>
              <w:rPr>
                <w:sz w:val="13"/>
                <w:szCs w:val="13"/>
                <w:color w:val="auto"/>
              </w:rPr>
            </w:pPr>
          </w:p>
        </w:tc>
        <w:tc>
          <w:tcPr>
            <w:tcW w:w="40" w:type="dxa"/>
            <w:vAlign w:val="bottom"/>
            <w:tcBorders>
              <w:top w:val="single" w:sz="8" w:color="EDEDEE"/>
            </w:tcBorders>
            <w:shd w:val="clear" w:color="auto" w:fill="EDEDEE"/>
          </w:tcPr>
          <w:p>
            <w:pPr>
              <w:spacing w:after="0"/>
              <w:rPr>
                <w:sz w:val="13"/>
                <w:szCs w:val="13"/>
                <w:color w:val="auto"/>
              </w:rPr>
            </w:pPr>
          </w:p>
        </w:tc>
        <w:tc>
          <w:tcPr>
            <w:tcW w:w="160" w:type="dxa"/>
            <w:vAlign w:val="bottom"/>
            <w:tcBorders>
              <w:top w:val="single" w:sz="8" w:color="auto"/>
            </w:tcBorders>
            <w:shd w:val="clear" w:color="auto" w:fill="EDEDEE"/>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EDEDEE"/>
          </w:tcPr>
          <w:p>
            <w:pPr>
              <w:jc w:val="right"/>
              <w:spacing w:after="0" w:line="155" w:lineRule="exact"/>
              <w:rPr>
                <w:sz w:val="20"/>
                <w:szCs w:val="20"/>
                <w:color w:val="auto"/>
              </w:rPr>
            </w:pPr>
            <w:r>
              <w:rPr>
                <w:rFonts w:ascii="Arial" w:cs="Arial" w:eastAsia="Arial" w:hAnsi="Arial"/>
                <w:sz w:val="14"/>
                <w:szCs w:val="14"/>
                <w:color w:val="auto"/>
              </w:rPr>
              <w:t>40.50</w:t>
            </w:r>
          </w:p>
        </w:tc>
        <w:tc>
          <w:tcPr>
            <w:tcW w:w="100" w:type="dxa"/>
            <w:vAlign w:val="bottom"/>
            <w:tcBorders>
              <w:top w:val="single" w:sz="8" w:color="EDEDEE"/>
            </w:tcBorders>
            <w:shd w:val="clear" w:color="auto" w:fill="EDEDEE"/>
          </w:tcPr>
          <w:p>
            <w:pPr>
              <w:spacing w:after="0"/>
              <w:rPr>
                <w:sz w:val="13"/>
                <w:szCs w:val="13"/>
                <w:color w:val="auto"/>
              </w:rPr>
            </w:pPr>
          </w:p>
        </w:tc>
        <w:tc>
          <w:tcPr>
            <w:tcW w:w="160" w:type="dxa"/>
            <w:vAlign w:val="bottom"/>
            <w:tcBorders>
              <w:top w:val="single" w:sz="8" w:color="auto"/>
            </w:tcBorders>
            <w:shd w:val="clear" w:color="auto" w:fill="EDEDEE"/>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EDEDEE"/>
          </w:tcPr>
          <w:p>
            <w:pPr>
              <w:jc w:val="right"/>
              <w:spacing w:after="0" w:line="155" w:lineRule="exact"/>
              <w:rPr>
                <w:sz w:val="20"/>
                <w:szCs w:val="20"/>
                <w:color w:val="auto"/>
              </w:rPr>
            </w:pPr>
            <w:r>
              <w:rPr>
                <w:rFonts w:ascii="Arial" w:cs="Arial" w:eastAsia="Arial" w:hAnsi="Arial"/>
                <w:sz w:val="14"/>
                <w:szCs w:val="14"/>
                <w:color w:val="auto"/>
              </w:rPr>
              <w:t>78.69</w:t>
            </w:r>
          </w:p>
        </w:tc>
        <w:tc>
          <w:tcPr>
            <w:tcW w:w="20" w:type="dxa"/>
            <w:vAlign w:val="bottom"/>
            <w:tcBorders>
              <w:top w:val="single" w:sz="8" w:color="EDEDEE"/>
            </w:tcBorders>
            <w:shd w:val="clear" w:color="auto" w:fill="EDEDEE"/>
          </w:tcPr>
          <w:p>
            <w:pPr>
              <w:spacing w:after="0"/>
              <w:rPr>
                <w:sz w:val="13"/>
                <w:szCs w:val="13"/>
                <w:color w:val="auto"/>
              </w:rPr>
            </w:pPr>
          </w:p>
        </w:tc>
        <w:tc>
          <w:tcPr>
            <w:tcW w:w="20" w:type="dxa"/>
            <w:vAlign w:val="bottom"/>
            <w:tcBorders>
              <w:top w:val="single" w:sz="8" w:color="EDEDEE"/>
            </w:tcBorders>
            <w:shd w:val="clear" w:color="auto" w:fill="EDEDEE"/>
          </w:tcPr>
          <w:p>
            <w:pPr>
              <w:spacing w:after="0"/>
              <w:rPr>
                <w:sz w:val="13"/>
                <w:szCs w:val="13"/>
                <w:color w:val="auto"/>
              </w:rPr>
            </w:pPr>
          </w:p>
        </w:tc>
        <w:tc>
          <w:tcPr>
            <w:tcW w:w="60" w:type="dxa"/>
            <w:vAlign w:val="bottom"/>
            <w:tcBorders>
              <w:top w:val="single" w:sz="8" w:color="EDEDEE"/>
            </w:tcBorders>
            <w:shd w:val="clear" w:color="auto" w:fill="EDEDEE"/>
          </w:tcPr>
          <w:p>
            <w:pPr>
              <w:spacing w:after="0"/>
              <w:rPr>
                <w:sz w:val="13"/>
                <w:szCs w:val="13"/>
                <w:color w:val="auto"/>
              </w:rPr>
            </w:pPr>
          </w:p>
        </w:tc>
        <w:tc>
          <w:tcPr>
            <w:tcW w:w="140" w:type="dxa"/>
            <w:vAlign w:val="bottom"/>
            <w:tcBorders>
              <w:top w:val="single" w:sz="8" w:color="auto"/>
            </w:tcBorders>
            <w:shd w:val="clear" w:color="auto" w:fill="EDEDEE"/>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EDEDEE"/>
          </w:tcPr>
          <w:p>
            <w:pPr>
              <w:spacing w:after="0"/>
              <w:rPr>
                <w:sz w:val="13"/>
                <w:szCs w:val="13"/>
                <w:color w:val="auto"/>
              </w:rPr>
            </w:pPr>
          </w:p>
        </w:tc>
        <w:tc>
          <w:tcPr>
            <w:tcW w:w="120" w:type="dxa"/>
            <w:vAlign w:val="bottom"/>
            <w:tcBorders>
              <w:top w:val="single" w:sz="8" w:color="EDEDEE"/>
            </w:tcBorders>
            <w:shd w:val="clear" w:color="auto" w:fill="EDEDEE"/>
          </w:tcPr>
          <w:p>
            <w:pPr>
              <w:spacing w:after="0"/>
              <w:rPr>
                <w:sz w:val="13"/>
                <w:szCs w:val="13"/>
                <w:color w:val="auto"/>
              </w:rPr>
            </w:pPr>
          </w:p>
        </w:tc>
        <w:tc>
          <w:tcPr>
            <w:tcW w:w="120" w:type="dxa"/>
            <w:vAlign w:val="bottom"/>
            <w:tcBorders>
              <w:top w:val="single" w:sz="8" w:color="auto"/>
            </w:tcBorders>
            <w:shd w:val="clear" w:color="auto" w:fill="EDEDEE"/>
          </w:tcPr>
          <w:p>
            <w:pPr>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EDEDEE"/>
          </w:tcPr>
          <w:p>
            <w:pPr>
              <w:jc w:val="right"/>
              <w:spacing w:after="0" w:line="155" w:lineRule="exact"/>
              <w:rPr>
                <w:sz w:val="20"/>
                <w:szCs w:val="20"/>
                <w:color w:val="auto"/>
              </w:rPr>
            </w:pPr>
            <w:r>
              <w:rPr>
                <w:rFonts w:ascii="Arial" w:cs="Arial" w:eastAsia="Arial" w:hAnsi="Arial"/>
                <w:sz w:val="14"/>
                <w:szCs w:val="14"/>
                <w:color w:val="auto"/>
              </w:rPr>
              <w:t>2,243,800</w:t>
            </w:r>
          </w:p>
        </w:tc>
        <w:tc>
          <w:tcPr>
            <w:tcW w:w="80" w:type="dxa"/>
            <w:vAlign w:val="bottom"/>
            <w:tcBorders>
              <w:top w:val="single" w:sz="8" w:color="EDEDEE"/>
            </w:tcBorders>
            <w:shd w:val="clear" w:color="auto" w:fill="EDEDE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0"/>
              </w:rPr>
              <w:t>  2024</w:t>
            </w:r>
          </w:p>
        </w:tc>
        <w:tc>
          <w:tcPr>
            <w:tcW w:w="2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4"/>
                <w:szCs w:val="14"/>
                <w:color w:val="auto"/>
              </w:rPr>
              <w:t>12,452,638</w:t>
            </w:r>
          </w:p>
        </w:tc>
        <w:tc>
          <w:tcPr>
            <w:tcW w:w="1120" w:type="dxa"/>
            <w:vAlign w:val="bottom"/>
            <w:gridSpan w:val="3"/>
          </w:tcPr>
          <w:p>
            <w:pPr>
              <w:jc w:val="right"/>
              <w:ind w:right="60"/>
              <w:spacing w:after="0"/>
              <w:rPr>
                <w:sz w:val="20"/>
                <w:szCs w:val="20"/>
                <w:color w:val="auto"/>
              </w:rPr>
            </w:pPr>
            <w:r>
              <w:rPr>
                <w:rFonts w:ascii="Arial" w:cs="Arial" w:eastAsia="Arial" w:hAnsi="Arial"/>
                <w:sz w:val="14"/>
                <w:szCs w:val="14"/>
                <w:color w:val="auto"/>
              </w:rPr>
              <w:t>4,867,589</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240"/>
              <w:spacing w:after="0"/>
              <w:rPr>
                <w:sz w:val="20"/>
                <w:szCs w:val="20"/>
                <w:color w:val="auto"/>
              </w:rPr>
            </w:pPr>
            <w:r>
              <w:rPr>
                <w:rFonts w:ascii="Arial" w:cs="Arial" w:eastAsia="Arial" w:hAnsi="Arial"/>
                <w:sz w:val="14"/>
                <w:szCs w:val="14"/>
                <w:color w:val="auto"/>
              </w:rPr>
              <w:t>2,778,823</w:t>
            </w:r>
          </w:p>
        </w:tc>
        <w:tc>
          <w:tcPr>
            <w:tcW w:w="140" w:type="dxa"/>
            <w:vAlign w:val="bottom"/>
            <w:gridSpan w:val="2"/>
          </w:tcPr>
          <w:p>
            <w:pPr>
              <w:ind w:left="60"/>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1,738,391</w:t>
            </w:r>
          </w:p>
        </w:tc>
        <w:tc>
          <w:tcPr>
            <w:tcW w:w="2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66.71</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78.89</w:t>
            </w:r>
          </w:p>
        </w:tc>
        <w:tc>
          <w:tcPr>
            <w:tcW w:w="20" w:type="dxa"/>
            <w:vAlign w:val="bottom"/>
          </w:tcPr>
          <w:p>
            <w:pPr>
              <w:spacing w:after="0"/>
              <w:rPr>
                <w:sz w:val="14"/>
                <w:szCs w:val="14"/>
                <w:color w:val="auto"/>
              </w:rPr>
            </w:pPr>
          </w:p>
        </w:tc>
        <w:tc>
          <w:tcPr>
            <w:tcW w:w="2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(825,494)</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2,107,600</w:t>
            </w:r>
          </w:p>
        </w:tc>
        <w:tc>
          <w:tcPr>
            <w:tcW w:w="0" w:type="dxa"/>
            <w:vAlign w:val="bottom"/>
          </w:tcPr>
          <w:p>
            <w:pPr>
              <w:spacing w:after="0"/>
              <w:rPr>
                <w:sz w:val="1"/>
                <w:szCs w:val="1"/>
                <w:color w:val="auto"/>
              </w:rPr>
            </w:pPr>
          </w:p>
        </w:tc>
      </w:tr>
      <w:tr>
        <w:trPr>
          <w:trHeight w:val="162"/>
        </w:trPr>
        <w:tc>
          <w:tcPr>
            <w:tcW w:w="460" w:type="dxa"/>
            <w:vAlign w:val="bottom"/>
            <w:shd w:val="clear" w:color="auto" w:fill="EDEDEE"/>
          </w:tcPr>
          <w:p>
            <w:pPr>
              <w:jc w:val="center"/>
              <w:spacing w:after="0"/>
              <w:rPr>
                <w:sz w:val="20"/>
                <w:szCs w:val="20"/>
                <w:color w:val="auto"/>
              </w:rPr>
            </w:pPr>
            <w:r>
              <w:rPr>
                <w:rFonts w:ascii="Arial" w:cs="Arial" w:eastAsia="Arial" w:hAnsi="Arial"/>
                <w:sz w:val="14"/>
                <w:szCs w:val="14"/>
                <w:b w:val="1"/>
                <w:bCs w:val="1"/>
                <w:color w:val="auto"/>
                <w:w w:val="90"/>
              </w:rPr>
              <w:t>  2023</w:t>
            </w:r>
          </w:p>
        </w:tc>
        <w:tc>
          <w:tcPr>
            <w:tcW w:w="280" w:type="dxa"/>
            <w:vAlign w:val="bottom"/>
            <w:gridSpan w:val="2"/>
            <w:shd w:val="clear" w:color="auto" w:fill="EDEDEE"/>
          </w:tcPr>
          <w:p>
            <w:pPr>
              <w:ind w:left="60"/>
              <w:spacing w:after="0"/>
              <w:rPr>
                <w:sz w:val="20"/>
                <w:szCs w:val="20"/>
                <w:color w:val="auto"/>
              </w:rPr>
            </w:pPr>
            <w:r>
              <w:rPr>
                <w:rFonts w:ascii="Arial" w:cs="Arial" w:eastAsia="Arial" w:hAnsi="Arial"/>
                <w:sz w:val="14"/>
                <w:szCs w:val="14"/>
                <w:color w:val="auto"/>
              </w:rPr>
              <w:t>$</w:t>
            </w:r>
          </w:p>
        </w:tc>
        <w:tc>
          <w:tcPr>
            <w:tcW w:w="780" w:type="dxa"/>
            <w:vAlign w:val="bottom"/>
            <w:shd w:val="clear" w:color="auto" w:fill="EDEDEE"/>
          </w:tcPr>
          <w:p>
            <w:pPr>
              <w:spacing w:after="0"/>
              <w:rPr>
                <w:sz w:val="14"/>
                <w:szCs w:val="14"/>
                <w:color w:val="auto"/>
              </w:rPr>
            </w:pPr>
          </w:p>
        </w:tc>
        <w:tc>
          <w:tcPr>
            <w:tcW w:w="60" w:type="dxa"/>
            <w:vAlign w:val="bottom"/>
            <w:shd w:val="clear" w:color="auto" w:fill="EDEDEE"/>
          </w:tcPr>
          <w:p>
            <w:pPr>
              <w:spacing w:after="0"/>
              <w:rPr>
                <w:sz w:val="14"/>
                <w:szCs w:val="14"/>
                <w:color w:val="auto"/>
              </w:rPr>
            </w:pPr>
          </w:p>
        </w:tc>
        <w:tc>
          <w:tcPr>
            <w:tcW w:w="140" w:type="dxa"/>
            <w:vAlign w:val="bottom"/>
            <w:gridSpan w:val="2"/>
            <w:shd w:val="clear" w:color="auto" w:fill="EDEDEE"/>
          </w:tcPr>
          <w:p>
            <w:pPr>
              <w:ind w:left="40"/>
              <w:spacing w:after="0"/>
              <w:rPr>
                <w:sz w:val="20"/>
                <w:szCs w:val="20"/>
                <w:color w:val="auto"/>
              </w:rPr>
            </w:pPr>
            <w:r>
              <w:rPr>
                <w:rFonts w:ascii="Arial" w:cs="Arial" w:eastAsia="Arial" w:hAnsi="Arial"/>
                <w:sz w:val="14"/>
                <w:szCs w:val="14"/>
                <w:color w:val="auto"/>
              </w:rPr>
              <w:t>$</w:t>
            </w:r>
          </w:p>
        </w:tc>
        <w:tc>
          <w:tcPr>
            <w:tcW w:w="900" w:type="dxa"/>
            <w:vAlign w:val="bottom"/>
            <w:shd w:val="clear" w:color="auto" w:fill="EDEDEE"/>
          </w:tcPr>
          <w:p>
            <w:pPr>
              <w:spacing w:after="0"/>
              <w:rPr>
                <w:sz w:val="14"/>
                <w:szCs w:val="14"/>
                <w:color w:val="auto"/>
              </w:rPr>
            </w:pPr>
          </w:p>
        </w:tc>
        <w:tc>
          <w:tcPr>
            <w:tcW w:w="60" w:type="dxa"/>
            <w:vAlign w:val="bottom"/>
            <w:shd w:val="clear" w:color="auto" w:fill="EDEDEE"/>
          </w:tcPr>
          <w:p>
            <w:pPr>
              <w:spacing w:after="0"/>
              <w:rPr>
                <w:sz w:val="14"/>
                <w:szCs w:val="14"/>
                <w:color w:val="auto"/>
              </w:rPr>
            </w:pPr>
          </w:p>
        </w:tc>
        <w:tc>
          <w:tcPr>
            <w:tcW w:w="1100" w:type="dxa"/>
            <w:vAlign w:val="bottom"/>
            <w:gridSpan w:val="3"/>
            <w:shd w:val="clear" w:color="auto" w:fill="EDEDEE"/>
          </w:tcPr>
          <w:p>
            <w:pPr>
              <w:jc w:val="right"/>
              <w:ind w:right="40"/>
              <w:spacing w:after="0"/>
              <w:rPr>
                <w:sz w:val="20"/>
                <w:szCs w:val="20"/>
                <w:color w:val="auto"/>
              </w:rPr>
            </w:pPr>
            <w:r>
              <w:rPr>
                <w:rFonts w:ascii="Arial" w:cs="Arial" w:eastAsia="Arial" w:hAnsi="Arial"/>
                <w:sz w:val="14"/>
                <w:szCs w:val="14"/>
                <w:color w:val="auto"/>
              </w:rPr>
              <w:t>10,774,635</w:t>
            </w:r>
          </w:p>
        </w:tc>
        <w:tc>
          <w:tcPr>
            <w:tcW w:w="1120" w:type="dxa"/>
            <w:vAlign w:val="bottom"/>
            <w:gridSpan w:val="3"/>
            <w:shd w:val="clear" w:color="auto" w:fill="EDEDEE"/>
          </w:tcPr>
          <w:p>
            <w:pPr>
              <w:jc w:val="right"/>
              <w:ind w:right="60"/>
              <w:spacing w:after="0"/>
              <w:rPr>
                <w:sz w:val="20"/>
                <w:szCs w:val="20"/>
                <w:color w:val="auto"/>
              </w:rPr>
            </w:pPr>
            <w:r>
              <w:rPr>
                <w:rFonts w:ascii="Arial" w:cs="Arial" w:eastAsia="Arial" w:hAnsi="Arial"/>
                <w:sz w:val="14"/>
                <w:szCs w:val="14"/>
                <w:color w:val="auto"/>
              </w:rPr>
              <w:t>11,810,926</w:t>
            </w:r>
          </w:p>
        </w:tc>
        <w:tc>
          <w:tcPr>
            <w:tcW w:w="160" w:type="dxa"/>
            <w:vAlign w:val="bottom"/>
            <w:gridSpan w:val="2"/>
            <w:shd w:val="clear" w:color="auto" w:fill="EDEDEE"/>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EDEDEE"/>
          </w:tcPr>
          <w:p>
            <w:pPr>
              <w:ind w:left="240"/>
              <w:spacing w:after="0"/>
              <w:rPr>
                <w:sz w:val="20"/>
                <w:szCs w:val="20"/>
                <w:color w:val="auto"/>
              </w:rPr>
            </w:pPr>
            <w:r>
              <w:rPr>
                <w:rFonts w:ascii="Arial" w:cs="Arial" w:eastAsia="Arial" w:hAnsi="Arial"/>
                <w:sz w:val="14"/>
                <w:szCs w:val="14"/>
                <w:color w:val="auto"/>
              </w:rPr>
              <w:t>3,596,823</w:t>
            </w:r>
          </w:p>
        </w:tc>
        <w:tc>
          <w:tcPr>
            <w:tcW w:w="140" w:type="dxa"/>
            <w:vAlign w:val="bottom"/>
            <w:gridSpan w:val="2"/>
            <w:shd w:val="clear" w:color="auto" w:fill="EDEDEE"/>
          </w:tcPr>
          <w:p>
            <w:pPr>
              <w:ind w:left="60"/>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EDEDEE"/>
          </w:tcPr>
          <w:p>
            <w:pPr>
              <w:jc w:val="right"/>
              <w:ind w:right="60"/>
              <w:spacing w:after="0"/>
              <w:rPr>
                <w:sz w:val="20"/>
                <w:szCs w:val="20"/>
                <w:color w:val="auto"/>
              </w:rPr>
            </w:pPr>
            <w:r>
              <w:rPr>
                <w:rFonts w:ascii="Arial" w:cs="Arial" w:eastAsia="Arial" w:hAnsi="Arial"/>
                <w:sz w:val="14"/>
                <w:szCs w:val="14"/>
                <w:color w:val="auto"/>
              </w:rPr>
              <w:t>3,819,599</w:t>
            </w:r>
          </w:p>
        </w:tc>
        <w:tc>
          <w:tcPr>
            <w:tcW w:w="200" w:type="dxa"/>
            <w:vAlign w:val="bottom"/>
            <w:gridSpan w:val="2"/>
            <w:shd w:val="clear" w:color="auto" w:fill="EDEDEE"/>
          </w:tcPr>
          <w:p>
            <w:pPr>
              <w:ind w:left="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EDEDEE"/>
          </w:tcPr>
          <w:p>
            <w:pPr>
              <w:jc w:val="right"/>
              <w:ind w:right="100"/>
              <w:spacing w:after="0"/>
              <w:rPr>
                <w:sz w:val="20"/>
                <w:szCs w:val="20"/>
                <w:color w:val="auto"/>
              </w:rPr>
            </w:pPr>
            <w:r>
              <w:rPr>
                <w:rFonts w:ascii="Arial" w:cs="Arial" w:eastAsia="Arial" w:hAnsi="Arial"/>
                <w:sz w:val="14"/>
                <w:szCs w:val="14"/>
                <w:color w:val="auto"/>
              </w:rPr>
              <w:t>85.17</w:t>
            </w:r>
          </w:p>
        </w:tc>
        <w:tc>
          <w:tcPr>
            <w:tcW w:w="160" w:type="dxa"/>
            <w:vAlign w:val="bottom"/>
            <w:shd w:val="clear" w:color="auto" w:fill="EDEDEE"/>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EDEDEE"/>
          </w:tcPr>
          <w:p>
            <w:pPr>
              <w:jc w:val="right"/>
              <w:ind w:right="20"/>
              <w:spacing w:after="0"/>
              <w:rPr>
                <w:sz w:val="20"/>
                <w:szCs w:val="20"/>
                <w:color w:val="auto"/>
              </w:rPr>
            </w:pPr>
            <w:r>
              <w:rPr>
                <w:rFonts w:ascii="Arial" w:cs="Arial" w:eastAsia="Arial" w:hAnsi="Arial"/>
                <w:sz w:val="14"/>
                <w:szCs w:val="14"/>
                <w:color w:val="auto"/>
              </w:rPr>
              <w:t>74.82</w:t>
            </w:r>
          </w:p>
        </w:tc>
        <w:tc>
          <w:tcPr>
            <w:tcW w:w="20" w:type="dxa"/>
            <w:vAlign w:val="bottom"/>
            <w:shd w:val="clear" w:color="auto" w:fill="EDEDEE"/>
          </w:tcPr>
          <w:p>
            <w:pPr>
              <w:spacing w:after="0"/>
              <w:rPr>
                <w:sz w:val="14"/>
                <w:szCs w:val="14"/>
                <w:color w:val="auto"/>
              </w:rPr>
            </w:pPr>
          </w:p>
        </w:tc>
        <w:tc>
          <w:tcPr>
            <w:tcW w:w="200" w:type="dxa"/>
            <w:vAlign w:val="bottom"/>
            <w:gridSpan w:val="2"/>
            <w:shd w:val="clear" w:color="auto" w:fill="EDEDEE"/>
          </w:tcPr>
          <w:p>
            <w:pPr>
              <w:ind w:left="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EDEDEE"/>
          </w:tcPr>
          <w:p>
            <w:pPr>
              <w:jc w:val="right"/>
              <w:ind w:right="80"/>
              <w:spacing w:after="0"/>
              <w:rPr>
                <w:sz w:val="20"/>
                <w:szCs w:val="20"/>
                <w:color w:val="auto"/>
              </w:rPr>
            </w:pPr>
            <w:r>
              <w:rPr>
                <w:rFonts w:ascii="Arial" w:cs="Arial" w:eastAsia="Arial" w:hAnsi="Arial"/>
                <w:sz w:val="14"/>
                <w:szCs w:val="14"/>
                <w:color w:val="auto"/>
              </w:rPr>
              <w:t>(33,261)</w:t>
            </w:r>
          </w:p>
        </w:tc>
        <w:tc>
          <w:tcPr>
            <w:tcW w:w="120" w:type="dxa"/>
            <w:vAlign w:val="bottom"/>
            <w:shd w:val="clear" w:color="auto" w:fill="EDEDEE"/>
          </w:tcPr>
          <w:p>
            <w:pPr>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EDEDEE"/>
          </w:tcPr>
          <w:p>
            <w:pPr>
              <w:jc w:val="right"/>
              <w:ind w:right="80"/>
              <w:spacing w:after="0"/>
              <w:rPr>
                <w:sz w:val="20"/>
                <w:szCs w:val="20"/>
                <w:color w:val="auto"/>
              </w:rPr>
            </w:pPr>
            <w:r>
              <w:rPr>
                <w:rFonts w:ascii="Arial" w:cs="Arial" w:eastAsia="Arial" w:hAnsi="Arial"/>
                <w:sz w:val="14"/>
                <w:szCs w:val="14"/>
                <w:color w:val="auto"/>
              </w:rPr>
              <w:t>1,693,000</w:t>
            </w:r>
          </w:p>
        </w:tc>
        <w:tc>
          <w:tcPr>
            <w:tcW w:w="0" w:type="dxa"/>
            <w:vAlign w:val="bottom"/>
          </w:tcPr>
          <w:p>
            <w:pPr>
              <w:spacing w:after="0"/>
              <w:rPr>
                <w:sz w:val="1"/>
                <w:szCs w:val="1"/>
                <w:color w:val="auto"/>
              </w:rPr>
            </w:pPr>
          </w:p>
        </w:tc>
      </w:tr>
      <w:tr>
        <w:trPr>
          <w:trHeight w:val="162"/>
        </w:trPr>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0"/>
              </w:rPr>
              <w:t>  2022</w:t>
            </w:r>
          </w:p>
        </w:tc>
        <w:tc>
          <w:tcPr>
            <w:tcW w:w="2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4"/>
                <w:szCs w:val="14"/>
                <w:color w:val="auto"/>
              </w:rPr>
              <w:t>12,196,680</w:t>
            </w:r>
          </w:p>
        </w:tc>
        <w:tc>
          <w:tcPr>
            <w:tcW w:w="1120" w:type="dxa"/>
            <w:vAlign w:val="bottom"/>
            <w:gridSpan w:val="3"/>
          </w:tcPr>
          <w:p>
            <w:pPr>
              <w:jc w:val="right"/>
              <w:ind w:right="60"/>
              <w:spacing w:after="0"/>
              <w:rPr>
                <w:sz w:val="20"/>
                <w:szCs w:val="20"/>
                <w:color w:val="auto"/>
              </w:rPr>
            </w:pPr>
            <w:r>
              <w:rPr>
                <w:rFonts w:ascii="Arial" w:cs="Arial" w:eastAsia="Arial" w:hAnsi="Arial"/>
                <w:sz w:val="14"/>
                <w:szCs w:val="14"/>
                <w:color w:val="auto"/>
              </w:rPr>
              <w:t>9,697,518</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240"/>
              <w:spacing w:after="0"/>
              <w:rPr>
                <w:sz w:val="20"/>
                <w:szCs w:val="20"/>
                <w:color w:val="auto"/>
              </w:rPr>
            </w:pPr>
            <w:r>
              <w:rPr>
                <w:rFonts w:ascii="Arial" w:cs="Arial" w:eastAsia="Arial" w:hAnsi="Arial"/>
                <w:sz w:val="14"/>
                <w:szCs w:val="14"/>
                <w:color w:val="auto"/>
              </w:rPr>
              <w:t>4,438,420</w:t>
            </w:r>
          </w:p>
        </w:tc>
        <w:tc>
          <w:tcPr>
            <w:tcW w:w="140" w:type="dxa"/>
            <w:vAlign w:val="bottom"/>
            <w:gridSpan w:val="2"/>
          </w:tcPr>
          <w:p>
            <w:pPr>
              <w:ind w:left="60"/>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3,382,267</w:t>
            </w:r>
          </w:p>
        </w:tc>
        <w:tc>
          <w:tcPr>
            <w:tcW w:w="2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81.37</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79.32</w:t>
            </w:r>
          </w:p>
        </w:tc>
        <w:tc>
          <w:tcPr>
            <w:tcW w:w="20" w:type="dxa"/>
            <w:vAlign w:val="bottom"/>
          </w:tcPr>
          <w:p>
            <w:pPr>
              <w:spacing w:after="0"/>
              <w:rPr>
                <w:sz w:val="14"/>
                <w:szCs w:val="14"/>
                <w:color w:val="auto"/>
              </w:rPr>
            </w:pPr>
          </w:p>
        </w:tc>
        <w:tc>
          <w:tcPr>
            <w:tcW w:w="2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(13,292)</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1,560,000</w:t>
            </w:r>
          </w:p>
        </w:tc>
        <w:tc>
          <w:tcPr>
            <w:tcW w:w="0" w:type="dxa"/>
            <w:vAlign w:val="bottom"/>
          </w:tcPr>
          <w:p>
            <w:pPr>
              <w:spacing w:after="0"/>
              <w:rPr>
                <w:sz w:val="1"/>
                <w:szCs w:val="1"/>
                <w:color w:val="auto"/>
              </w:rPr>
            </w:pPr>
          </w:p>
        </w:tc>
      </w:tr>
      <w:tr>
        <w:trPr>
          <w:trHeight w:val="176"/>
        </w:trPr>
        <w:tc>
          <w:tcPr>
            <w:tcW w:w="460" w:type="dxa"/>
            <w:vAlign w:val="bottom"/>
            <w:shd w:val="clear" w:color="auto" w:fill="EDEDEE"/>
          </w:tcPr>
          <w:p>
            <w:pPr>
              <w:jc w:val="center"/>
              <w:spacing w:after="0"/>
              <w:rPr>
                <w:sz w:val="20"/>
                <w:szCs w:val="20"/>
                <w:color w:val="auto"/>
              </w:rPr>
            </w:pPr>
            <w:r>
              <w:rPr>
                <w:rFonts w:ascii="Arial" w:cs="Arial" w:eastAsia="Arial" w:hAnsi="Arial"/>
                <w:sz w:val="14"/>
                <w:szCs w:val="14"/>
                <w:b w:val="1"/>
                <w:bCs w:val="1"/>
                <w:color w:val="auto"/>
                <w:w w:val="90"/>
              </w:rPr>
              <w:t>  2021</w:t>
            </w:r>
          </w:p>
        </w:tc>
        <w:tc>
          <w:tcPr>
            <w:tcW w:w="60" w:type="dxa"/>
            <w:vAlign w:val="bottom"/>
            <w:shd w:val="clear" w:color="auto" w:fill="EDEDEE"/>
          </w:tcPr>
          <w:p>
            <w:pPr>
              <w:spacing w:after="0"/>
              <w:rPr>
                <w:sz w:val="15"/>
                <w:szCs w:val="15"/>
                <w:color w:val="auto"/>
              </w:rPr>
            </w:pPr>
          </w:p>
        </w:tc>
        <w:tc>
          <w:tcPr>
            <w:tcW w:w="220" w:type="dxa"/>
            <w:vAlign w:val="bottom"/>
            <w:shd w:val="clear" w:color="auto" w:fill="EDEDEE"/>
          </w:tcPr>
          <w:p>
            <w:pPr>
              <w:spacing w:after="0"/>
              <w:rPr>
                <w:sz w:val="20"/>
                <w:szCs w:val="20"/>
                <w:color w:val="auto"/>
              </w:rPr>
            </w:pPr>
            <w:r>
              <w:rPr>
                <w:rFonts w:ascii="Arial" w:cs="Arial" w:eastAsia="Arial" w:hAnsi="Arial"/>
                <w:sz w:val="14"/>
                <w:szCs w:val="14"/>
                <w:color w:val="auto"/>
              </w:rPr>
              <w:t>$</w:t>
            </w:r>
          </w:p>
        </w:tc>
        <w:tc>
          <w:tcPr>
            <w:tcW w:w="780" w:type="dxa"/>
            <w:vAlign w:val="bottom"/>
            <w:shd w:val="clear" w:color="auto" w:fill="EDEDEE"/>
          </w:tcPr>
          <w:p>
            <w:pPr>
              <w:spacing w:after="0"/>
              <w:rPr>
                <w:sz w:val="15"/>
                <w:szCs w:val="15"/>
                <w:color w:val="auto"/>
              </w:rPr>
            </w:pPr>
          </w:p>
        </w:tc>
        <w:tc>
          <w:tcPr>
            <w:tcW w:w="60" w:type="dxa"/>
            <w:vAlign w:val="bottom"/>
            <w:shd w:val="clear" w:color="auto" w:fill="EDEDEE"/>
          </w:tcPr>
          <w:p>
            <w:pPr>
              <w:spacing w:after="0"/>
              <w:rPr>
                <w:sz w:val="15"/>
                <w:szCs w:val="15"/>
                <w:color w:val="auto"/>
              </w:rPr>
            </w:pPr>
          </w:p>
        </w:tc>
        <w:tc>
          <w:tcPr>
            <w:tcW w:w="40" w:type="dxa"/>
            <w:vAlign w:val="bottom"/>
            <w:shd w:val="clear" w:color="auto" w:fill="EDEDEE"/>
          </w:tcPr>
          <w:p>
            <w:pPr>
              <w:spacing w:after="0"/>
              <w:rPr>
                <w:sz w:val="15"/>
                <w:szCs w:val="15"/>
                <w:color w:val="auto"/>
              </w:rPr>
            </w:pPr>
          </w:p>
        </w:tc>
        <w:tc>
          <w:tcPr>
            <w:tcW w:w="100" w:type="dxa"/>
            <w:vAlign w:val="bottom"/>
            <w:shd w:val="clear" w:color="auto" w:fill="EDEDEE"/>
          </w:tcPr>
          <w:p>
            <w:pPr>
              <w:spacing w:after="0"/>
              <w:rPr>
                <w:sz w:val="20"/>
                <w:szCs w:val="20"/>
                <w:color w:val="auto"/>
              </w:rPr>
            </w:pPr>
            <w:r>
              <w:rPr>
                <w:rFonts w:ascii="Arial" w:cs="Arial" w:eastAsia="Arial" w:hAnsi="Arial"/>
                <w:sz w:val="14"/>
                <w:szCs w:val="14"/>
                <w:color w:val="auto"/>
              </w:rPr>
              <w:t>$</w:t>
            </w:r>
          </w:p>
        </w:tc>
        <w:tc>
          <w:tcPr>
            <w:tcW w:w="900" w:type="dxa"/>
            <w:vAlign w:val="bottom"/>
            <w:shd w:val="clear" w:color="auto" w:fill="EDEDEE"/>
          </w:tcPr>
          <w:p>
            <w:pPr>
              <w:spacing w:after="0"/>
              <w:rPr>
                <w:sz w:val="15"/>
                <w:szCs w:val="15"/>
                <w:color w:val="auto"/>
              </w:rPr>
            </w:pPr>
          </w:p>
        </w:tc>
        <w:tc>
          <w:tcPr>
            <w:tcW w:w="60" w:type="dxa"/>
            <w:vAlign w:val="bottom"/>
            <w:shd w:val="clear" w:color="auto" w:fill="EDEDEE"/>
          </w:tcPr>
          <w:p>
            <w:pPr>
              <w:spacing w:after="0"/>
              <w:rPr>
                <w:sz w:val="15"/>
                <w:szCs w:val="15"/>
                <w:color w:val="auto"/>
              </w:rPr>
            </w:pPr>
          </w:p>
        </w:tc>
        <w:tc>
          <w:tcPr>
            <w:tcW w:w="60" w:type="dxa"/>
            <w:vAlign w:val="bottom"/>
            <w:shd w:val="clear" w:color="auto" w:fill="EDEDEE"/>
          </w:tcPr>
          <w:p>
            <w:pPr>
              <w:spacing w:after="0"/>
              <w:rPr>
                <w:sz w:val="15"/>
                <w:szCs w:val="15"/>
                <w:color w:val="auto"/>
              </w:rPr>
            </w:pPr>
          </w:p>
        </w:tc>
        <w:tc>
          <w:tcPr>
            <w:tcW w:w="1000" w:type="dxa"/>
            <w:vAlign w:val="bottom"/>
            <w:shd w:val="clear" w:color="auto" w:fill="EDEDEE"/>
          </w:tcPr>
          <w:p>
            <w:pPr>
              <w:jc w:val="right"/>
              <w:spacing w:after="0"/>
              <w:rPr>
                <w:sz w:val="20"/>
                <w:szCs w:val="20"/>
                <w:color w:val="auto"/>
              </w:rPr>
            </w:pPr>
            <w:r>
              <w:rPr>
                <w:rFonts w:ascii="Arial" w:cs="Arial" w:eastAsia="Arial" w:hAnsi="Arial"/>
                <w:sz w:val="14"/>
                <w:szCs w:val="14"/>
                <w:color w:val="auto"/>
              </w:rPr>
              <w:t>13,833,746</w:t>
            </w:r>
          </w:p>
        </w:tc>
        <w:tc>
          <w:tcPr>
            <w:tcW w:w="40" w:type="dxa"/>
            <w:vAlign w:val="bottom"/>
            <w:shd w:val="clear" w:color="auto" w:fill="EDEDEE"/>
          </w:tcPr>
          <w:p>
            <w:pPr>
              <w:spacing w:after="0"/>
              <w:rPr>
                <w:sz w:val="15"/>
                <w:szCs w:val="15"/>
                <w:color w:val="auto"/>
              </w:rPr>
            </w:pPr>
          </w:p>
        </w:tc>
        <w:tc>
          <w:tcPr>
            <w:tcW w:w="60" w:type="dxa"/>
            <w:vAlign w:val="bottom"/>
            <w:shd w:val="clear" w:color="auto" w:fill="EDEDEE"/>
          </w:tcPr>
          <w:p>
            <w:pPr>
              <w:spacing w:after="0"/>
              <w:rPr>
                <w:sz w:val="15"/>
                <w:szCs w:val="15"/>
                <w:color w:val="auto"/>
              </w:rPr>
            </w:pPr>
          </w:p>
        </w:tc>
        <w:tc>
          <w:tcPr>
            <w:tcW w:w="1060" w:type="dxa"/>
            <w:vAlign w:val="bottom"/>
            <w:gridSpan w:val="2"/>
            <w:shd w:val="clear" w:color="auto" w:fill="EDEDEE"/>
          </w:tcPr>
          <w:p>
            <w:pPr>
              <w:jc w:val="right"/>
              <w:ind w:right="60"/>
              <w:spacing w:after="0"/>
              <w:rPr>
                <w:sz w:val="20"/>
                <w:szCs w:val="20"/>
                <w:color w:val="auto"/>
              </w:rPr>
            </w:pPr>
            <w:r>
              <w:rPr>
                <w:rFonts w:ascii="Arial" w:cs="Arial" w:eastAsia="Arial" w:hAnsi="Arial"/>
                <w:sz w:val="14"/>
                <w:szCs w:val="14"/>
                <w:color w:val="auto"/>
              </w:rPr>
              <w:t>14,132,803</w:t>
            </w:r>
          </w:p>
        </w:tc>
        <w:tc>
          <w:tcPr>
            <w:tcW w:w="160" w:type="dxa"/>
            <w:vAlign w:val="bottom"/>
            <w:gridSpan w:val="2"/>
            <w:shd w:val="clear" w:color="auto" w:fill="EDEDEE"/>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EDEDEE"/>
          </w:tcPr>
          <w:p>
            <w:pPr>
              <w:ind w:left="240"/>
              <w:spacing w:after="0"/>
              <w:rPr>
                <w:sz w:val="20"/>
                <w:szCs w:val="20"/>
                <w:color w:val="auto"/>
              </w:rPr>
            </w:pPr>
            <w:r>
              <w:rPr>
                <w:rFonts w:ascii="Arial" w:cs="Arial" w:eastAsia="Arial" w:hAnsi="Arial"/>
                <w:sz w:val="14"/>
                <w:szCs w:val="14"/>
                <w:color w:val="auto"/>
              </w:rPr>
              <w:t>4,459,993</w:t>
            </w:r>
          </w:p>
        </w:tc>
        <w:tc>
          <w:tcPr>
            <w:tcW w:w="140" w:type="dxa"/>
            <w:vAlign w:val="bottom"/>
            <w:gridSpan w:val="2"/>
            <w:shd w:val="clear" w:color="auto" w:fill="EDEDEE"/>
          </w:tcPr>
          <w:p>
            <w:pPr>
              <w:ind w:left="60"/>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EDEDEE"/>
          </w:tcPr>
          <w:p>
            <w:pPr>
              <w:jc w:val="right"/>
              <w:ind w:right="60"/>
              <w:spacing w:after="0"/>
              <w:rPr>
                <w:sz w:val="20"/>
                <w:szCs w:val="20"/>
                <w:color w:val="auto"/>
              </w:rPr>
            </w:pPr>
            <w:r>
              <w:rPr>
                <w:rFonts w:ascii="Arial" w:cs="Arial" w:eastAsia="Arial" w:hAnsi="Arial"/>
                <w:sz w:val="14"/>
                <w:szCs w:val="14"/>
                <w:color w:val="auto"/>
              </w:rPr>
              <w:t>4,901,370</w:t>
            </w:r>
          </w:p>
        </w:tc>
        <w:tc>
          <w:tcPr>
            <w:tcW w:w="200" w:type="dxa"/>
            <w:vAlign w:val="bottom"/>
            <w:gridSpan w:val="2"/>
            <w:shd w:val="clear" w:color="auto" w:fill="EDEDEE"/>
          </w:tcPr>
          <w:p>
            <w:pPr>
              <w:ind w:left="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EDEDEE"/>
          </w:tcPr>
          <w:p>
            <w:pPr>
              <w:jc w:val="right"/>
              <w:ind w:right="100"/>
              <w:spacing w:after="0"/>
              <w:rPr>
                <w:sz w:val="20"/>
                <w:szCs w:val="20"/>
                <w:color w:val="auto"/>
              </w:rPr>
            </w:pPr>
            <w:r>
              <w:rPr>
                <w:rFonts w:ascii="Arial" w:cs="Arial" w:eastAsia="Arial" w:hAnsi="Arial"/>
                <w:sz w:val="14"/>
                <w:szCs w:val="14"/>
                <w:color w:val="auto"/>
              </w:rPr>
              <w:t>120.21</w:t>
            </w:r>
          </w:p>
        </w:tc>
        <w:tc>
          <w:tcPr>
            <w:tcW w:w="160" w:type="dxa"/>
            <w:vAlign w:val="bottom"/>
            <w:shd w:val="clear" w:color="auto" w:fill="EDEDEE"/>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gridSpan w:val="3"/>
            <w:shd w:val="clear" w:color="auto" w:fill="EDEDEE"/>
          </w:tcPr>
          <w:p>
            <w:pPr>
              <w:jc w:val="right"/>
              <w:ind w:right="40"/>
              <w:spacing w:after="0"/>
              <w:rPr>
                <w:sz w:val="20"/>
                <w:szCs w:val="20"/>
                <w:color w:val="auto"/>
              </w:rPr>
            </w:pPr>
            <w:r>
              <w:rPr>
                <w:rFonts w:ascii="Arial" w:cs="Arial" w:eastAsia="Arial" w:hAnsi="Arial"/>
                <w:sz w:val="14"/>
                <w:szCs w:val="14"/>
                <w:color w:val="auto"/>
              </w:rPr>
              <w:t>103.50</w:t>
            </w:r>
          </w:p>
        </w:tc>
        <w:tc>
          <w:tcPr>
            <w:tcW w:w="200" w:type="dxa"/>
            <w:vAlign w:val="bottom"/>
            <w:gridSpan w:val="2"/>
            <w:shd w:val="clear" w:color="auto" w:fill="EDEDEE"/>
          </w:tcPr>
          <w:p>
            <w:pPr>
              <w:ind w:left="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EDEDEE"/>
          </w:tcPr>
          <w:p>
            <w:pPr>
              <w:jc w:val="right"/>
              <w:ind w:right="80"/>
              <w:spacing w:after="0"/>
              <w:rPr>
                <w:sz w:val="20"/>
                <w:szCs w:val="20"/>
                <w:color w:val="auto"/>
              </w:rPr>
            </w:pPr>
            <w:r>
              <w:rPr>
                <w:rFonts w:ascii="Arial" w:cs="Arial" w:eastAsia="Arial" w:hAnsi="Arial"/>
                <w:sz w:val="14"/>
                <w:szCs w:val="14"/>
                <w:color w:val="auto"/>
              </w:rPr>
              <w:t>71,657)</w:t>
            </w:r>
          </w:p>
        </w:tc>
        <w:tc>
          <w:tcPr>
            <w:tcW w:w="120" w:type="dxa"/>
            <w:vAlign w:val="bottom"/>
            <w:shd w:val="clear" w:color="auto" w:fill="EDEDEE"/>
          </w:tcPr>
          <w:p>
            <w:pPr>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EDEDEE"/>
          </w:tcPr>
          <w:p>
            <w:pPr>
              <w:jc w:val="right"/>
              <w:ind w:right="80"/>
              <w:spacing w:after="0"/>
              <w:rPr>
                <w:sz w:val="20"/>
                <w:szCs w:val="20"/>
                <w:color w:val="auto"/>
              </w:rPr>
            </w:pPr>
            <w:r>
              <w:rPr>
                <w:rFonts w:ascii="Arial" w:cs="Arial" w:eastAsia="Arial" w:hAnsi="Arial"/>
                <w:sz w:val="14"/>
                <w:szCs w:val="14"/>
                <w:color w:val="auto"/>
              </w:rPr>
              <w:t>3,777,000</w:t>
            </w: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ind w:left="424" w:right="20" w:hanging="424"/>
        <w:spacing w:after="0" w:line="250" w:lineRule="auto"/>
        <w:tabs>
          <w:tab w:leader="none" w:pos="424" w:val="left"/>
        </w:tabs>
        <w:numPr>
          <w:ilvl w:val="0"/>
          <w:numId w:val="101"/>
        </w:numPr>
        <w:rPr>
          <w:rFonts w:ascii="Arial" w:cs="Arial" w:eastAsia="Arial" w:hAnsi="Arial"/>
          <w:sz w:val="14"/>
          <w:szCs w:val="14"/>
          <w:i w:val="1"/>
          <w:iCs w:val="1"/>
          <w:color w:val="auto"/>
        </w:rPr>
      </w:pPr>
      <w:r>
        <w:rPr>
          <w:rFonts w:ascii="Arial" w:cs="Arial" w:eastAsia="Arial" w:hAnsi="Arial"/>
          <w:sz w:val="14"/>
          <w:szCs w:val="14"/>
          <w:i w:val="1"/>
          <w:iCs w:val="1"/>
          <w:color w:val="auto"/>
        </w:rPr>
        <w:t>Mr. McDonald was the Company’s PEO beginning May 12, 2025. Compensation “Actually Paid” reported in this column is derived from the Summary Compensation Table Total for the applicable fiscal year by making the following deductions and additions:</w:t>
      </w:r>
    </w:p>
    <w:p>
      <w:pPr>
        <w:ind w:left="424" w:right="20" w:hanging="424"/>
        <w:spacing w:after="0" w:line="344" w:lineRule="auto"/>
        <w:tabs>
          <w:tab w:leader="none" w:pos="424" w:val="left"/>
        </w:tabs>
        <w:numPr>
          <w:ilvl w:val="0"/>
          <w:numId w:val="101"/>
        </w:numPr>
        <w:rPr>
          <w:rFonts w:ascii="Arial" w:cs="Arial" w:eastAsia="Arial" w:hAnsi="Arial"/>
          <w:sz w:val="14"/>
          <w:szCs w:val="14"/>
          <w:i w:val="1"/>
          <w:iCs w:val="1"/>
          <w:color w:val="auto"/>
        </w:rPr>
      </w:pPr>
      <w:r>
        <w:rPr>
          <w:rFonts w:ascii="Arial" w:cs="Arial" w:eastAsia="Arial" w:hAnsi="Arial"/>
          <w:sz w:val="14"/>
          <w:szCs w:val="14"/>
          <w:color w:val="auto"/>
        </w:rPr>
        <w:t>Mr. Trerotola was the Company’s PEO through May 12, 2025. Compensation “Actually Paid” reported in this column is derived from the Summary Compensation Table Total for the applicable fiscal year by making the following deductions and additions:</w:t>
      </w:r>
    </w:p>
    <w:p>
      <w:pPr>
        <w:spacing w:after="0" w:line="38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C8102E"/>
              </w:rPr>
              <w:t>2025 (PEO</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C8102E"/>
              </w:rPr>
              <w:t>2025 (PEO</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C8102E"/>
              </w:rPr>
              <w:t>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C8102E"/>
              </w:rPr>
              <w:t>2)</w:t>
            </w:r>
          </w:p>
        </w:tc>
        <w:tc>
          <w:tcPr>
            <w:tcW w:w="10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C8102E"/>
              </w:rPr>
              <w:t>2024</w:t>
            </w:r>
          </w:p>
        </w:tc>
        <w:tc>
          <w:tcPr>
            <w:tcW w:w="11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C8102E"/>
              </w:rPr>
              <w:t>2023</w:t>
            </w:r>
          </w:p>
        </w:tc>
        <w:tc>
          <w:tcPr>
            <w:tcW w:w="10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C8102E"/>
              </w:rPr>
              <w:t>2022</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C8102E"/>
              </w:rPr>
              <w:t>2021</w:t>
            </w:r>
          </w:p>
        </w:tc>
        <w:tc>
          <w:tcPr>
            <w:tcW w:w="0" w:type="dxa"/>
            <w:vAlign w:val="bottom"/>
          </w:tcPr>
          <w:p>
            <w:pPr>
              <w:spacing w:after="0"/>
              <w:rPr>
                <w:sz w:val="1"/>
                <w:szCs w:val="1"/>
                <w:color w:val="auto"/>
              </w:rPr>
            </w:pPr>
          </w:p>
        </w:tc>
      </w:tr>
      <w:tr>
        <w:trPr>
          <w:trHeight w:val="156"/>
        </w:trPr>
        <w:tc>
          <w:tcPr>
            <w:tcW w:w="4160" w:type="dxa"/>
            <w:vAlign w:val="bottom"/>
            <w:tcBorders>
              <w:top w:val="single" w:sz="8" w:color="EDEDEE"/>
            </w:tcBorders>
            <w:shd w:val="clear" w:color="auto" w:fill="EDEDEE"/>
          </w:tcPr>
          <w:p>
            <w:pPr>
              <w:spacing w:after="0" w:line="155" w:lineRule="exact"/>
              <w:rPr>
                <w:sz w:val="20"/>
                <w:szCs w:val="20"/>
                <w:color w:val="auto"/>
              </w:rPr>
            </w:pPr>
            <w:r>
              <w:rPr>
                <w:rFonts w:ascii="Arial" w:cs="Arial" w:eastAsia="Arial" w:hAnsi="Arial"/>
                <w:sz w:val="14"/>
                <w:szCs w:val="14"/>
                <w:color w:val="auto"/>
              </w:rPr>
              <w:t>Summary Compensation Table (“SCT”) Total</w:t>
            </w:r>
          </w:p>
        </w:tc>
        <w:tc>
          <w:tcPr>
            <w:tcW w:w="220" w:type="dxa"/>
            <w:vAlign w:val="bottom"/>
            <w:tcBorders>
              <w:top w:val="single" w:sz="8" w:color="EDEDEE"/>
            </w:tcBorders>
            <w:shd w:val="clear" w:color="auto" w:fill="EDEDEE"/>
          </w:tcPr>
          <w:p>
            <w:pPr>
              <w:spacing w:after="0"/>
              <w:rPr>
                <w:sz w:val="13"/>
                <w:szCs w:val="13"/>
                <w:color w:val="auto"/>
              </w:rPr>
            </w:pPr>
          </w:p>
        </w:tc>
        <w:tc>
          <w:tcPr>
            <w:tcW w:w="760" w:type="dxa"/>
            <w:vAlign w:val="bottom"/>
            <w:tcBorders>
              <w:top w:val="single" w:sz="8" w:color="auto"/>
            </w:tcBorders>
            <w:shd w:val="clear" w:color="auto" w:fill="EDEDEE"/>
          </w:tcPr>
          <w:p>
            <w:pPr>
              <w:jc w:val="right"/>
              <w:spacing w:after="0" w:line="155" w:lineRule="exact"/>
              <w:rPr>
                <w:sz w:val="20"/>
                <w:szCs w:val="20"/>
                <w:color w:val="auto"/>
              </w:rPr>
            </w:pPr>
            <w:r>
              <w:rPr>
                <w:rFonts w:ascii="Arial" w:cs="Arial" w:eastAsia="Arial" w:hAnsi="Arial"/>
                <w:sz w:val="14"/>
                <w:szCs w:val="14"/>
                <w:color w:val="auto"/>
              </w:rPr>
              <w:t>$ 9,242,161</w:t>
            </w:r>
          </w:p>
        </w:tc>
        <w:tc>
          <w:tcPr>
            <w:tcW w:w="160" w:type="dxa"/>
            <w:vAlign w:val="bottom"/>
            <w:tcBorders>
              <w:top w:val="single" w:sz="8" w:color="EDEDEE"/>
            </w:tcBorders>
            <w:shd w:val="clear" w:color="auto" w:fill="EDEDEE"/>
          </w:tcPr>
          <w:p>
            <w:pPr>
              <w:spacing w:after="0"/>
              <w:rPr>
                <w:sz w:val="13"/>
                <w:szCs w:val="13"/>
                <w:color w:val="auto"/>
              </w:rPr>
            </w:pPr>
          </w:p>
        </w:tc>
        <w:tc>
          <w:tcPr>
            <w:tcW w:w="160" w:type="dxa"/>
            <w:vAlign w:val="bottom"/>
            <w:tcBorders>
              <w:top w:val="single" w:sz="8" w:color="EDEDEE"/>
            </w:tcBorders>
            <w:shd w:val="clear" w:color="auto" w:fill="EDEDEE"/>
          </w:tcPr>
          <w:p>
            <w:pPr>
              <w:spacing w:after="0"/>
              <w:rPr>
                <w:sz w:val="13"/>
                <w:szCs w:val="13"/>
                <w:color w:val="auto"/>
              </w:rPr>
            </w:pPr>
          </w:p>
        </w:tc>
        <w:tc>
          <w:tcPr>
            <w:tcW w:w="80" w:type="dxa"/>
            <w:vAlign w:val="bottom"/>
            <w:tcBorders>
              <w:top w:val="single" w:sz="8" w:color="auto"/>
            </w:tcBorders>
            <w:shd w:val="clear" w:color="auto" w:fill="EDEDEE"/>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EDEDEE"/>
          </w:tcPr>
          <w:p>
            <w:pPr>
              <w:jc w:val="right"/>
              <w:spacing w:after="0" w:line="155" w:lineRule="exact"/>
              <w:rPr>
                <w:sz w:val="20"/>
                <w:szCs w:val="20"/>
                <w:color w:val="auto"/>
              </w:rPr>
            </w:pPr>
            <w:r>
              <w:rPr>
                <w:rFonts w:ascii="Arial" w:cs="Arial" w:eastAsia="Arial" w:hAnsi="Arial"/>
                <w:sz w:val="14"/>
                <w:szCs w:val="14"/>
                <w:color w:val="auto"/>
              </w:rPr>
              <w:t>9,424,946</w:t>
            </w:r>
          </w:p>
        </w:tc>
        <w:tc>
          <w:tcPr>
            <w:tcW w:w="320" w:type="dxa"/>
            <w:vAlign w:val="bottom"/>
            <w:tcBorders>
              <w:top w:val="single" w:sz="8" w:color="EDEDEE"/>
            </w:tcBorders>
            <w:shd w:val="clear" w:color="auto" w:fill="EDEDEE"/>
          </w:tcPr>
          <w:p>
            <w:pPr>
              <w:spacing w:after="0"/>
              <w:rPr>
                <w:sz w:val="13"/>
                <w:szCs w:val="13"/>
                <w:color w:val="auto"/>
              </w:rPr>
            </w:pPr>
          </w:p>
        </w:tc>
        <w:tc>
          <w:tcPr>
            <w:tcW w:w="100" w:type="dxa"/>
            <w:vAlign w:val="bottom"/>
            <w:tcBorders>
              <w:top w:val="single" w:sz="8" w:color="auto"/>
            </w:tcBorders>
            <w:shd w:val="clear" w:color="auto" w:fill="EDEDEE"/>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EDEDEE"/>
          </w:tcPr>
          <w:p>
            <w:pPr>
              <w:jc w:val="right"/>
              <w:spacing w:after="0" w:line="155" w:lineRule="exact"/>
              <w:rPr>
                <w:sz w:val="20"/>
                <w:szCs w:val="20"/>
                <w:color w:val="auto"/>
              </w:rPr>
            </w:pPr>
            <w:r>
              <w:rPr>
                <w:rFonts w:ascii="Arial" w:cs="Arial" w:eastAsia="Arial" w:hAnsi="Arial"/>
                <w:sz w:val="14"/>
                <w:szCs w:val="14"/>
                <w:color w:val="auto"/>
              </w:rPr>
              <w:t>12,452,638</w:t>
            </w:r>
          </w:p>
        </w:tc>
        <w:tc>
          <w:tcPr>
            <w:tcW w:w="320" w:type="dxa"/>
            <w:vAlign w:val="bottom"/>
            <w:tcBorders>
              <w:top w:val="single" w:sz="8" w:color="EDEDEE"/>
            </w:tcBorders>
            <w:shd w:val="clear" w:color="auto" w:fill="EDEDEE"/>
          </w:tcPr>
          <w:p>
            <w:pPr>
              <w:spacing w:after="0"/>
              <w:rPr>
                <w:sz w:val="13"/>
                <w:szCs w:val="13"/>
                <w:color w:val="auto"/>
              </w:rPr>
            </w:pPr>
          </w:p>
        </w:tc>
        <w:tc>
          <w:tcPr>
            <w:tcW w:w="840" w:type="dxa"/>
            <w:vAlign w:val="bottom"/>
            <w:tcBorders>
              <w:top w:val="single" w:sz="8" w:color="auto"/>
            </w:tcBorders>
            <w:shd w:val="clear" w:color="auto" w:fill="EDEDEE"/>
          </w:tcPr>
          <w:p>
            <w:pPr>
              <w:jc w:val="right"/>
              <w:spacing w:after="0" w:line="155" w:lineRule="exact"/>
              <w:rPr>
                <w:sz w:val="20"/>
                <w:szCs w:val="20"/>
                <w:color w:val="auto"/>
              </w:rPr>
            </w:pPr>
            <w:r>
              <w:rPr>
                <w:rFonts w:ascii="Arial" w:cs="Arial" w:eastAsia="Arial" w:hAnsi="Arial"/>
                <w:sz w:val="14"/>
                <w:szCs w:val="14"/>
                <w:color w:val="auto"/>
              </w:rPr>
              <w:t>$ 10,774,635</w:t>
            </w:r>
          </w:p>
        </w:tc>
        <w:tc>
          <w:tcPr>
            <w:tcW w:w="320" w:type="dxa"/>
            <w:vAlign w:val="bottom"/>
            <w:tcBorders>
              <w:top w:val="single" w:sz="8" w:color="EDEDEE"/>
            </w:tcBorders>
            <w:shd w:val="clear" w:color="auto" w:fill="EDEDEE"/>
          </w:tcPr>
          <w:p>
            <w:pPr>
              <w:spacing w:after="0"/>
              <w:rPr>
                <w:sz w:val="13"/>
                <w:szCs w:val="13"/>
                <w:color w:val="auto"/>
              </w:rPr>
            </w:pPr>
          </w:p>
        </w:tc>
        <w:tc>
          <w:tcPr>
            <w:tcW w:w="100" w:type="dxa"/>
            <w:vAlign w:val="bottom"/>
            <w:tcBorders>
              <w:top w:val="single" w:sz="8" w:color="auto"/>
            </w:tcBorders>
            <w:shd w:val="clear" w:color="auto" w:fill="EDEDEE"/>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EDEDEE"/>
          </w:tcPr>
          <w:p>
            <w:pPr>
              <w:jc w:val="right"/>
              <w:spacing w:after="0" w:line="155" w:lineRule="exact"/>
              <w:rPr>
                <w:sz w:val="20"/>
                <w:szCs w:val="20"/>
                <w:color w:val="auto"/>
              </w:rPr>
            </w:pPr>
            <w:r>
              <w:rPr>
                <w:rFonts w:ascii="Arial" w:cs="Arial" w:eastAsia="Arial" w:hAnsi="Arial"/>
                <w:sz w:val="14"/>
                <w:szCs w:val="14"/>
                <w:color w:val="auto"/>
              </w:rPr>
              <w:t>12,196,680</w:t>
            </w:r>
          </w:p>
        </w:tc>
        <w:tc>
          <w:tcPr>
            <w:tcW w:w="320" w:type="dxa"/>
            <w:vAlign w:val="bottom"/>
            <w:tcBorders>
              <w:top w:val="single" w:sz="8" w:color="EDEDEE"/>
            </w:tcBorders>
            <w:shd w:val="clear" w:color="auto" w:fill="EDEDEE"/>
          </w:tcPr>
          <w:p>
            <w:pPr>
              <w:spacing w:after="0"/>
              <w:rPr>
                <w:sz w:val="13"/>
                <w:szCs w:val="13"/>
                <w:color w:val="auto"/>
              </w:rPr>
            </w:pPr>
          </w:p>
        </w:tc>
        <w:tc>
          <w:tcPr>
            <w:tcW w:w="840" w:type="dxa"/>
            <w:vAlign w:val="bottom"/>
            <w:tcBorders>
              <w:top w:val="single" w:sz="8" w:color="auto"/>
            </w:tcBorders>
            <w:shd w:val="clear" w:color="auto" w:fill="EDEDEE"/>
          </w:tcPr>
          <w:p>
            <w:pPr>
              <w:jc w:val="right"/>
              <w:spacing w:after="0" w:line="155" w:lineRule="exact"/>
              <w:rPr>
                <w:sz w:val="20"/>
                <w:szCs w:val="20"/>
                <w:color w:val="auto"/>
              </w:rPr>
            </w:pPr>
            <w:r>
              <w:rPr>
                <w:rFonts w:ascii="Arial" w:cs="Arial" w:eastAsia="Arial" w:hAnsi="Arial"/>
                <w:sz w:val="14"/>
                <w:szCs w:val="14"/>
                <w:color w:val="auto"/>
              </w:rPr>
              <w:t>$ 13,833,746</w:t>
            </w:r>
          </w:p>
        </w:tc>
        <w:tc>
          <w:tcPr>
            <w:tcW w:w="120" w:type="dxa"/>
            <w:vAlign w:val="bottom"/>
            <w:tcBorders>
              <w:top w:val="single" w:sz="8" w:color="EDEDEE"/>
            </w:tcBorders>
            <w:shd w:val="clear" w:color="auto" w:fill="EDEDE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60" w:type="dxa"/>
            <w:vAlign w:val="bottom"/>
          </w:tcPr>
          <w:p>
            <w:pPr>
              <w:ind w:left="180"/>
              <w:spacing w:after="0"/>
              <w:rPr>
                <w:sz w:val="20"/>
                <w:szCs w:val="20"/>
                <w:color w:val="auto"/>
              </w:rPr>
            </w:pPr>
            <w:r>
              <w:rPr>
                <w:rFonts w:ascii="Arial" w:cs="Arial" w:eastAsia="Arial" w:hAnsi="Arial"/>
                <w:sz w:val="14"/>
                <w:szCs w:val="14"/>
                <w:i w:val="1"/>
                <w:iCs w:val="1"/>
                <w:color w:val="auto"/>
              </w:rPr>
              <w:t>Less:</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60" w:type="dxa"/>
            <w:vAlign w:val="bottom"/>
            <w:shd w:val="clear" w:color="auto" w:fill="EDEDEE"/>
          </w:tcPr>
          <w:p>
            <w:pPr>
              <w:ind w:left="360"/>
              <w:spacing w:after="0"/>
              <w:rPr>
                <w:sz w:val="20"/>
                <w:szCs w:val="20"/>
                <w:color w:val="auto"/>
              </w:rPr>
            </w:pPr>
            <w:r>
              <w:rPr>
                <w:rFonts w:ascii="Arial" w:cs="Arial" w:eastAsia="Arial" w:hAnsi="Arial"/>
                <w:sz w:val="14"/>
                <w:szCs w:val="14"/>
                <w:i w:val="1"/>
                <w:iCs w:val="1"/>
                <w:color w:val="auto"/>
              </w:rPr>
              <w:t>SCT – Stock and Option Awards</w:t>
            </w:r>
          </w:p>
        </w:tc>
        <w:tc>
          <w:tcPr>
            <w:tcW w:w="1140" w:type="dxa"/>
            <w:vAlign w:val="bottom"/>
            <w:gridSpan w:val="3"/>
            <w:shd w:val="clear" w:color="auto" w:fill="EDEDEE"/>
          </w:tcPr>
          <w:p>
            <w:pPr>
              <w:jc w:val="right"/>
              <w:ind w:right="160"/>
              <w:spacing w:after="0"/>
              <w:rPr>
                <w:sz w:val="20"/>
                <w:szCs w:val="20"/>
                <w:color w:val="auto"/>
              </w:rPr>
            </w:pPr>
            <w:r>
              <w:rPr>
                <w:rFonts w:ascii="Arial" w:cs="Arial" w:eastAsia="Arial" w:hAnsi="Arial"/>
                <w:sz w:val="14"/>
                <w:szCs w:val="14"/>
                <w:color w:val="auto"/>
              </w:rPr>
              <w:t>7,262,644</w:t>
            </w:r>
          </w:p>
        </w:tc>
        <w:tc>
          <w:tcPr>
            <w:tcW w:w="160" w:type="dxa"/>
            <w:vAlign w:val="bottom"/>
            <w:shd w:val="clear" w:color="auto" w:fill="EDEDEE"/>
          </w:tcPr>
          <w:p>
            <w:pPr>
              <w:spacing w:after="0"/>
              <w:rPr>
                <w:sz w:val="14"/>
                <w:szCs w:val="14"/>
                <w:color w:val="auto"/>
              </w:rPr>
            </w:pPr>
          </w:p>
        </w:tc>
        <w:tc>
          <w:tcPr>
            <w:tcW w:w="80" w:type="dxa"/>
            <w:vAlign w:val="bottom"/>
            <w:shd w:val="clear" w:color="auto" w:fill="EDEDEE"/>
          </w:tcPr>
          <w:p>
            <w:pPr>
              <w:spacing w:after="0"/>
              <w:rPr>
                <w:sz w:val="14"/>
                <w:szCs w:val="14"/>
                <w:color w:val="auto"/>
              </w:rPr>
            </w:pPr>
          </w:p>
        </w:tc>
        <w:tc>
          <w:tcPr>
            <w:tcW w:w="1040" w:type="dxa"/>
            <w:vAlign w:val="bottom"/>
            <w:gridSpan w:val="2"/>
            <w:shd w:val="clear" w:color="auto" w:fill="EDEDEE"/>
          </w:tcPr>
          <w:p>
            <w:pPr>
              <w:jc w:val="right"/>
              <w:ind w:right="320"/>
              <w:spacing w:after="0"/>
              <w:rPr>
                <w:sz w:val="20"/>
                <w:szCs w:val="20"/>
                <w:color w:val="auto"/>
              </w:rPr>
            </w:pPr>
            <w:r>
              <w:rPr>
                <w:rFonts w:ascii="Arial" w:cs="Arial" w:eastAsia="Arial" w:hAnsi="Arial"/>
                <w:sz w:val="14"/>
                <w:szCs w:val="14"/>
                <w:color w:val="auto"/>
              </w:rPr>
              <w:t>7,273,811</w:t>
            </w:r>
          </w:p>
        </w:tc>
        <w:tc>
          <w:tcPr>
            <w:tcW w:w="100" w:type="dxa"/>
            <w:vAlign w:val="bottom"/>
            <w:shd w:val="clear" w:color="auto" w:fill="EDEDEE"/>
          </w:tcPr>
          <w:p>
            <w:pPr>
              <w:spacing w:after="0"/>
              <w:rPr>
                <w:sz w:val="14"/>
                <w:szCs w:val="14"/>
                <w:color w:val="auto"/>
              </w:rPr>
            </w:pPr>
          </w:p>
        </w:tc>
        <w:tc>
          <w:tcPr>
            <w:tcW w:w="1060" w:type="dxa"/>
            <w:vAlign w:val="bottom"/>
            <w:gridSpan w:val="2"/>
            <w:shd w:val="clear" w:color="auto" w:fill="EDEDEE"/>
          </w:tcPr>
          <w:p>
            <w:pPr>
              <w:jc w:val="right"/>
              <w:ind w:right="320"/>
              <w:spacing w:after="0"/>
              <w:rPr>
                <w:sz w:val="20"/>
                <w:szCs w:val="20"/>
                <w:color w:val="auto"/>
              </w:rPr>
            </w:pPr>
            <w:r>
              <w:rPr>
                <w:rFonts w:ascii="Arial" w:cs="Arial" w:eastAsia="Arial" w:hAnsi="Arial"/>
                <w:sz w:val="14"/>
                <w:szCs w:val="14"/>
                <w:color w:val="auto"/>
              </w:rPr>
              <w:t>9,521,707</w:t>
            </w:r>
          </w:p>
        </w:tc>
        <w:tc>
          <w:tcPr>
            <w:tcW w:w="1160" w:type="dxa"/>
            <w:vAlign w:val="bottom"/>
            <w:gridSpan w:val="2"/>
            <w:shd w:val="clear" w:color="auto" w:fill="EDEDEE"/>
          </w:tcPr>
          <w:p>
            <w:pPr>
              <w:jc w:val="right"/>
              <w:ind w:right="320"/>
              <w:spacing w:after="0"/>
              <w:rPr>
                <w:sz w:val="20"/>
                <w:szCs w:val="20"/>
                <w:color w:val="auto"/>
              </w:rPr>
            </w:pPr>
            <w:r>
              <w:rPr>
                <w:rFonts w:ascii="Arial" w:cs="Arial" w:eastAsia="Arial" w:hAnsi="Arial"/>
                <w:sz w:val="14"/>
                <w:szCs w:val="14"/>
                <w:color w:val="auto"/>
              </w:rPr>
              <w:t>7,428,711</w:t>
            </w:r>
          </w:p>
        </w:tc>
        <w:tc>
          <w:tcPr>
            <w:tcW w:w="100" w:type="dxa"/>
            <w:vAlign w:val="bottom"/>
            <w:shd w:val="clear" w:color="auto" w:fill="EDEDEE"/>
          </w:tcPr>
          <w:p>
            <w:pPr>
              <w:spacing w:after="0"/>
              <w:rPr>
                <w:sz w:val="14"/>
                <w:szCs w:val="14"/>
                <w:color w:val="auto"/>
              </w:rPr>
            </w:pPr>
          </w:p>
        </w:tc>
        <w:tc>
          <w:tcPr>
            <w:tcW w:w="1060" w:type="dxa"/>
            <w:vAlign w:val="bottom"/>
            <w:gridSpan w:val="2"/>
            <w:shd w:val="clear" w:color="auto" w:fill="EDEDEE"/>
          </w:tcPr>
          <w:p>
            <w:pPr>
              <w:jc w:val="right"/>
              <w:ind w:right="320"/>
              <w:spacing w:after="0"/>
              <w:rPr>
                <w:sz w:val="20"/>
                <w:szCs w:val="20"/>
                <w:color w:val="auto"/>
              </w:rPr>
            </w:pPr>
            <w:r>
              <w:rPr>
                <w:rFonts w:ascii="Arial" w:cs="Arial" w:eastAsia="Arial" w:hAnsi="Arial"/>
                <w:sz w:val="14"/>
                <w:szCs w:val="14"/>
                <w:color w:val="auto"/>
              </w:rPr>
              <w:t>7,077,082</w:t>
            </w:r>
          </w:p>
        </w:tc>
        <w:tc>
          <w:tcPr>
            <w:tcW w:w="960" w:type="dxa"/>
            <w:vAlign w:val="bottom"/>
            <w:gridSpan w:val="2"/>
            <w:shd w:val="clear" w:color="auto" w:fill="EDEDEE"/>
          </w:tcPr>
          <w:p>
            <w:pPr>
              <w:jc w:val="right"/>
              <w:ind w:right="120"/>
              <w:spacing w:after="0"/>
              <w:rPr>
                <w:sz w:val="20"/>
                <w:szCs w:val="20"/>
                <w:color w:val="auto"/>
              </w:rPr>
            </w:pPr>
            <w:r>
              <w:rPr>
                <w:rFonts w:ascii="Arial" w:cs="Arial" w:eastAsia="Arial" w:hAnsi="Arial"/>
                <w:sz w:val="14"/>
                <w:szCs w:val="14"/>
                <w:color w:val="auto"/>
              </w:rPr>
              <w:t>10,357,047</w:t>
            </w:r>
          </w:p>
        </w:tc>
        <w:tc>
          <w:tcPr>
            <w:tcW w:w="0" w:type="dxa"/>
            <w:vAlign w:val="bottom"/>
          </w:tcPr>
          <w:p>
            <w:pPr>
              <w:spacing w:after="0"/>
              <w:rPr>
                <w:sz w:val="1"/>
                <w:szCs w:val="1"/>
                <w:color w:val="auto"/>
              </w:rPr>
            </w:pPr>
          </w:p>
        </w:tc>
      </w:tr>
      <w:tr>
        <w:trPr>
          <w:trHeight w:val="162"/>
        </w:trPr>
        <w:tc>
          <w:tcPr>
            <w:tcW w:w="4160" w:type="dxa"/>
            <w:vAlign w:val="bottom"/>
          </w:tcPr>
          <w:p>
            <w:pPr>
              <w:ind w:left="180"/>
              <w:spacing w:after="0"/>
              <w:rPr>
                <w:sz w:val="20"/>
                <w:szCs w:val="20"/>
                <w:color w:val="auto"/>
              </w:rPr>
            </w:pPr>
            <w:r>
              <w:rPr>
                <w:rFonts w:ascii="Arial" w:cs="Arial" w:eastAsia="Arial" w:hAnsi="Arial"/>
                <w:sz w:val="14"/>
                <w:szCs w:val="14"/>
                <w:i w:val="1"/>
                <w:iCs w:val="1"/>
                <w:color w:val="auto"/>
              </w:rPr>
              <w:t>Plus:</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60" w:type="dxa"/>
            <w:vAlign w:val="bottom"/>
            <w:shd w:val="clear" w:color="auto" w:fill="EDEDEE"/>
          </w:tcPr>
          <w:p>
            <w:pPr>
              <w:ind w:left="360"/>
              <w:spacing w:after="0" w:line="155" w:lineRule="exact"/>
              <w:rPr>
                <w:sz w:val="20"/>
                <w:szCs w:val="20"/>
                <w:color w:val="auto"/>
              </w:rPr>
            </w:pPr>
            <w:r>
              <w:rPr>
                <w:rFonts w:ascii="Arial" w:cs="Arial" w:eastAsia="Arial" w:hAnsi="Arial"/>
                <w:sz w:val="14"/>
                <w:szCs w:val="14"/>
                <w:i w:val="1"/>
                <w:iCs w:val="1"/>
                <w:color w:val="auto"/>
              </w:rPr>
              <w:t>Fair value of awards granted during covered year that</w:t>
            </w:r>
          </w:p>
        </w:tc>
        <w:tc>
          <w:tcPr>
            <w:tcW w:w="220" w:type="dxa"/>
            <w:vAlign w:val="bottom"/>
            <w:shd w:val="clear" w:color="auto" w:fill="EDEDEE"/>
          </w:tcPr>
          <w:p>
            <w:pPr>
              <w:spacing w:after="0"/>
              <w:rPr>
                <w:sz w:val="13"/>
                <w:szCs w:val="13"/>
                <w:color w:val="auto"/>
              </w:rPr>
            </w:pPr>
          </w:p>
        </w:tc>
        <w:tc>
          <w:tcPr>
            <w:tcW w:w="760" w:type="dxa"/>
            <w:vAlign w:val="bottom"/>
            <w:shd w:val="clear" w:color="auto" w:fill="EDEDEE"/>
          </w:tcPr>
          <w:p>
            <w:pPr>
              <w:spacing w:after="0"/>
              <w:rPr>
                <w:sz w:val="13"/>
                <w:szCs w:val="13"/>
                <w:color w:val="auto"/>
              </w:rPr>
            </w:pPr>
          </w:p>
        </w:tc>
        <w:tc>
          <w:tcPr>
            <w:tcW w:w="160" w:type="dxa"/>
            <w:vAlign w:val="bottom"/>
            <w:shd w:val="clear" w:color="auto" w:fill="EDEDEE"/>
          </w:tcPr>
          <w:p>
            <w:pPr>
              <w:spacing w:after="0"/>
              <w:rPr>
                <w:sz w:val="13"/>
                <w:szCs w:val="13"/>
                <w:color w:val="auto"/>
              </w:rPr>
            </w:pPr>
          </w:p>
        </w:tc>
        <w:tc>
          <w:tcPr>
            <w:tcW w:w="160" w:type="dxa"/>
            <w:vAlign w:val="bottom"/>
            <w:shd w:val="clear" w:color="auto" w:fill="EDEDEE"/>
          </w:tcPr>
          <w:p>
            <w:pPr>
              <w:spacing w:after="0"/>
              <w:rPr>
                <w:sz w:val="13"/>
                <w:szCs w:val="13"/>
                <w:color w:val="auto"/>
              </w:rPr>
            </w:pPr>
          </w:p>
        </w:tc>
        <w:tc>
          <w:tcPr>
            <w:tcW w:w="80" w:type="dxa"/>
            <w:vAlign w:val="bottom"/>
            <w:shd w:val="clear" w:color="auto" w:fill="EDEDEE"/>
          </w:tcPr>
          <w:p>
            <w:pPr>
              <w:spacing w:after="0"/>
              <w:rPr>
                <w:sz w:val="13"/>
                <w:szCs w:val="13"/>
                <w:color w:val="auto"/>
              </w:rPr>
            </w:pPr>
          </w:p>
        </w:tc>
        <w:tc>
          <w:tcPr>
            <w:tcW w:w="720" w:type="dxa"/>
            <w:vAlign w:val="bottom"/>
            <w:shd w:val="clear" w:color="auto" w:fill="EDEDEE"/>
          </w:tcPr>
          <w:p>
            <w:pPr>
              <w:spacing w:after="0"/>
              <w:rPr>
                <w:sz w:val="13"/>
                <w:szCs w:val="13"/>
                <w:color w:val="auto"/>
              </w:rPr>
            </w:pPr>
          </w:p>
        </w:tc>
        <w:tc>
          <w:tcPr>
            <w:tcW w:w="320" w:type="dxa"/>
            <w:vAlign w:val="bottom"/>
            <w:shd w:val="clear" w:color="auto" w:fill="EDEDEE"/>
          </w:tcPr>
          <w:p>
            <w:pPr>
              <w:spacing w:after="0"/>
              <w:rPr>
                <w:sz w:val="13"/>
                <w:szCs w:val="13"/>
                <w:color w:val="auto"/>
              </w:rPr>
            </w:pPr>
          </w:p>
        </w:tc>
        <w:tc>
          <w:tcPr>
            <w:tcW w:w="100" w:type="dxa"/>
            <w:vAlign w:val="bottom"/>
            <w:shd w:val="clear" w:color="auto" w:fill="EDEDEE"/>
          </w:tcPr>
          <w:p>
            <w:pPr>
              <w:spacing w:after="0"/>
              <w:rPr>
                <w:sz w:val="13"/>
                <w:szCs w:val="13"/>
                <w:color w:val="auto"/>
              </w:rPr>
            </w:pPr>
          </w:p>
        </w:tc>
        <w:tc>
          <w:tcPr>
            <w:tcW w:w="740" w:type="dxa"/>
            <w:vAlign w:val="bottom"/>
            <w:shd w:val="clear" w:color="auto" w:fill="EDEDEE"/>
          </w:tcPr>
          <w:p>
            <w:pPr>
              <w:spacing w:after="0"/>
              <w:rPr>
                <w:sz w:val="13"/>
                <w:szCs w:val="13"/>
                <w:color w:val="auto"/>
              </w:rPr>
            </w:pPr>
          </w:p>
        </w:tc>
        <w:tc>
          <w:tcPr>
            <w:tcW w:w="320" w:type="dxa"/>
            <w:vAlign w:val="bottom"/>
            <w:shd w:val="clear" w:color="auto" w:fill="EDEDEE"/>
          </w:tcPr>
          <w:p>
            <w:pPr>
              <w:spacing w:after="0"/>
              <w:rPr>
                <w:sz w:val="13"/>
                <w:szCs w:val="13"/>
                <w:color w:val="auto"/>
              </w:rPr>
            </w:pPr>
          </w:p>
        </w:tc>
        <w:tc>
          <w:tcPr>
            <w:tcW w:w="840" w:type="dxa"/>
            <w:vAlign w:val="bottom"/>
            <w:shd w:val="clear" w:color="auto" w:fill="EDEDEE"/>
          </w:tcPr>
          <w:p>
            <w:pPr>
              <w:spacing w:after="0"/>
              <w:rPr>
                <w:sz w:val="13"/>
                <w:szCs w:val="13"/>
                <w:color w:val="auto"/>
              </w:rPr>
            </w:pPr>
          </w:p>
        </w:tc>
        <w:tc>
          <w:tcPr>
            <w:tcW w:w="320" w:type="dxa"/>
            <w:vAlign w:val="bottom"/>
            <w:shd w:val="clear" w:color="auto" w:fill="EDEDEE"/>
          </w:tcPr>
          <w:p>
            <w:pPr>
              <w:spacing w:after="0"/>
              <w:rPr>
                <w:sz w:val="13"/>
                <w:szCs w:val="13"/>
                <w:color w:val="auto"/>
              </w:rPr>
            </w:pPr>
          </w:p>
        </w:tc>
        <w:tc>
          <w:tcPr>
            <w:tcW w:w="100" w:type="dxa"/>
            <w:vAlign w:val="bottom"/>
            <w:shd w:val="clear" w:color="auto" w:fill="EDEDEE"/>
          </w:tcPr>
          <w:p>
            <w:pPr>
              <w:spacing w:after="0"/>
              <w:rPr>
                <w:sz w:val="13"/>
                <w:szCs w:val="13"/>
                <w:color w:val="auto"/>
              </w:rPr>
            </w:pPr>
          </w:p>
        </w:tc>
        <w:tc>
          <w:tcPr>
            <w:tcW w:w="740" w:type="dxa"/>
            <w:vAlign w:val="bottom"/>
            <w:shd w:val="clear" w:color="auto" w:fill="EDEDEE"/>
          </w:tcPr>
          <w:p>
            <w:pPr>
              <w:spacing w:after="0"/>
              <w:rPr>
                <w:sz w:val="13"/>
                <w:szCs w:val="13"/>
                <w:color w:val="auto"/>
              </w:rPr>
            </w:pPr>
          </w:p>
        </w:tc>
        <w:tc>
          <w:tcPr>
            <w:tcW w:w="320" w:type="dxa"/>
            <w:vAlign w:val="bottom"/>
            <w:shd w:val="clear" w:color="auto" w:fill="EDEDEE"/>
          </w:tcPr>
          <w:p>
            <w:pPr>
              <w:spacing w:after="0"/>
              <w:rPr>
                <w:sz w:val="13"/>
                <w:szCs w:val="13"/>
                <w:color w:val="auto"/>
              </w:rPr>
            </w:pPr>
          </w:p>
        </w:tc>
        <w:tc>
          <w:tcPr>
            <w:tcW w:w="840" w:type="dxa"/>
            <w:vAlign w:val="bottom"/>
            <w:shd w:val="clear" w:color="auto" w:fill="EDEDEE"/>
          </w:tcPr>
          <w:p>
            <w:pPr>
              <w:spacing w:after="0"/>
              <w:rPr>
                <w:sz w:val="13"/>
                <w:szCs w:val="13"/>
                <w:color w:val="auto"/>
              </w:rPr>
            </w:pPr>
          </w:p>
        </w:tc>
        <w:tc>
          <w:tcPr>
            <w:tcW w:w="120" w:type="dxa"/>
            <w:vAlign w:val="bottom"/>
            <w:shd w:val="clear" w:color="auto" w:fill="EDEDE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60" w:type="dxa"/>
            <w:vAlign w:val="bottom"/>
            <w:shd w:val="clear" w:color="auto" w:fill="EDEDEE"/>
          </w:tcPr>
          <w:p>
            <w:pPr>
              <w:ind w:left="360"/>
              <w:spacing w:after="0"/>
              <w:rPr>
                <w:sz w:val="20"/>
                <w:szCs w:val="20"/>
                <w:color w:val="auto"/>
              </w:rPr>
            </w:pPr>
            <w:r>
              <w:rPr>
                <w:rFonts w:ascii="Arial" w:cs="Arial" w:eastAsia="Arial" w:hAnsi="Arial"/>
                <w:sz w:val="14"/>
                <w:szCs w:val="14"/>
                <w:i w:val="1"/>
                <w:iCs w:val="1"/>
                <w:color w:val="auto"/>
              </w:rPr>
              <w:t>remain outstanding and unvested as of the last day of the</w:t>
            </w:r>
          </w:p>
        </w:tc>
        <w:tc>
          <w:tcPr>
            <w:tcW w:w="1140" w:type="dxa"/>
            <w:vAlign w:val="bottom"/>
            <w:gridSpan w:val="3"/>
            <w:vMerge w:val="restart"/>
            <w:shd w:val="clear" w:color="auto" w:fill="EDEDEE"/>
          </w:tcPr>
          <w:p>
            <w:pPr>
              <w:jc w:val="right"/>
              <w:ind w:right="160"/>
              <w:spacing w:after="0"/>
              <w:rPr>
                <w:sz w:val="20"/>
                <w:szCs w:val="20"/>
                <w:color w:val="auto"/>
              </w:rPr>
            </w:pPr>
            <w:r>
              <w:rPr>
                <w:rFonts w:ascii="Arial" w:cs="Arial" w:eastAsia="Arial" w:hAnsi="Arial"/>
                <w:sz w:val="14"/>
                <w:szCs w:val="14"/>
                <w:color w:val="auto"/>
              </w:rPr>
              <w:t>4,151,321</w:t>
            </w:r>
          </w:p>
        </w:tc>
        <w:tc>
          <w:tcPr>
            <w:tcW w:w="160" w:type="dxa"/>
            <w:vAlign w:val="bottom"/>
            <w:shd w:val="clear" w:color="auto" w:fill="EDEDEE"/>
          </w:tcPr>
          <w:p>
            <w:pPr>
              <w:spacing w:after="0"/>
              <w:rPr>
                <w:sz w:val="14"/>
                <w:szCs w:val="14"/>
                <w:color w:val="auto"/>
              </w:rPr>
            </w:pPr>
          </w:p>
        </w:tc>
        <w:tc>
          <w:tcPr>
            <w:tcW w:w="80" w:type="dxa"/>
            <w:vAlign w:val="bottom"/>
            <w:shd w:val="clear" w:color="auto" w:fill="EDEDEE"/>
          </w:tcPr>
          <w:p>
            <w:pPr>
              <w:spacing w:after="0"/>
              <w:rPr>
                <w:sz w:val="14"/>
                <w:szCs w:val="14"/>
                <w:color w:val="auto"/>
              </w:rPr>
            </w:pPr>
          </w:p>
        </w:tc>
        <w:tc>
          <w:tcPr>
            <w:tcW w:w="1040" w:type="dxa"/>
            <w:vAlign w:val="bottom"/>
            <w:gridSpan w:val="2"/>
            <w:vMerge w:val="restart"/>
            <w:shd w:val="clear" w:color="auto" w:fill="EDEDEE"/>
          </w:tcPr>
          <w:p>
            <w:pPr>
              <w:jc w:val="right"/>
              <w:ind w:right="320"/>
              <w:spacing w:after="0"/>
              <w:rPr>
                <w:sz w:val="20"/>
                <w:szCs w:val="20"/>
                <w:color w:val="auto"/>
              </w:rPr>
            </w:pPr>
            <w:r>
              <w:rPr>
                <w:rFonts w:ascii="Arial" w:cs="Arial" w:eastAsia="Arial" w:hAnsi="Arial"/>
                <w:sz w:val="14"/>
                <w:szCs w:val="14"/>
                <w:color w:val="auto"/>
              </w:rPr>
              <w:t>4,065,691</w:t>
            </w:r>
          </w:p>
        </w:tc>
        <w:tc>
          <w:tcPr>
            <w:tcW w:w="100" w:type="dxa"/>
            <w:vAlign w:val="bottom"/>
            <w:shd w:val="clear" w:color="auto" w:fill="EDEDEE"/>
          </w:tcPr>
          <w:p>
            <w:pPr>
              <w:spacing w:after="0"/>
              <w:rPr>
                <w:sz w:val="14"/>
                <w:szCs w:val="14"/>
                <w:color w:val="auto"/>
              </w:rPr>
            </w:pPr>
          </w:p>
        </w:tc>
        <w:tc>
          <w:tcPr>
            <w:tcW w:w="1060" w:type="dxa"/>
            <w:vAlign w:val="bottom"/>
            <w:gridSpan w:val="2"/>
            <w:vMerge w:val="restart"/>
            <w:shd w:val="clear" w:color="auto" w:fill="EDEDEE"/>
          </w:tcPr>
          <w:p>
            <w:pPr>
              <w:jc w:val="right"/>
              <w:ind w:right="320"/>
              <w:spacing w:after="0"/>
              <w:rPr>
                <w:sz w:val="20"/>
                <w:szCs w:val="20"/>
                <w:color w:val="auto"/>
              </w:rPr>
            </w:pPr>
            <w:r>
              <w:rPr>
                <w:rFonts w:ascii="Arial" w:cs="Arial" w:eastAsia="Arial" w:hAnsi="Arial"/>
                <w:sz w:val="14"/>
                <w:szCs w:val="14"/>
                <w:color w:val="auto"/>
              </w:rPr>
              <w:t>5,480,495</w:t>
            </w:r>
          </w:p>
        </w:tc>
        <w:tc>
          <w:tcPr>
            <w:tcW w:w="1160" w:type="dxa"/>
            <w:vAlign w:val="bottom"/>
            <w:gridSpan w:val="2"/>
            <w:vMerge w:val="restart"/>
            <w:shd w:val="clear" w:color="auto" w:fill="EDEDEE"/>
          </w:tcPr>
          <w:p>
            <w:pPr>
              <w:jc w:val="right"/>
              <w:ind w:right="320"/>
              <w:spacing w:after="0"/>
              <w:rPr>
                <w:sz w:val="20"/>
                <w:szCs w:val="20"/>
                <w:color w:val="auto"/>
              </w:rPr>
            </w:pPr>
            <w:r>
              <w:rPr>
                <w:rFonts w:ascii="Arial" w:cs="Arial" w:eastAsia="Arial" w:hAnsi="Arial"/>
                <w:sz w:val="14"/>
                <w:szCs w:val="14"/>
                <w:color w:val="auto"/>
              </w:rPr>
              <w:t>7,512,824</w:t>
            </w:r>
          </w:p>
        </w:tc>
        <w:tc>
          <w:tcPr>
            <w:tcW w:w="100" w:type="dxa"/>
            <w:vAlign w:val="bottom"/>
            <w:shd w:val="clear" w:color="auto" w:fill="EDEDEE"/>
          </w:tcPr>
          <w:p>
            <w:pPr>
              <w:spacing w:after="0"/>
              <w:rPr>
                <w:sz w:val="14"/>
                <w:szCs w:val="14"/>
                <w:color w:val="auto"/>
              </w:rPr>
            </w:pPr>
          </w:p>
        </w:tc>
        <w:tc>
          <w:tcPr>
            <w:tcW w:w="1060" w:type="dxa"/>
            <w:vAlign w:val="bottom"/>
            <w:gridSpan w:val="2"/>
            <w:vMerge w:val="restart"/>
            <w:shd w:val="clear" w:color="auto" w:fill="EDEDEE"/>
          </w:tcPr>
          <w:p>
            <w:pPr>
              <w:jc w:val="right"/>
              <w:ind w:right="320"/>
              <w:spacing w:after="0"/>
              <w:rPr>
                <w:sz w:val="20"/>
                <w:szCs w:val="20"/>
                <w:color w:val="auto"/>
              </w:rPr>
            </w:pPr>
            <w:r>
              <w:rPr>
                <w:rFonts w:ascii="Arial" w:cs="Arial" w:eastAsia="Arial" w:hAnsi="Arial"/>
                <w:sz w:val="14"/>
                <w:szCs w:val="14"/>
                <w:color w:val="auto"/>
              </w:rPr>
              <w:t>4,964,465</w:t>
            </w:r>
          </w:p>
        </w:tc>
        <w:tc>
          <w:tcPr>
            <w:tcW w:w="960" w:type="dxa"/>
            <w:vAlign w:val="bottom"/>
            <w:gridSpan w:val="2"/>
            <w:vMerge w:val="restart"/>
            <w:shd w:val="clear" w:color="auto" w:fill="EDEDEE"/>
          </w:tcPr>
          <w:p>
            <w:pPr>
              <w:jc w:val="right"/>
              <w:ind w:right="120"/>
              <w:spacing w:after="0"/>
              <w:rPr>
                <w:sz w:val="20"/>
                <w:szCs w:val="20"/>
                <w:color w:val="auto"/>
              </w:rPr>
            </w:pPr>
            <w:r>
              <w:rPr>
                <w:rFonts w:ascii="Arial" w:cs="Arial" w:eastAsia="Arial" w:hAnsi="Arial"/>
                <w:sz w:val="14"/>
                <w:szCs w:val="14"/>
                <w:color w:val="auto"/>
              </w:rPr>
              <w:t>10,720,775</w:t>
            </w:r>
          </w:p>
        </w:tc>
        <w:tc>
          <w:tcPr>
            <w:tcW w:w="0" w:type="dxa"/>
            <w:vAlign w:val="bottom"/>
          </w:tcPr>
          <w:p>
            <w:pPr>
              <w:spacing w:after="0"/>
              <w:rPr>
                <w:sz w:val="1"/>
                <w:szCs w:val="1"/>
                <w:color w:val="auto"/>
              </w:rPr>
            </w:pPr>
          </w:p>
        </w:tc>
      </w:tr>
      <w:tr>
        <w:trPr>
          <w:trHeight w:val="169"/>
        </w:trPr>
        <w:tc>
          <w:tcPr>
            <w:tcW w:w="4160" w:type="dxa"/>
            <w:vAlign w:val="bottom"/>
            <w:shd w:val="clear" w:color="auto" w:fill="EDEDEE"/>
          </w:tcPr>
          <w:p>
            <w:pPr>
              <w:ind w:left="360"/>
              <w:spacing w:after="0"/>
              <w:rPr>
                <w:sz w:val="20"/>
                <w:szCs w:val="20"/>
                <w:color w:val="auto"/>
              </w:rPr>
            </w:pPr>
            <w:r>
              <w:rPr>
                <w:rFonts w:ascii="Arial" w:cs="Arial" w:eastAsia="Arial" w:hAnsi="Arial"/>
                <w:sz w:val="14"/>
                <w:szCs w:val="14"/>
                <w:i w:val="1"/>
                <w:iCs w:val="1"/>
                <w:color w:val="auto"/>
              </w:rPr>
              <w:t>covered year</w:t>
            </w:r>
          </w:p>
        </w:tc>
        <w:tc>
          <w:tcPr>
            <w:tcW w:w="1140" w:type="dxa"/>
            <w:vAlign w:val="bottom"/>
            <w:gridSpan w:val="3"/>
            <w:vMerge w:val="continue"/>
            <w:shd w:val="clear" w:color="auto" w:fill="EDEDEE"/>
          </w:tcPr>
          <w:p>
            <w:pPr>
              <w:spacing w:after="0"/>
              <w:rPr>
                <w:sz w:val="14"/>
                <w:szCs w:val="14"/>
                <w:color w:val="auto"/>
              </w:rPr>
            </w:pPr>
          </w:p>
        </w:tc>
        <w:tc>
          <w:tcPr>
            <w:tcW w:w="160" w:type="dxa"/>
            <w:vAlign w:val="bottom"/>
            <w:shd w:val="clear" w:color="auto" w:fill="EDEDEE"/>
          </w:tcPr>
          <w:p>
            <w:pPr>
              <w:spacing w:after="0"/>
              <w:rPr>
                <w:sz w:val="14"/>
                <w:szCs w:val="14"/>
                <w:color w:val="auto"/>
              </w:rPr>
            </w:pPr>
          </w:p>
        </w:tc>
        <w:tc>
          <w:tcPr>
            <w:tcW w:w="80" w:type="dxa"/>
            <w:vAlign w:val="bottom"/>
            <w:shd w:val="clear" w:color="auto" w:fill="EDEDEE"/>
          </w:tcPr>
          <w:p>
            <w:pPr>
              <w:spacing w:after="0"/>
              <w:rPr>
                <w:sz w:val="14"/>
                <w:szCs w:val="14"/>
                <w:color w:val="auto"/>
              </w:rPr>
            </w:pPr>
          </w:p>
        </w:tc>
        <w:tc>
          <w:tcPr>
            <w:tcW w:w="1040" w:type="dxa"/>
            <w:vAlign w:val="bottom"/>
            <w:gridSpan w:val="2"/>
            <w:vMerge w:val="continue"/>
            <w:shd w:val="clear" w:color="auto" w:fill="EDEDEE"/>
          </w:tcPr>
          <w:p>
            <w:pPr>
              <w:spacing w:after="0"/>
              <w:rPr>
                <w:sz w:val="14"/>
                <w:szCs w:val="14"/>
                <w:color w:val="auto"/>
              </w:rPr>
            </w:pPr>
          </w:p>
        </w:tc>
        <w:tc>
          <w:tcPr>
            <w:tcW w:w="100" w:type="dxa"/>
            <w:vAlign w:val="bottom"/>
            <w:shd w:val="clear" w:color="auto" w:fill="EDEDEE"/>
          </w:tcPr>
          <w:p>
            <w:pPr>
              <w:spacing w:after="0"/>
              <w:rPr>
                <w:sz w:val="14"/>
                <w:szCs w:val="14"/>
                <w:color w:val="auto"/>
              </w:rPr>
            </w:pPr>
          </w:p>
        </w:tc>
        <w:tc>
          <w:tcPr>
            <w:tcW w:w="1060" w:type="dxa"/>
            <w:vAlign w:val="bottom"/>
            <w:gridSpan w:val="2"/>
            <w:vMerge w:val="continue"/>
            <w:shd w:val="clear" w:color="auto" w:fill="EDEDEE"/>
          </w:tcPr>
          <w:p>
            <w:pPr>
              <w:spacing w:after="0"/>
              <w:rPr>
                <w:sz w:val="14"/>
                <w:szCs w:val="14"/>
                <w:color w:val="auto"/>
              </w:rPr>
            </w:pPr>
          </w:p>
        </w:tc>
        <w:tc>
          <w:tcPr>
            <w:tcW w:w="1160" w:type="dxa"/>
            <w:vAlign w:val="bottom"/>
            <w:gridSpan w:val="2"/>
            <w:vMerge w:val="continue"/>
            <w:shd w:val="clear" w:color="auto" w:fill="EDEDEE"/>
          </w:tcPr>
          <w:p>
            <w:pPr>
              <w:spacing w:after="0"/>
              <w:rPr>
                <w:sz w:val="14"/>
                <w:szCs w:val="14"/>
                <w:color w:val="auto"/>
              </w:rPr>
            </w:pPr>
          </w:p>
        </w:tc>
        <w:tc>
          <w:tcPr>
            <w:tcW w:w="100" w:type="dxa"/>
            <w:vAlign w:val="bottom"/>
            <w:shd w:val="clear" w:color="auto" w:fill="EDEDEE"/>
          </w:tcPr>
          <w:p>
            <w:pPr>
              <w:spacing w:after="0"/>
              <w:rPr>
                <w:sz w:val="14"/>
                <w:szCs w:val="14"/>
                <w:color w:val="auto"/>
              </w:rPr>
            </w:pPr>
          </w:p>
        </w:tc>
        <w:tc>
          <w:tcPr>
            <w:tcW w:w="1060" w:type="dxa"/>
            <w:vAlign w:val="bottom"/>
            <w:gridSpan w:val="2"/>
            <w:vMerge w:val="continue"/>
            <w:shd w:val="clear" w:color="auto" w:fill="EDEDEE"/>
          </w:tcPr>
          <w:p>
            <w:pPr>
              <w:spacing w:after="0"/>
              <w:rPr>
                <w:sz w:val="14"/>
                <w:szCs w:val="14"/>
                <w:color w:val="auto"/>
              </w:rPr>
            </w:pPr>
          </w:p>
        </w:tc>
        <w:tc>
          <w:tcPr>
            <w:tcW w:w="960" w:type="dxa"/>
            <w:vAlign w:val="bottom"/>
            <w:gridSpan w:val="2"/>
            <w:vMerge w:val="continue"/>
            <w:shd w:val="clear" w:color="auto" w:fill="EDEDE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60" w:type="dxa"/>
            <w:vAlign w:val="bottom"/>
          </w:tcPr>
          <w:p>
            <w:pPr>
              <w:ind w:left="360"/>
              <w:spacing w:after="0" w:line="155" w:lineRule="exact"/>
              <w:rPr>
                <w:sz w:val="20"/>
                <w:szCs w:val="20"/>
                <w:color w:val="auto"/>
              </w:rPr>
            </w:pPr>
            <w:r>
              <w:rPr>
                <w:rFonts w:ascii="Arial" w:cs="Arial" w:eastAsia="Arial" w:hAnsi="Arial"/>
                <w:sz w:val="14"/>
                <w:szCs w:val="14"/>
                <w:i w:val="1"/>
                <w:iCs w:val="1"/>
                <w:color w:val="auto"/>
              </w:rPr>
              <w:t>Change in fair value as of the last day of the covered year</w:t>
            </w:r>
          </w:p>
        </w:tc>
        <w:tc>
          <w:tcPr>
            <w:tcW w:w="220" w:type="dxa"/>
            <w:vAlign w:val="bottom"/>
          </w:tcPr>
          <w:p>
            <w:pPr>
              <w:spacing w:after="0"/>
              <w:rPr>
                <w:sz w:val="13"/>
                <w:szCs w:val="13"/>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(4,452,830)</w:t>
            </w:r>
          </w:p>
        </w:tc>
        <w:tc>
          <w:tcPr>
            <w:tcW w:w="100" w:type="dxa"/>
            <w:vAlign w:val="bottom"/>
          </w:tcPr>
          <w:p>
            <w:pPr>
              <w:spacing w:after="0"/>
              <w:rPr>
                <w:sz w:val="13"/>
                <w:szCs w:val="13"/>
                <w:color w:val="auto"/>
              </w:rPr>
            </w:pP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(4,222,196)</w:t>
            </w:r>
          </w:p>
        </w:tc>
        <w:tc>
          <w:tcPr>
            <w:tcW w:w="1160" w:type="dxa"/>
            <w:vAlign w:val="bottom"/>
            <w:gridSpan w:val="2"/>
            <w:vMerge w:val="restart"/>
          </w:tcPr>
          <w:p>
            <w:pPr>
              <w:jc w:val="right"/>
              <w:ind w:right="320"/>
              <w:spacing w:after="0"/>
              <w:rPr>
                <w:sz w:val="20"/>
                <w:szCs w:val="20"/>
                <w:color w:val="auto"/>
              </w:rPr>
            </w:pPr>
            <w:r>
              <w:rPr>
                <w:rFonts w:ascii="Arial" w:cs="Arial" w:eastAsia="Arial" w:hAnsi="Arial"/>
                <w:sz w:val="14"/>
                <w:szCs w:val="14"/>
                <w:color w:val="auto"/>
              </w:rPr>
              <w:t>424,787</w:t>
            </w:r>
          </w:p>
        </w:tc>
        <w:tc>
          <w:tcPr>
            <w:tcW w:w="100" w:type="dxa"/>
            <w:vAlign w:val="bottom"/>
          </w:tcPr>
          <w:p>
            <w:pPr>
              <w:spacing w:after="0"/>
              <w:rPr>
                <w:sz w:val="13"/>
                <w:szCs w:val="13"/>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(5,329,759)</w:t>
            </w: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(702,650)</w:t>
            </w:r>
          </w:p>
        </w:tc>
        <w:tc>
          <w:tcPr>
            <w:tcW w:w="0" w:type="dxa"/>
            <w:vAlign w:val="bottom"/>
          </w:tcPr>
          <w:p>
            <w:pPr>
              <w:spacing w:after="0"/>
              <w:rPr>
                <w:sz w:val="1"/>
                <w:szCs w:val="1"/>
                <w:color w:val="auto"/>
              </w:rPr>
            </w:pPr>
          </w:p>
        </w:tc>
      </w:tr>
      <w:tr>
        <w:trPr>
          <w:trHeight w:val="169"/>
        </w:trPr>
        <w:tc>
          <w:tcPr>
            <w:tcW w:w="4160" w:type="dxa"/>
            <w:vAlign w:val="bottom"/>
          </w:tcPr>
          <w:p>
            <w:pPr>
              <w:ind w:left="360"/>
              <w:spacing w:after="0"/>
              <w:rPr>
                <w:sz w:val="20"/>
                <w:szCs w:val="20"/>
                <w:color w:val="auto"/>
              </w:rPr>
            </w:pPr>
            <w:r>
              <w:rPr>
                <w:rFonts w:ascii="Arial" w:cs="Arial" w:eastAsia="Arial" w:hAnsi="Arial"/>
                <w:sz w:val="14"/>
                <w:szCs w:val="14"/>
                <w:i w:val="1"/>
                <w:iCs w:val="1"/>
                <w:color w:val="auto"/>
              </w:rPr>
              <w:t>of outstanding and unvested awards granted in prior years</w:t>
            </w: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60" w:type="dxa"/>
            <w:vAlign w:val="bottom"/>
            <w:shd w:val="clear" w:color="auto" w:fill="EDEDEE"/>
          </w:tcPr>
          <w:p>
            <w:pPr>
              <w:ind w:left="360"/>
              <w:spacing w:after="0" w:line="155" w:lineRule="exact"/>
              <w:rPr>
                <w:sz w:val="20"/>
                <w:szCs w:val="20"/>
                <w:color w:val="auto"/>
              </w:rPr>
            </w:pPr>
            <w:r>
              <w:rPr>
                <w:rFonts w:ascii="Arial" w:cs="Arial" w:eastAsia="Arial" w:hAnsi="Arial"/>
                <w:sz w:val="14"/>
                <w:szCs w:val="14"/>
                <w:i w:val="1"/>
                <w:iCs w:val="1"/>
                <w:color w:val="auto"/>
              </w:rPr>
              <w:t>Change in fair value as of the vesting date of awards</w:t>
            </w:r>
          </w:p>
        </w:tc>
        <w:tc>
          <w:tcPr>
            <w:tcW w:w="220" w:type="dxa"/>
            <w:vAlign w:val="bottom"/>
            <w:shd w:val="clear" w:color="auto" w:fill="EDEDEE"/>
          </w:tcPr>
          <w:p>
            <w:pPr>
              <w:spacing w:after="0"/>
              <w:rPr>
                <w:sz w:val="13"/>
                <w:szCs w:val="13"/>
                <w:color w:val="auto"/>
              </w:rPr>
            </w:pPr>
          </w:p>
        </w:tc>
        <w:tc>
          <w:tcPr>
            <w:tcW w:w="920" w:type="dxa"/>
            <w:vAlign w:val="bottom"/>
            <w:gridSpan w:val="2"/>
            <w:vMerge w:val="restart"/>
            <w:shd w:val="clear" w:color="auto" w:fill="EDEDEE"/>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DEDEE"/>
          </w:tcPr>
          <w:p>
            <w:pPr>
              <w:spacing w:after="0"/>
              <w:rPr>
                <w:sz w:val="13"/>
                <w:szCs w:val="13"/>
                <w:color w:val="auto"/>
              </w:rPr>
            </w:pPr>
          </w:p>
        </w:tc>
        <w:tc>
          <w:tcPr>
            <w:tcW w:w="80" w:type="dxa"/>
            <w:vAlign w:val="bottom"/>
            <w:shd w:val="clear" w:color="auto" w:fill="EDEDEE"/>
          </w:tcPr>
          <w:p>
            <w:pPr>
              <w:spacing w:after="0"/>
              <w:rPr>
                <w:sz w:val="13"/>
                <w:szCs w:val="13"/>
                <w:color w:val="auto"/>
              </w:rPr>
            </w:pPr>
          </w:p>
        </w:tc>
        <w:tc>
          <w:tcPr>
            <w:tcW w:w="1040" w:type="dxa"/>
            <w:vAlign w:val="bottom"/>
            <w:gridSpan w:val="2"/>
            <w:vMerge w:val="restart"/>
            <w:shd w:val="clear" w:color="auto" w:fill="EDEDEE"/>
          </w:tcPr>
          <w:p>
            <w:pPr>
              <w:jc w:val="right"/>
              <w:ind w:right="280"/>
              <w:spacing w:after="0"/>
              <w:rPr>
                <w:sz w:val="20"/>
                <w:szCs w:val="20"/>
                <w:color w:val="auto"/>
              </w:rPr>
            </w:pPr>
            <w:r>
              <w:rPr>
                <w:rFonts w:ascii="Arial" w:cs="Arial" w:eastAsia="Arial" w:hAnsi="Arial"/>
                <w:sz w:val="14"/>
                <w:szCs w:val="14"/>
                <w:color w:val="auto"/>
              </w:rPr>
              <w:t>(290,902)</w:t>
            </w:r>
          </w:p>
        </w:tc>
        <w:tc>
          <w:tcPr>
            <w:tcW w:w="100" w:type="dxa"/>
            <w:vAlign w:val="bottom"/>
            <w:shd w:val="clear" w:color="auto" w:fill="EDEDEE"/>
          </w:tcPr>
          <w:p>
            <w:pPr>
              <w:spacing w:after="0"/>
              <w:rPr>
                <w:sz w:val="13"/>
                <w:szCs w:val="13"/>
                <w:color w:val="auto"/>
              </w:rPr>
            </w:pPr>
          </w:p>
        </w:tc>
        <w:tc>
          <w:tcPr>
            <w:tcW w:w="1060" w:type="dxa"/>
            <w:vAlign w:val="bottom"/>
            <w:gridSpan w:val="2"/>
            <w:vMerge w:val="restart"/>
            <w:shd w:val="clear" w:color="auto" w:fill="EDEDEE"/>
          </w:tcPr>
          <w:p>
            <w:pPr>
              <w:jc w:val="right"/>
              <w:ind w:right="320"/>
              <w:spacing w:after="0"/>
              <w:rPr>
                <w:sz w:val="20"/>
                <w:szCs w:val="20"/>
                <w:color w:val="auto"/>
              </w:rPr>
            </w:pPr>
            <w:r>
              <w:rPr>
                <w:rFonts w:ascii="Arial" w:cs="Arial" w:eastAsia="Arial" w:hAnsi="Arial"/>
                <w:sz w:val="14"/>
                <w:szCs w:val="14"/>
                <w:color w:val="auto"/>
              </w:rPr>
              <w:t>678,359</w:t>
            </w:r>
          </w:p>
        </w:tc>
        <w:tc>
          <w:tcPr>
            <w:tcW w:w="1160" w:type="dxa"/>
            <w:vAlign w:val="bottom"/>
            <w:gridSpan w:val="2"/>
            <w:vMerge w:val="restart"/>
            <w:shd w:val="clear" w:color="auto" w:fill="EDEDEE"/>
          </w:tcPr>
          <w:p>
            <w:pPr>
              <w:jc w:val="right"/>
              <w:ind w:right="320"/>
              <w:spacing w:after="0"/>
              <w:rPr>
                <w:sz w:val="20"/>
                <w:szCs w:val="20"/>
                <w:color w:val="auto"/>
              </w:rPr>
            </w:pPr>
            <w:r>
              <w:rPr>
                <w:rFonts w:ascii="Arial" w:cs="Arial" w:eastAsia="Arial" w:hAnsi="Arial"/>
                <w:sz w:val="14"/>
                <w:szCs w:val="14"/>
                <w:color w:val="auto"/>
              </w:rPr>
              <w:t>527,391</w:t>
            </w:r>
          </w:p>
        </w:tc>
        <w:tc>
          <w:tcPr>
            <w:tcW w:w="100" w:type="dxa"/>
            <w:vAlign w:val="bottom"/>
            <w:shd w:val="clear" w:color="auto" w:fill="EDEDEE"/>
          </w:tcPr>
          <w:p>
            <w:pPr>
              <w:spacing w:after="0"/>
              <w:rPr>
                <w:sz w:val="13"/>
                <w:szCs w:val="13"/>
                <w:color w:val="auto"/>
              </w:rPr>
            </w:pPr>
          </w:p>
        </w:tc>
        <w:tc>
          <w:tcPr>
            <w:tcW w:w="1060" w:type="dxa"/>
            <w:vAlign w:val="bottom"/>
            <w:gridSpan w:val="2"/>
            <w:vMerge w:val="restart"/>
            <w:shd w:val="clear" w:color="auto" w:fill="EDEDEE"/>
          </w:tcPr>
          <w:p>
            <w:pPr>
              <w:jc w:val="right"/>
              <w:ind w:right="320"/>
              <w:spacing w:after="0"/>
              <w:rPr>
                <w:sz w:val="20"/>
                <w:szCs w:val="20"/>
                <w:color w:val="auto"/>
              </w:rPr>
            </w:pPr>
            <w:r>
              <w:rPr>
                <w:rFonts w:ascii="Arial" w:cs="Arial" w:eastAsia="Arial" w:hAnsi="Arial"/>
                <w:sz w:val="14"/>
                <w:szCs w:val="14"/>
                <w:color w:val="auto"/>
              </w:rPr>
              <w:t>4,943,214</w:t>
            </w:r>
          </w:p>
        </w:tc>
        <w:tc>
          <w:tcPr>
            <w:tcW w:w="960" w:type="dxa"/>
            <w:vAlign w:val="bottom"/>
            <w:gridSpan w:val="2"/>
            <w:vMerge w:val="restart"/>
            <w:shd w:val="clear" w:color="auto" w:fill="EDEDEE"/>
          </w:tcPr>
          <w:p>
            <w:pPr>
              <w:jc w:val="right"/>
              <w:ind w:right="120"/>
              <w:spacing w:after="0"/>
              <w:rPr>
                <w:sz w:val="20"/>
                <w:szCs w:val="20"/>
                <w:color w:val="auto"/>
              </w:rPr>
            </w:pPr>
            <w:r>
              <w:rPr>
                <w:rFonts w:ascii="Arial" w:cs="Arial" w:eastAsia="Arial" w:hAnsi="Arial"/>
                <w:sz w:val="14"/>
                <w:szCs w:val="14"/>
                <w:color w:val="auto"/>
              </w:rPr>
              <w:t>637,979</w:t>
            </w:r>
          </w:p>
        </w:tc>
        <w:tc>
          <w:tcPr>
            <w:tcW w:w="0" w:type="dxa"/>
            <w:vAlign w:val="bottom"/>
          </w:tcPr>
          <w:p>
            <w:pPr>
              <w:spacing w:after="0"/>
              <w:rPr>
                <w:sz w:val="1"/>
                <w:szCs w:val="1"/>
                <w:color w:val="auto"/>
              </w:rPr>
            </w:pPr>
          </w:p>
        </w:tc>
      </w:tr>
      <w:tr>
        <w:trPr>
          <w:trHeight w:val="169"/>
        </w:trPr>
        <w:tc>
          <w:tcPr>
            <w:tcW w:w="4160" w:type="dxa"/>
            <w:vAlign w:val="bottom"/>
            <w:shd w:val="clear" w:color="auto" w:fill="EDEDEE"/>
          </w:tcPr>
          <w:p>
            <w:pPr>
              <w:ind w:left="360"/>
              <w:spacing w:after="0"/>
              <w:rPr>
                <w:sz w:val="20"/>
                <w:szCs w:val="20"/>
                <w:color w:val="auto"/>
              </w:rPr>
            </w:pPr>
            <w:r>
              <w:rPr>
                <w:rFonts w:ascii="Arial" w:cs="Arial" w:eastAsia="Arial" w:hAnsi="Arial"/>
                <w:sz w:val="14"/>
                <w:szCs w:val="14"/>
                <w:i w:val="1"/>
                <w:iCs w:val="1"/>
                <w:color w:val="auto"/>
              </w:rPr>
              <w:t>granted in prior years that vested during the covered year</w:t>
            </w:r>
          </w:p>
        </w:tc>
        <w:tc>
          <w:tcPr>
            <w:tcW w:w="220" w:type="dxa"/>
            <w:vAlign w:val="bottom"/>
            <w:shd w:val="clear" w:color="auto" w:fill="EDEDEE"/>
          </w:tcPr>
          <w:p>
            <w:pPr>
              <w:spacing w:after="0"/>
              <w:rPr>
                <w:sz w:val="14"/>
                <w:szCs w:val="14"/>
                <w:color w:val="auto"/>
              </w:rPr>
            </w:pPr>
          </w:p>
        </w:tc>
        <w:tc>
          <w:tcPr>
            <w:tcW w:w="920" w:type="dxa"/>
            <w:vAlign w:val="bottom"/>
            <w:gridSpan w:val="2"/>
            <w:vMerge w:val="continue"/>
            <w:shd w:val="clear" w:color="auto" w:fill="EDEDEE"/>
          </w:tcPr>
          <w:p>
            <w:pPr>
              <w:spacing w:after="0"/>
              <w:rPr>
                <w:sz w:val="14"/>
                <w:szCs w:val="14"/>
                <w:color w:val="auto"/>
              </w:rPr>
            </w:pPr>
          </w:p>
        </w:tc>
        <w:tc>
          <w:tcPr>
            <w:tcW w:w="160" w:type="dxa"/>
            <w:vAlign w:val="bottom"/>
            <w:shd w:val="clear" w:color="auto" w:fill="EDEDEE"/>
          </w:tcPr>
          <w:p>
            <w:pPr>
              <w:spacing w:after="0"/>
              <w:rPr>
                <w:sz w:val="14"/>
                <w:szCs w:val="14"/>
                <w:color w:val="auto"/>
              </w:rPr>
            </w:pPr>
          </w:p>
        </w:tc>
        <w:tc>
          <w:tcPr>
            <w:tcW w:w="80" w:type="dxa"/>
            <w:vAlign w:val="bottom"/>
            <w:shd w:val="clear" w:color="auto" w:fill="EDEDEE"/>
          </w:tcPr>
          <w:p>
            <w:pPr>
              <w:spacing w:after="0"/>
              <w:rPr>
                <w:sz w:val="14"/>
                <w:szCs w:val="14"/>
                <w:color w:val="auto"/>
              </w:rPr>
            </w:pPr>
          </w:p>
        </w:tc>
        <w:tc>
          <w:tcPr>
            <w:tcW w:w="1040" w:type="dxa"/>
            <w:vAlign w:val="bottom"/>
            <w:gridSpan w:val="2"/>
            <w:vMerge w:val="continue"/>
            <w:shd w:val="clear" w:color="auto" w:fill="EDEDEE"/>
          </w:tcPr>
          <w:p>
            <w:pPr>
              <w:spacing w:after="0"/>
              <w:rPr>
                <w:sz w:val="14"/>
                <w:szCs w:val="14"/>
                <w:color w:val="auto"/>
              </w:rPr>
            </w:pPr>
          </w:p>
        </w:tc>
        <w:tc>
          <w:tcPr>
            <w:tcW w:w="100" w:type="dxa"/>
            <w:vAlign w:val="bottom"/>
            <w:shd w:val="clear" w:color="auto" w:fill="EDEDEE"/>
          </w:tcPr>
          <w:p>
            <w:pPr>
              <w:spacing w:after="0"/>
              <w:rPr>
                <w:sz w:val="14"/>
                <w:szCs w:val="14"/>
                <w:color w:val="auto"/>
              </w:rPr>
            </w:pPr>
          </w:p>
        </w:tc>
        <w:tc>
          <w:tcPr>
            <w:tcW w:w="1060" w:type="dxa"/>
            <w:vAlign w:val="bottom"/>
            <w:gridSpan w:val="2"/>
            <w:vMerge w:val="continue"/>
            <w:shd w:val="clear" w:color="auto" w:fill="EDEDEE"/>
          </w:tcPr>
          <w:p>
            <w:pPr>
              <w:spacing w:after="0"/>
              <w:rPr>
                <w:sz w:val="14"/>
                <w:szCs w:val="14"/>
                <w:color w:val="auto"/>
              </w:rPr>
            </w:pPr>
          </w:p>
        </w:tc>
        <w:tc>
          <w:tcPr>
            <w:tcW w:w="1160" w:type="dxa"/>
            <w:vAlign w:val="bottom"/>
            <w:gridSpan w:val="2"/>
            <w:vMerge w:val="continue"/>
            <w:shd w:val="clear" w:color="auto" w:fill="EDEDEE"/>
          </w:tcPr>
          <w:p>
            <w:pPr>
              <w:spacing w:after="0"/>
              <w:rPr>
                <w:sz w:val="14"/>
                <w:szCs w:val="14"/>
                <w:color w:val="auto"/>
              </w:rPr>
            </w:pPr>
          </w:p>
        </w:tc>
        <w:tc>
          <w:tcPr>
            <w:tcW w:w="100" w:type="dxa"/>
            <w:vAlign w:val="bottom"/>
            <w:shd w:val="clear" w:color="auto" w:fill="EDEDEE"/>
          </w:tcPr>
          <w:p>
            <w:pPr>
              <w:spacing w:after="0"/>
              <w:rPr>
                <w:sz w:val="14"/>
                <w:szCs w:val="14"/>
                <w:color w:val="auto"/>
              </w:rPr>
            </w:pPr>
          </w:p>
        </w:tc>
        <w:tc>
          <w:tcPr>
            <w:tcW w:w="1060" w:type="dxa"/>
            <w:vAlign w:val="bottom"/>
            <w:gridSpan w:val="2"/>
            <w:vMerge w:val="continue"/>
            <w:shd w:val="clear" w:color="auto" w:fill="EDEDEE"/>
          </w:tcPr>
          <w:p>
            <w:pPr>
              <w:spacing w:after="0"/>
              <w:rPr>
                <w:sz w:val="14"/>
                <w:szCs w:val="14"/>
                <w:color w:val="auto"/>
              </w:rPr>
            </w:pPr>
          </w:p>
        </w:tc>
        <w:tc>
          <w:tcPr>
            <w:tcW w:w="960" w:type="dxa"/>
            <w:vAlign w:val="bottom"/>
            <w:gridSpan w:val="2"/>
            <w:vMerge w:val="continue"/>
            <w:shd w:val="clear" w:color="auto" w:fill="EDEDE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60" w:type="dxa"/>
            <w:vAlign w:val="bottom"/>
            <w:tcBorders>
              <w:top w:val="single" w:sz="8" w:color="EDEDEE"/>
            </w:tcBorders>
            <w:shd w:val="clear" w:color="auto" w:fill="EDEDEE"/>
          </w:tcPr>
          <w:p>
            <w:pPr>
              <w:spacing w:after="0" w:line="155" w:lineRule="exact"/>
              <w:rPr>
                <w:sz w:val="20"/>
                <w:szCs w:val="20"/>
                <w:color w:val="auto"/>
              </w:rPr>
            </w:pPr>
            <w:r>
              <w:rPr>
                <w:rFonts w:ascii="Arial" w:cs="Arial" w:eastAsia="Arial" w:hAnsi="Arial"/>
                <w:sz w:val="14"/>
                <w:szCs w:val="14"/>
                <w:i w:val="1"/>
                <w:iCs w:val="1"/>
                <w:color w:val="auto"/>
              </w:rPr>
              <w:t>Compensation Actually Paid</w:t>
            </w:r>
          </w:p>
        </w:tc>
        <w:tc>
          <w:tcPr>
            <w:tcW w:w="220" w:type="dxa"/>
            <w:vAlign w:val="bottom"/>
            <w:tcBorders>
              <w:top w:val="single" w:sz="8" w:color="EDEDEE"/>
            </w:tcBorders>
            <w:shd w:val="clear" w:color="auto" w:fill="EDEDEE"/>
          </w:tcPr>
          <w:p>
            <w:pPr>
              <w:spacing w:after="0"/>
              <w:rPr>
                <w:sz w:val="13"/>
                <w:szCs w:val="13"/>
                <w:color w:val="auto"/>
              </w:rPr>
            </w:pPr>
          </w:p>
        </w:tc>
        <w:tc>
          <w:tcPr>
            <w:tcW w:w="760" w:type="dxa"/>
            <w:vAlign w:val="bottom"/>
            <w:tcBorders>
              <w:top w:val="single" w:sz="8" w:color="auto"/>
              <w:bottom w:val="single" w:sz="8" w:color="auto"/>
            </w:tcBorders>
            <w:shd w:val="clear" w:color="auto" w:fill="EDEDEE"/>
          </w:tcPr>
          <w:p>
            <w:pPr>
              <w:jc w:val="right"/>
              <w:spacing w:after="0" w:line="155" w:lineRule="exact"/>
              <w:rPr>
                <w:sz w:val="20"/>
                <w:szCs w:val="20"/>
                <w:color w:val="auto"/>
              </w:rPr>
            </w:pPr>
            <w:r>
              <w:rPr>
                <w:rFonts w:ascii="Arial" w:cs="Arial" w:eastAsia="Arial" w:hAnsi="Arial"/>
                <w:sz w:val="14"/>
                <w:szCs w:val="14"/>
                <w:color w:val="auto"/>
              </w:rPr>
              <w:t>$ 6,130,837</w:t>
            </w:r>
          </w:p>
        </w:tc>
        <w:tc>
          <w:tcPr>
            <w:tcW w:w="160" w:type="dxa"/>
            <w:vAlign w:val="bottom"/>
            <w:tcBorders>
              <w:top w:val="single" w:sz="8" w:color="EDEDEE"/>
            </w:tcBorders>
            <w:shd w:val="clear" w:color="auto" w:fill="EDEDEE"/>
          </w:tcPr>
          <w:p>
            <w:pPr>
              <w:spacing w:after="0"/>
              <w:rPr>
                <w:sz w:val="13"/>
                <w:szCs w:val="13"/>
                <w:color w:val="auto"/>
              </w:rPr>
            </w:pPr>
          </w:p>
        </w:tc>
        <w:tc>
          <w:tcPr>
            <w:tcW w:w="160" w:type="dxa"/>
            <w:vAlign w:val="bottom"/>
            <w:tcBorders>
              <w:top w:val="single" w:sz="8" w:color="EDEDEE"/>
            </w:tcBorders>
            <w:shd w:val="clear" w:color="auto" w:fill="EDEDEE"/>
          </w:tcPr>
          <w:p>
            <w:pPr>
              <w:spacing w:after="0"/>
              <w:rPr>
                <w:sz w:val="13"/>
                <w:szCs w:val="13"/>
                <w:color w:val="auto"/>
              </w:rPr>
            </w:pPr>
          </w:p>
        </w:tc>
        <w:tc>
          <w:tcPr>
            <w:tcW w:w="80" w:type="dxa"/>
            <w:vAlign w:val="bottom"/>
            <w:tcBorders>
              <w:top w:val="single" w:sz="8" w:color="auto"/>
              <w:bottom w:val="single" w:sz="8" w:color="auto"/>
            </w:tcBorders>
            <w:shd w:val="clear" w:color="auto" w:fill="EDEDEE"/>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EDEDEE"/>
          </w:tcPr>
          <w:p>
            <w:pPr>
              <w:jc w:val="right"/>
              <w:spacing w:after="0" w:line="155" w:lineRule="exact"/>
              <w:rPr>
                <w:sz w:val="20"/>
                <w:szCs w:val="20"/>
                <w:color w:val="auto"/>
              </w:rPr>
            </w:pPr>
            <w:r>
              <w:rPr>
                <w:rFonts w:ascii="Arial" w:cs="Arial" w:eastAsia="Arial" w:hAnsi="Arial"/>
                <w:sz w:val="14"/>
                <w:szCs w:val="14"/>
                <w:color w:val="auto"/>
              </w:rPr>
              <w:t>1,473,093</w:t>
            </w:r>
          </w:p>
        </w:tc>
        <w:tc>
          <w:tcPr>
            <w:tcW w:w="320" w:type="dxa"/>
            <w:vAlign w:val="bottom"/>
            <w:tcBorders>
              <w:top w:val="single" w:sz="8" w:color="EDEDEE"/>
            </w:tcBorders>
            <w:shd w:val="clear" w:color="auto" w:fill="EDEDEE"/>
          </w:tcPr>
          <w:p>
            <w:pPr>
              <w:spacing w:after="0"/>
              <w:rPr>
                <w:sz w:val="13"/>
                <w:szCs w:val="13"/>
                <w:color w:val="auto"/>
              </w:rPr>
            </w:pPr>
          </w:p>
        </w:tc>
        <w:tc>
          <w:tcPr>
            <w:tcW w:w="100" w:type="dxa"/>
            <w:vAlign w:val="bottom"/>
            <w:tcBorders>
              <w:top w:val="single" w:sz="8" w:color="auto"/>
              <w:bottom w:val="single" w:sz="8" w:color="auto"/>
            </w:tcBorders>
            <w:shd w:val="clear" w:color="auto" w:fill="EDEDEE"/>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EDEDEE"/>
          </w:tcPr>
          <w:p>
            <w:pPr>
              <w:jc w:val="right"/>
              <w:spacing w:after="0" w:line="155" w:lineRule="exact"/>
              <w:rPr>
                <w:sz w:val="20"/>
                <w:szCs w:val="20"/>
                <w:color w:val="auto"/>
              </w:rPr>
            </w:pPr>
            <w:r>
              <w:rPr>
                <w:rFonts w:ascii="Arial" w:cs="Arial" w:eastAsia="Arial" w:hAnsi="Arial"/>
                <w:sz w:val="14"/>
                <w:szCs w:val="14"/>
                <w:color w:val="auto"/>
              </w:rPr>
              <w:t>4,867,589</w:t>
            </w:r>
          </w:p>
        </w:tc>
        <w:tc>
          <w:tcPr>
            <w:tcW w:w="320" w:type="dxa"/>
            <w:vAlign w:val="bottom"/>
            <w:tcBorders>
              <w:top w:val="single" w:sz="8" w:color="EDEDEE"/>
            </w:tcBorders>
            <w:shd w:val="clear" w:color="auto" w:fill="EDEDEE"/>
          </w:tcPr>
          <w:p>
            <w:pPr>
              <w:spacing w:after="0"/>
              <w:rPr>
                <w:sz w:val="13"/>
                <w:szCs w:val="13"/>
                <w:color w:val="auto"/>
              </w:rPr>
            </w:pPr>
          </w:p>
        </w:tc>
        <w:tc>
          <w:tcPr>
            <w:tcW w:w="840" w:type="dxa"/>
            <w:vAlign w:val="bottom"/>
            <w:tcBorders>
              <w:top w:val="single" w:sz="8" w:color="auto"/>
              <w:bottom w:val="single" w:sz="8" w:color="auto"/>
            </w:tcBorders>
            <w:shd w:val="clear" w:color="auto" w:fill="EDEDEE"/>
          </w:tcPr>
          <w:p>
            <w:pPr>
              <w:jc w:val="right"/>
              <w:spacing w:after="0" w:line="155" w:lineRule="exact"/>
              <w:rPr>
                <w:sz w:val="20"/>
                <w:szCs w:val="20"/>
                <w:color w:val="auto"/>
              </w:rPr>
            </w:pPr>
            <w:r>
              <w:rPr>
                <w:rFonts w:ascii="Arial" w:cs="Arial" w:eastAsia="Arial" w:hAnsi="Arial"/>
                <w:sz w:val="14"/>
                <w:szCs w:val="14"/>
                <w:color w:val="auto"/>
              </w:rPr>
              <w:t>$ 11,810,926</w:t>
            </w:r>
          </w:p>
        </w:tc>
        <w:tc>
          <w:tcPr>
            <w:tcW w:w="320" w:type="dxa"/>
            <w:vAlign w:val="bottom"/>
            <w:tcBorders>
              <w:top w:val="single" w:sz="8" w:color="EDEDEE"/>
            </w:tcBorders>
            <w:shd w:val="clear" w:color="auto" w:fill="EDEDEE"/>
          </w:tcPr>
          <w:p>
            <w:pPr>
              <w:spacing w:after="0"/>
              <w:rPr>
                <w:sz w:val="13"/>
                <w:szCs w:val="13"/>
                <w:color w:val="auto"/>
              </w:rPr>
            </w:pPr>
          </w:p>
        </w:tc>
        <w:tc>
          <w:tcPr>
            <w:tcW w:w="100" w:type="dxa"/>
            <w:vAlign w:val="bottom"/>
            <w:tcBorders>
              <w:top w:val="single" w:sz="8" w:color="auto"/>
              <w:bottom w:val="single" w:sz="8" w:color="auto"/>
            </w:tcBorders>
            <w:shd w:val="clear" w:color="auto" w:fill="EDEDEE"/>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EDEDEE"/>
          </w:tcPr>
          <w:p>
            <w:pPr>
              <w:jc w:val="right"/>
              <w:spacing w:after="0" w:line="155" w:lineRule="exact"/>
              <w:rPr>
                <w:sz w:val="20"/>
                <w:szCs w:val="20"/>
                <w:color w:val="auto"/>
              </w:rPr>
            </w:pPr>
            <w:r>
              <w:rPr>
                <w:rFonts w:ascii="Arial" w:cs="Arial" w:eastAsia="Arial" w:hAnsi="Arial"/>
                <w:sz w:val="14"/>
                <w:szCs w:val="14"/>
                <w:color w:val="auto"/>
              </w:rPr>
              <w:t>9,697,518</w:t>
            </w:r>
          </w:p>
        </w:tc>
        <w:tc>
          <w:tcPr>
            <w:tcW w:w="320" w:type="dxa"/>
            <w:vAlign w:val="bottom"/>
            <w:tcBorders>
              <w:top w:val="single" w:sz="8" w:color="EDEDEE"/>
            </w:tcBorders>
            <w:shd w:val="clear" w:color="auto" w:fill="EDEDEE"/>
          </w:tcPr>
          <w:p>
            <w:pPr>
              <w:spacing w:after="0"/>
              <w:rPr>
                <w:sz w:val="13"/>
                <w:szCs w:val="13"/>
                <w:color w:val="auto"/>
              </w:rPr>
            </w:pPr>
          </w:p>
        </w:tc>
        <w:tc>
          <w:tcPr>
            <w:tcW w:w="840" w:type="dxa"/>
            <w:vAlign w:val="bottom"/>
            <w:tcBorders>
              <w:top w:val="single" w:sz="8" w:color="auto"/>
              <w:bottom w:val="single" w:sz="8" w:color="auto"/>
            </w:tcBorders>
            <w:shd w:val="clear" w:color="auto" w:fill="EDEDEE"/>
          </w:tcPr>
          <w:p>
            <w:pPr>
              <w:jc w:val="right"/>
              <w:spacing w:after="0" w:line="155" w:lineRule="exact"/>
              <w:rPr>
                <w:sz w:val="20"/>
                <w:szCs w:val="20"/>
                <w:color w:val="auto"/>
              </w:rPr>
            </w:pPr>
            <w:r>
              <w:rPr>
                <w:rFonts w:ascii="Arial" w:cs="Arial" w:eastAsia="Arial" w:hAnsi="Arial"/>
                <w:sz w:val="14"/>
                <w:szCs w:val="14"/>
                <w:color w:val="auto"/>
              </w:rPr>
              <w:t>$ 14,132,803</w:t>
            </w:r>
          </w:p>
        </w:tc>
        <w:tc>
          <w:tcPr>
            <w:tcW w:w="120" w:type="dxa"/>
            <w:vAlign w:val="bottom"/>
            <w:tcBorders>
              <w:top w:val="single" w:sz="8" w:color="EDEDEE"/>
            </w:tcBorders>
            <w:shd w:val="clear" w:color="auto" w:fill="EDEDEE"/>
          </w:tcPr>
          <w:p>
            <w:pPr>
              <w:spacing w:after="0"/>
              <w:rPr>
                <w:sz w:val="13"/>
                <w:szCs w:val="13"/>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4"/>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-118745</wp:posOffset>
            </wp:positionV>
            <wp:extent cx="762635" cy="3860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62635" cy="386080"/>
                    </a:xfrm>
                    <a:prstGeom prst="rect">
                      <a:avLst/>
                    </a:prstGeom>
                    <a:noFill/>
                  </pic:spPr>
                </pic:pic>
              </a:graphicData>
            </a:graphic>
          </wp:anchor>
        </w:drawing>
      </w:r>
    </w:p>
    <w:p>
      <w:pPr>
        <w:ind w:left="1584"/>
        <w:spacing w:after="0"/>
        <w:rPr>
          <w:sz w:val="20"/>
          <w:szCs w:val="20"/>
          <w:color w:val="auto"/>
        </w:rPr>
      </w:pPr>
      <w:r>
        <w:rPr>
          <w:rFonts w:ascii="Arial" w:cs="Arial" w:eastAsia="Arial" w:hAnsi="Arial"/>
          <w:sz w:val="18"/>
          <w:szCs w:val="18"/>
          <w:color w:val="auto"/>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699516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588" w:right="439" w:bottom="1440" w:gutter="0" w:footer="0" w:header="0"/>
        </w:sectPr>
      </w:pPr>
    </w:p>
    <w:bookmarkStart w:id="60" w:name="page61"/>
    <w:bookmarkEnd w:id="60"/>
    <w:p>
      <w:pPr>
        <w:jc w:val="both"/>
        <w:ind w:left="424" w:hanging="424"/>
        <w:spacing w:after="0" w:line="220" w:lineRule="auto"/>
        <w:tabs>
          <w:tab w:leader="none" w:pos="424" w:val="left"/>
        </w:tabs>
        <w:numPr>
          <w:ilvl w:val="0"/>
          <w:numId w:val="102"/>
        </w:numPr>
        <w:rPr>
          <w:rFonts w:ascii="Arial" w:cs="Arial" w:eastAsia="Arial" w:hAnsi="Arial"/>
          <w:sz w:val="14"/>
          <w:szCs w:val="14"/>
          <w:i w:val="1"/>
          <w:iCs w:val="1"/>
          <w:color w:val="auto"/>
        </w:rPr>
      </w:pPr>
      <w:r>
        <w:rPr>
          <w:rFonts w:ascii="Arial" w:cs="Arial" w:eastAsia="Arial" w:hAnsi="Arial"/>
          <w:sz w:val="14"/>
          <w:szCs w:val="14"/>
          <w:i w:val="1"/>
          <w:iCs w:val="1"/>
          <w:color w:val="auto"/>
        </w:rPr>
        <w:t>For 2025, the individuals included in the non-PEO NEO Average Messrs. Berry, Pryor, Ross, Vogt and Ms. Lang. For 2024, the individuals included in the non-PEO NEO Average were Messrs. Berry, Pryor, Shirley, Tandy, and Ms. Lang. For 2023, the individuals included in the non-PEO NEO Average were Messrs. Berry, Pryor, and Shirley and Ms. Lang. For 2022 and 2021, the individuals included were Messrs. Pryor and Shirley, Mr. Christopher M. Hix, who served as Executive Vice President and Chief Financial Officer through December 31, 2022, and Mr. Shyam Kambeyanda, who served as Executive Vice President, President and CEO of the Company’s ESAB business segment prior to the completion of the Separation. Average Compensation “Actually Paid” to the Company’s</w:t>
      </w:r>
    </w:p>
    <w:p>
      <w:pPr>
        <w:spacing w:after="0" w:line="3" w:lineRule="exact"/>
        <w:rPr>
          <w:rFonts w:ascii="Arial" w:cs="Arial" w:eastAsia="Arial" w:hAnsi="Arial"/>
          <w:sz w:val="14"/>
          <w:szCs w:val="14"/>
          <w:i w:val="1"/>
          <w:iCs w:val="1"/>
          <w:color w:val="auto"/>
        </w:rPr>
      </w:pPr>
    </w:p>
    <w:p>
      <w:pPr>
        <w:ind w:left="424"/>
        <w:spacing w:after="0" w:line="231" w:lineRule="auto"/>
        <w:rPr>
          <w:rFonts w:ascii="Arial" w:cs="Arial" w:eastAsia="Arial" w:hAnsi="Arial"/>
          <w:sz w:val="14"/>
          <w:szCs w:val="14"/>
          <w:i w:val="1"/>
          <w:iCs w:val="1"/>
          <w:color w:val="auto"/>
        </w:rPr>
      </w:pPr>
      <w:r>
        <w:rPr>
          <w:rFonts w:ascii="Arial" w:cs="Arial" w:eastAsia="Arial" w:hAnsi="Arial"/>
          <w:sz w:val="14"/>
          <w:szCs w:val="14"/>
          <w:i w:val="1"/>
          <w:iCs w:val="1"/>
          <w:color w:val="auto"/>
        </w:rPr>
        <w:t>Non-PEO NEOs reported in this column is derived from the Summary Compensation Table Total for the applicable fiscal year by making the following deductions and additions:</w:t>
      </w:r>
    </w:p>
    <w:p>
      <w:pPr>
        <w:spacing w:after="0" w:line="135"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C8102E"/>
              </w:rPr>
              <w:t>2025</w:t>
            </w:r>
          </w:p>
        </w:tc>
        <w:tc>
          <w:tcPr>
            <w:tcW w:w="260" w:type="dxa"/>
            <w:vAlign w:val="bottom"/>
          </w:tcPr>
          <w:p>
            <w:pPr>
              <w:spacing w:after="0"/>
              <w:rPr>
                <w:sz w:val="14"/>
                <w:szCs w:val="1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C8102E"/>
              </w:rPr>
              <w:t>2024</w:t>
            </w:r>
          </w:p>
        </w:tc>
        <w:tc>
          <w:tcPr>
            <w:tcW w:w="260" w:type="dxa"/>
            <w:vAlign w:val="bottom"/>
          </w:tcPr>
          <w:p>
            <w:pPr>
              <w:spacing w:after="0"/>
              <w:rPr>
                <w:sz w:val="14"/>
                <w:szCs w:val="1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C8102E"/>
              </w:rPr>
              <w:t>2023</w:t>
            </w:r>
          </w:p>
        </w:tc>
        <w:tc>
          <w:tcPr>
            <w:tcW w:w="240" w:type="dxa"/>
            <w:vAlign w:val="bottom"/>
          </w:tcPr>
          <w:p>
            <w:pPr>
              <w:spacing w:after="0"/>
              <w:rPr>
                <w:sz w:val="14"/>
                <w:szCs w:val="1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C8102E"/>
              </w:rPr>
              <w:t>2022</w:t>
            </w:r>
          </w:p>
        </w:tc>
        <w:tc>
          <w:tcPr>
            <w:tcW w:w="26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C8102E"/>
              </w:rPr>
              <w:t>2021</w:t>
            </w:r>
          </w:p>
        </w:tc>
      </w:tr>
      <w:tr>
        <w:trPr>
          <w:trHeight w:val="156"/>
        </w:trPr>
        <w:tc>
          <w:tcPr>
            <w:tcW w:w="4080" w:type="dxa"/>
            <w:vAlign w:val="bottom"/>
            <w:tcBorders>
              <w:top w:val="single" w:sz="8" w:color="EDEDEE"/>
            </w:tcBorders>
            <w:shd w:val="clear" w:color="auto" w:fill="EDEDEE"/>
          </w:tcPr>
          <w:p>
            <w:pPr>
              <w:spacing w:after="0" w:line="155" w:lineRule="exact"/>
              <w:rPr>
                <w:sz w:val="20"/>
                <w:szCs w:val="20"/>
                <w:color w:val="auto"/>
              </w:rPr>
            </w:pPr>
            <w:r>
              <w:rPr>
                <w:rFonts w:ascii="Arial" w:cs="Arial" w:eastAsia="Arial" w:hAnsi="Arial"/>
                <w:sz w:val="14"/>
                <w:szCs w:val="14"/>
                <w:color w:val="auto"/>
              </w:rPr>
              <w:t>Summary Compensation Table (“SCT”) Total</w:t>
            </w:r>
          </w:p>
        </w:tc>
        <w:tc>
          <w:tcPr>
            <w:tcW w:w="280" w:type="dxa"/>
            <w:vAlign w:val="bottom"/>
            <w:tcBorders>
              <w:top w:val="single" w:sz="8" w:color="auto"/>
            </w:tcBorders>
            <w:shd w:val="clear" w:color="auto" w:fill="EDEDEE"/>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EDEDEE"/>
          </w:tcPr>
          <w:p>
            <w:pPr>
              <w:jc w:val="right"/>
              <w:spacing w:after="0" w:line="155" w:lineRule="exact"/>
              <w:rPr>
                <w:sz w:val="20"/>
                <w:szCs w:val="20"/>
                <w:color w:val="auto"/>
              </w:rPr>
            </w:pPr>
            <w:r>
              <w:rPr>
                <w:rFonts w:ascii="Arial" w:cs="Arial" w:eastAsia="Arial" w:hAnsi="Arial"/>
                <w:sz w:val="14"/>
                <w:szCs w:val="14"/>
                <w:color w:val="auto"/>
              </w:rPr>
              <w:t>2,929,251</w:t>
            </w:r>
          </w:p>
        </w:tc>
        <w:tc>
          <w:tcPr>
            <w:tcW w:w="360" w:type="dxa"/>
            <w:vAlign w:val="bottom"/>
            <w:tcBorders>
              <w:top w:val="single" w:sz="8" w:color="EDEDEE"/>
            </w:tcBorders>
            <w:shd w:val="clear" w:color="auto" w:fill="EDEDEE"/>
          </w:tcPr>
          <w:p>
            <w:pPr>
              <w:spacing w:after="0"/>
              <w:rPr>
                <w:sz w:val="13"/>
                <w:szCs w:val="13"/>
                <w:color w:val="auto"/>
              </w:rPr>
            </w:pPr>
          </w:p>
        </w:tc>
        <w:tc>
          <w:tcPr>
            <w:tcW w:w="260" w:type="dxa"/>
            <w:vAlign w:val="bottom"/>
            <w:tcBorders>
              <w:top w:val="single" w:sz="8" w:color="auto"/>
            </w:tcBorders>
            <w:shd w:val="clear" w:color="auto" w:fill="EDEDEE"/>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EDEDEE"/>
          </w:tcPr>
          <w:p>
            <w:pPr>
              <w:jc w:val="right"/>
              <w:spacing w:after="0" w:line="155" w:lineRule="exact"/>
              <w:rPr>
                <w:sz w:val="20"/>
                <w:szCs w:val="20"/>
                <w:color w:val="auto"/>
              </w:rPr>
            </w:pPr>
            <w:r>
              <w:rPr>
                <w:rFonts w:ascii="Arial" w:cs="Arial" w:eastAsia="Arial" w:hAnsi="Arial"/>
                <w:sz w:val="14"/>
                <w:szCs w:val="14"/>
                <w:color w:val="auto"/>
              </w:rPr>
              <w:t>2,778,823</w:t>
            </w:r>
          </w:p>
        </w:tc>
        <w:tc>
          <w:tcPr>
            <w:tcW w:w="320" w:type="dxa"/>
            <w:vAlign w:val="bottom"/>
            <w:tcBorders>
              <w:top w:val="single" w:sz="8" w:color="EDEDEE"/>
            </w:tcBorders>
            <w:shd w:val="clear" w:color="auto" w:fill="EDEDEE"/>
          </w:tcPr>
          <w:p>
            <w:pPr>
              <w:spacing w:after="0"/>
              <w:rPr>
                <w:sz w:val="13"/>
                <w:szCs w:val="13"/>
                <w:color w:val="auto"/>
              </w:rPr>
            </w:pPr>
          </w:p>
        </w:tc>
        <w:tc>
          <w:tcPr>
            <w:tcW w:w="260" w:type="dxa"/>
            <w:vAlign w:val="bottom"/>
            <w:tcBorders>
              <w:top w:val="single" w:sz="8" w:color="auto"/>
            </w:tcBorders>
            <w:shd w:val="clear" w:color="auto" w:fill="EDEDEE"/>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EDEDEE"/>
          </w:tcPr>
          <w:p>
            <w:pPr>
              <w:jc w:val="right"/>
              <w:spacing w:after="0" w:line="155" w:lineRule="exact"/>
              <w:rPr>
                <w:sz w:val="20"/>
                <w:szCs w:val="20"/>
                <w:color w:val="auto"/>
              </w:rPr>
            </w:pPr>
            <w:r>
              <w:rPr>
                <w:rFonts w:ascii="Arial" w:cs="Arial" w:eastAsia="Arial" w:hAnsi="Arial"/>
                <w:sz w:val="14"/>
                <w:szCs w:val="14"/>
                <w:color w:val="auto"/>
              </w:rPr>
              <w:t>3,596,823</w:t>
            </w:r>
          </w:p>
        </w:tc>
        <w:tc>
          <w:tcPr>
            <w:tcW w:w="340" w:type="dxa"/>
            <w:vAlign w:val="bottom"/>
            <w:tcBorders>
              <w:top w:val="single" w:sz="8" w:color="EDEDEE"/>
            </w:tcBorders>
            <w:shd w:val="clear" w:color="auto" w:fill="EDEDEE"/>
          </w:tcPr>
          <w:p>
            <w:pPr>
              <w:spacing w:after="0"/>
              <w:rPr>
                <w:sz w:val="13"/>
                <w:szCs w:val="13"/>
                <w:color w:val="auto"/>
              </w:rPr>
            </w:pPr>
          </w:p>
        </w:tc>
        <w:tc>
          <w:tcPr>
            <w:tcW w:w="240" w:type="dxa"/>
            <w:vAlign w:val="bottom"/>
            <w:tcBorders>
              <w:top w:val="single" w:sz="8" w:color="auto"/>
            </w:tcBorders>
            <w:shd w:val="clear" w:color="auto" w:fill="EDEDEE"/>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EDEDEE"/>
          </w:tcPr>
          <w:p>
            <w:pPr>
              <w:jc w:val="right"/>
              <w:spacing w:after="0" w:line="155" w:lineRule="exact"/>
              <w:rPr>
                <w:sz w:val="20"/>
                <w:szCs w:val="20"/>
                <w:color w:val="auto"/>
              </w:rPr>
            </w:pPr>
            <w:r>
              <w:rPr>
                <w:rFonts w:ascii="Arial" w:cs="Arial" w:eastAsia="Arial" w:hAnsi="Arial"/>
                <w:sz w:val="14"/>
                <w:szCs w:val="14"/>
                <w:color w:val="auto"/>
              </w:rPr>
              <w:t>4,438,420</w:t>
            </w:r>
          </w:p>
        </w:tc>
        <w:tc>
          <w:tcPr>
            <w:tcW w:w="340" w:type="dxa"/>
            <w:vAlign w:val="bottom"/>
            <w:tcBorders>
              <w:top w:val="single" w:sz="8" w:color="EDEDEE"/>
            </w:tcBorders>
            <w:shd w:val="clear" w:color="auto" w:fill="EDEDEE"/>
          </w:tcPr>
          <w:p>
            <w:pPr>
              <w:spacing w:after="0"/>
              <w:rPr>
                <w:sz w:val="13"/>
                <w:szCs w:val="13"/>
                <w:color w:val="auto"/>
              </w:rPr>
            </w:pPr>
          </w:p>
        </w:tc>
        <w:tc>
          <w:tcPr>
            <w:tcW w:w="260" w:type="dxa"/>
            <w:vAlign w:val="bottom"/>
            <w:tcBorders>
              <w:top w:val="single" w:sz="8" w:color="auto"/>
            </w:tcBorders>
            <w:shd w:val="clear" w:color="auto" w:fill="EDEDEE"/>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EDEDEE"/>
          </w:tcPr>
          <w:p>
            <w:pPr>
              <w:jc w:val="right"/>
              <w:spacing w:after="0" w:line="155" w:lineRule="exact"/>
              <w:rPr>
                <w:sz w:val="20"/>
                <w:szCs w:val="20"/>
                <w:color w:val="auto"/>
              </w:rPr>
            </w:pPr>
            <w:r>
              <w:rPr>
                <w:rFonts w:ascii="Arial" w:cs="Arial" w:eastAsia="Arial" w:hAnsi="Arial"/>
                <w:sz w:val="14"/>
                <w:szCs w:val="14"/>
                <w:color w:val="auto"/>
              </w:rPr>
              <w:t>4,459,993</w:t>
            </w:r>
          </w:p>
        </w:tc>
        <w:tc>
          <w:tcPr>
            <w:tcW w:w="120" w:type="dxa"/>
            <w:vAlign w:val="bottom"/>
            <w:tcBorders>
              <w:top w:val="single" w:sz="8" w:color="EDEDEE"/>
            </w:tcBorders>
            <w:shd w:val="clear" w:color="auto" w:fill="EDEDEE"/>
          </w:tcPr>
          <w:p>
            <w:pPr>
              <w:spacing w:after="0"/>
              <w:rPr>
                <w:sz w:val="13"/>
                <w:szCs w:val="13"/>
                <w:color w:val="auto"/>
              </w:rPr>
            </w:pPr>
          </w:p>
        </w:tc>
      </w:tr>
      <w:tr>
        <w:trPr>
          <w:trHeight w:val="162"/>
        </w:trPr>
        <w:tc>
          <w:tcPr>
            <w:tcW w:w="4080" w:type="dxa"/>
            <w:vAlign w:val="bottom"/>
          </w:tcPr>
          <w:p>
            <w:pPr>
              <w:ind w:left="180"/>
              <w:spacing w:after="0"/>
              <w:rPr>
                <w:sz w:val="20"/>
                <w:szCs w:val="20"/>
                <w:color w:val="auto"/>
              </w:rPr>
            </w:pPr>
            <w:r>
              <w:rPr>
                <w:rFonts w:ascii="Arial" w:cs="Arial" w:eastAsia="Arial" w:hAnsi="Arial"/>
                <w:sz w:val="14"/>
                <w:szCs w:val="14"/>
                <w:i w:val="1"/>
                <w:iCs w:val="1"/>
                <w:color w:val="auto"/>
              </w:rPr>
              <w:t>Less:</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4080" w:type="dxa"/>
            <w:vAlign w:val="bottom"/>
            <w:shd w:val="clear" w:color="auto" w:fill="EDEDEE"/>
          </w:tcPr>
          <w:p>
            <w:pPr>
              <w:ind w:left="360"/>
              <w:spacing w:after="0"/>
              <w:rPr>
                <w:sz w:val="20"/>
                <w:szCs w:val="20"/>
                <w:color w:val="auto"/>
              </w:rPr>
            </w:pPr>
            <w:r>
              <w:rPr>
                <w:rFonts w:ascii="Arial" w:cs="Arial" w:eastAsia="Arial" w:hAnsi="Arial"/>
                <w:sz w:val="14"/>
                <w:szCs w:val="14"/>
                <w:color w:val="auto"/>
              </w:rPr>
              <w:t>SCT – Stock Awards</w:t>
            </w:r>
          </w:p>
        </w:tc>
        <w:tc>
          <w:tcPr>
            <w:tcW w:w="280" w:type="dxa"/>
            <w:vAlign w:val="bottom"/>
            <w:shd w:val="clear" w:color="auto" w:fill="EDEDEE"/>
          </w:tcPr>
          <w:p>
            <w:pPr>
              <w:spacing w:after="0"/>
              <w:rPr>
                <w:sz w:val="14"/>
                <w:szCs w:val="14"/>
                <w:color w:val="auto"/>
              </w:rPr>
            </w:pPr>
          </w:p>
        </w:tc>
        <w:tc>
          <w:tcPr>
            <w:tcW w:w="1200" w:type="dxa"/>
            <w:vAlign w:val="bottom"/>
            <w:gridSpan w:val="2"/>
            <w:shd w:val="clear" w:color="auto" w:fill="EDEDEE"/>
          </w:tcPr>
          <w:p>
            <w:pPr>
              <w:jc w:val="right"/>
              <w:ind w:right="360"/>
              <w:spacing w:after="0"/>
              <w:rPr>
                <w:sz w:val="20"/>
                <w:szCs w:val="20"/>
                <w:color w:val="auto"/>
              </w:rPr>
            </w:pPr>
            <w:r>
              <w:rPr>
                <w:rFonts w:ascii="Arial" w:cs="Arial" w:eastAsia="Arial" w:hAnsi="Arial"/>
                <w:sz w:val="14"/>
                <w:szCs w:val="14"/>
                <w:color w:val="auto"/>
              </w:rPr>
              <w:t>1,922,728</w:t>
            </w:r>
          </w:p>
        </w:tc>
        <w:tc>
          <w:tcPr>
            <w:tcW w:w="260" w:type="dxa"/>
            <w:vAlign w:val="bottom"/>
            <w:shd w:val="clear" w:color="auto" w:fill="EDEDEE"/>
          </w:tcPr>
          <w:p>
            <w:pPr>
              <w:spacing w:after="0"/>
              <w:rPr>
                <w:sz w:val="14"/>
                <w:szCs w:val="14"/>
                <w:color w:val="auto"/>
              </w:rPr>
            </w:pPr>
          </w:p>
        </w:tc>
        <w:tc>
          <w:tcPr>
            <w:tcW w:w="1160" w:type="dxa"/>
            <w:vAlign w:val="bottom"/>
            <w:gridSpan w:val="2"/>
            <w:shd w:val="clear" w:color="auto" w:fill="EDEDEE"/>
          </w:tcPr>
          <w:p>
            <w:pPr>
              <w:jc w:val="right"/>
              <w:ind w:right="320"/>
              <w:spacing w:after="0"/>
              <w:rPr>
                <w:sz w:val="20"/>
                <w:szCs w:val="20"/>
                <w:color w:val="auto"/>
              </w:rPr>
            </w:pPr>
            <w:r>
              <w:rPr>
                <w:rFonts w:ascii="Arial" w:cs="Arial" w:eastAsia="Arial" w:hAnsi="Arial"/>
                <w:sz w:val="14"/>
                <w:szCs w:val="14"/>
                <w:color w:val="auto"/>
              </w:rPr>
              <w:t>1,797,012</w:t>
            </w:r>
          </w:p>
        </w:tc>
        <w:tc>
          <w:tcPr>
            <w:tcW w:w="260" w:type="dxa"/>
            <w:vAlign w:val="bottom"/>
            <w:shd w:val="clear" w:color="auto" w:fill="EDEDEE"/>
          </w:tcPr>
          <w:p>
            <w:pPr>
              <w:spacing w:after="0"/>
              <w:rPr>
                <w:sz w:val="14"/>
                <w:szCs w:val="14"/>
                <w:color w:val="auto"/>
              </w:rPr>
            </w:pPr>
          </w:p>
        </w:tc>
        <w:tc>
          <w:tcPr>
            <w:tcW w:w="1160" w:type="dxa"/>
            <w:vAlign w:val="bottom"/>
            <w:gridSpan w:val="2"/>
            <w:shd w:val="clear" w:color="auto" w:fill="EDEDEE"/>
          </w:tcPr>
          <w:p>
            <w:pPr>
              <w:jc w:val="right"/>
              <w:ind w:right="340"/>
              <w:spacing w:after="0"/>
              <w:rPr>
                <w:sz w:val="20"/>
                <w:szCs w:val="20"/>
                <w:color w:val="auto"/>
              </w:rPr>
            </w:pPr>
            <w:r>
              <w:rPr>
                <w:rFonts w:ascii="Arial" w:cs="Arial" w:eastAsia="Arial" w:hAnsi="Arial"/>
                <w:sz w:val="14"/>
                <w:szCs w:val="14"/>
                <w:color w:val="auto"/>
              </w:rPr>
              <w:t>1,798,563</w:t>
            </w:r>
          </w:p>
        </w:tc>
        <w:tc>
          <w:tcPr>
            <w:tcW w:w="240" w:type="dxa"/>
            <w:vAlign w:val="bottom"/>
            <w:shd w:val="clear" w:color="auto" w:fill="EDEDEE"/>
          </w:tcPr>
          <w:p>
            <w:pPr>
              <w:spacing w:after="0"/>
              <w:rPr>
                <w:sz w:val="14"/>
                <w:szCs w:val="14"/>
                <w:color w:val="auto"/>
              </w:rPr>
            </w:pPr>
          </w:p>
        </w:tc>
        <w:tc>
          <w:tcPr>
            <w:tcW w:w="1180" w:type="dxa"/>
            <w:vAlign w:val="bottom"/>
            <w:gridSpan w:val="2"/>
            <w:shd w:val="clear" w:color="auto" w:fill="EDEDEE"/>
          </w:tcPr>
          <w:p>
            <w:pPr>
              <w:jc w:val="right"/>
              <w:ind w:right="340"/>
              <w:spacing w:after="0"/>
              <w:rPr>
                <w:sz w:val="20"/>
                <w:szCs w:val="20"/>
                <w:color w:val="auto"/>
              </w:rPr>
            </w:pPr>
            <w:r>
              <w:rPr>
                <w:rFonts w:ascii="Arial" w:cs="Arial" w:eastAsia="Arial" w:hAnsi="Arial"/>
                <w:sz w:val="14"/>
                <w:szCs w:val="14"/>
                <w:color w:val="auto"/>
              </w:rPr>
              <w:t>1,519,216</w:t>
            </w:r>
          </w:p>
        </w:tc>
        <w:tc>
          <w:tcPr>
            <w:tcW w:w="260" w:type="dxa"/>
            <w:vAlign w:val="bottom"/>
            <w:shd w:val="clear" w:color="auto" w:fill="EDEDEE"/>
          </w:tcPr>
          <w:p>
            <w:pPr>
              <w:spacing w:after="0"/>
              <w:rPr>
                <w:sz w:val="14"/>
                <w:szCs w:val="14"/>
                <w:color w:val="auto"/>
              </w:rPr>
            </w:pPr>
          </w:p>
        </w:tc>
        <w:tc>
          <w:tcPr>
            <w:tcW w:w="940" w:type="dxa"/>
            <w:vAlign w:val="bottom"/>
            <w:gridSpan w:val="2"/>
            <w:shd w:val="clear" w:color="auto" w:fill="EDEDEE"/>
          </w:tcPr>
          <w:p>
            <w:pPr>
              <w:jc w:val="right"/>
              <w:ind w:right="120"/>
              <w:spacing w:after="0"/>
              <w:rPr>
                <w:sz w:val="20"/>
                <w:szCs w:val="20"/>
                <w:color w:val="auto"/>
              </w:rPr>
            </w:pPr>
            <w:r>
              <w:rPr>
                <w:rFonts w:ascii="Arial" w:cs="Arial" w:eastAsia="Arial" w:hAnsi="Arial"/>
                <w:sz w:val="14"/>
                <w:szCs w:val="14"/>
                <w:color w:val="auto"/>
              </w:rPr>
              <w:t>2,463,422</w:t>
            </w:r>
          </w:p>
        </w:tc>
      </w:tr>
      <w:tr>
        <w:trPr>
          <w:trHeight w:val="162"/>
        </w:trPr>
        <w:tc>
          <w:tcPr>
            <w:tcW w:w="4080" w:type="dxa"/>
            <w:vAlign w:val="bottom"/>
          </w:tcPr>
          <w:p>
            <w:pPr>
              <w:ind w:left="360"/>
              <w:spacing w:after="0"/>
              <w:rPr>
                <w:sz w:val="20"/>
                <w:szCs w:val="20"/>
                <w:color w:val="auto"/>
              </w:rPr>
            </w:pPr>
            <w:r>
              <w:rPr>
                <w:rFonts w:ascii="Arial" w:cs="Arial" w:eastAsia="Arial" w:hAnsi="Arial"/>
                <w:sz w:val="14"/>
                <w:szCs w:val="14"/>
                <w:color w:val="auto"/>
              </w:rPr>
              <w:t>SCT – Option Awards</w:t>
            </w:r>
          </w:p>
        </w:tc>
        <w:tc>
          <w:tcPr>
            <w:tcW w:w="280" w:type="dxa"/>
            <w:vAlign w:val="bottom"/>
          </w:tcPr>
          <w:p>
            <w:pPr>
              <w:spacing w:after="0"/>
              <w:rPr>
                <w:sz w:val="14"/>
                <w:szCs w:val="14"/>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color w:val="auto"/>
              </w:rPr>
              <w:t>446,871</w:t>
            </w:r>
          </w:p>
        </w:tc>
        <w:tc>
          <w:tcPr>
            <w:tcW w:w="240" w:type="dxa"/>
            <w:vAlign w:val="bottom"/>
          </w:tcPr>
          <w:p>
            <w:pPr>
              <w:spacing w:after="0"/>
              <w:rPr>
                <w:sz w:val="14"/>
                <w:szCs w:val="1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4"/>
                <w:szCs w:val="14"/>
                <w:color w:val="auto"/>
              </w:rPr>
              <w:t>371,778</w:t>
            </w:r>
          </w:p>
        </w:tc>
        <w:tc>
          <w:tcPr>
            <w:tcW w:w="26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484,376</w:t>
            </w:r>
          </w:p>
        </w:tc>
      </w:tr>
      <w:tr>
        <w:trPr>
          <w:trHeight w:val="162"/>
        </w:trPr>
        <w:tc>
          <w:tcPr>
            <w:tcW w:w="4080" w:type="dxa"/>
            <w:vAlign w:val="bottom"/>
            <w:shd w:val="clear" w:color="auto" w:fill="EDEDEE"/>
          </w:tcPr>
          <w:p>
            <w:pPr>
              <w:ind w:left="180"/>
              <w:spacing w:after="0"/>
              <w:rPr>
                <w:sz w:val="20"/>
                <w:szCs w:val="20"/>
                <w:color w:val="auto"/>
              </w:rPr>
            </w:pPr>
            <w:r>
              <w:rPr>
                <w:rFonts w:ascii="Arial" w:cs="Arial" w:eastAsia="Arial" w:hAnsi="Arial"/>
                <w:sz w:val="14"/>
                <w:szCs w:val="14"/>
                <w:i w:val="1"/>
                <w:iCs w:val="1"/>
                <w:color w:val="auto"/>
              </w:rPr>
              <w:t>Plus:</w:t>
            </w:r>
          </w:p>
        </w:tc>
        <w:tc>
          <w:tcPr>
            <w:tcW w:w="280" w:type="dxa"/>
            <w:vAlign w:val="bottom"/>
            <w:shd w:val="clear" w:color="auto" w:fill="EDEDEE"/>
          </w:tcPr>
          <w:p>
            <w:pPr>
              <w:spacing w:after="0"/>
              <w:rPr>
                <w:sz w:val="14"/>
                <w:szCs w:val="14"/>
                <w:color w:val="auto"/>
              </w:rPr>
            </w:pPr>
          </w:p>
        </w:tc>
        <w:tc>
          <w:tcPr>
            <w:tcW w:w="840" w:type="dxa"/>
            <w:vAlign w:val="bottom"/>
            <w:shd w:val="clear" w:color="auto" w:fill="EDEDEE"/>
          </w:tcPr>
          <w:p>
            <w:pPr>
              <w:spacing w:after="0"/>
              <w:rPr>
                <w:sz w:val="14"/>
                <w:szCs w:val="14"/>
                <w:color w:val="auto"/>
              </w:rPr>
            </w:pPr>
          </w:p>
        </w:tc>
        <w:tc>
          <w:tcPr>
            <w:tcW w:w="360" w:type="dxa"/>
            <w:vAlign w:val="bottom"/>
            <w:shd w:val="clear" w:color="auto" w:fill="EDEDEE"/>
          </w:tcPr>
          <w:p>
            <w:pPr>
              <w:spacing w:after="0"/>
              <w:rPr>
                <w:sz w:val="14"/>
                <w:szCs w:val="14"/>
                <w:color w:val="auto"/>
              </w:rPr>
            </w:pPr>
          </w:p>
        </w:tc>
        <w:tc>
          <w:tcPr>
            <w:tcW w:w="260" w:type="dxa"/>
            <w:vAlign w:val="bottom"/>
            <w:shd w:val="clear" w:color="auto" w:fill="EDEDEE"/>
          </w:tcPr>
          <w:p>
            <w:pPr>
              <w:spacing w:after="0"/>
              <w:rPr>
                <w:sz w:val="14"/>
                <w:szCs w:val="14"/>
                <w:color w:val="auto"/>
              </w:rPr>
            </w:pPr>
          </w:p>
        </w:tc>
        <w:tc>
          <w:tcPr>
            <w:tcW w:w="840" w:type="dxa"/>
            <w:vAlign w:val="bottom"/>
            <w:shd w:val="clear" w:color="auto" w:fill="EDEDEE"/>
          </w:tcPr>
          <w:p>
            <w:pPr>
              <w:spacing w:after="0"/>
              <w:rPr>
                <w:sz w:val="14"/>
                <w:szCs w:val="14"/>
                <w:color w:val="auto"/>
              </w:rPr>
            </w:pPr>
          </w:p>
        </w:tc>
        <w:tc>
          <w:tcPr>
            <w:tcW w:w="320" w:type="dxa"/>
            <w:vAlign w:val="bottom"/>
            <w:shd w:val="clear" w:color="auto" w:fill="EDEDEE"/>
          </w:tcPr>
          <w:p>
            <w:pPr>
              <w:spacing w:after="0"/>
              <w:rPr>
                <w:sz w:val="14"/>
                <w:szCs w:val="14"/>
                <w:color w:val="auto"/>
              </w:rPr>
            </w:pPr>
          </w:p>
        </w:tc>
        <w:tc>
          <w:tcPr>
            <w:tcW w:w="260" w:type="dxa"/>
            <w:vAlign w:val="bottom"/>
            <w:shd w:val="clear" w:color="auto" w:fill="EDEDEE"/>
          </w:tcPr>
          <w:p>
            <w:pPr>
              <w:spacing w:after="0"/>
              <w:rPr>
                <w:sz w:val="14"/>
                <w:szCs w:val="14"/>
                <w:color w:val="auto"/>
              </w:rPr>
            </w:pPr>
          </w:p>
        </w:tc>
        <w:tc>
          <w:tcPr>
            <w:tcW w:w="820" w:type="dxa"/>
            <w:vAlign w:val="bottom"/>
            <w:shd w:val="clear" w:color="auto" w:fill="EDEDEE"/>
          </w:tcPr>
          <w:p>
            <w:pPr>
              <w:spacing w:after="0"/>
              <w:rPr>
                <w:sz w:val="14"/>
                <w:szCs w:val="14"/>
                <w:color w:val="auto"/>
              </w:rPr>
            </w:pPr>
          </w:p>
        </w:tc>
        <w:tc>
          <w:tcPr>
            <w:tcW w:w="340" w:type="dxa"/>
            <w:vAlign w:val="bottom"/>
            <w:shd w:val="clear" w:color="auto" w:fill="EDEDEE"/>
          </w:tcPr>
          <w:p>
            <w:pPr>
              <w:spacing w:after="0"/>
              <w:rPr>
                <w:sz w:val="14"/>
                <w:szCs w:val="14"/>
                <w:color w:val="auto"/>
              </w:rPr>
            </w:pPr>
          </w:p>
        </w:tc>
        <w:tc>
          <w:tcPr>
            <w:tcW w:w="240" w:type="dxa"/>
            <w:vAlign w:val="bottom"/>
            <w:shd w:val="clear" w:color="auto" w:fill="EDEDEE"/>
          </w:tcPr>
          <w:p>
            <w:pPr>
              <w:spacing w:after="0"/>
              <w:rPr>
                <w:sz w:val="14"/>
                <w:szCs w:val="14"/>
                <w:color w:val="auto"/>
              </w:rPr>
            </w:pPr>
          </w:p>
        </w:tc>
        <w:tc>
          <w:tcPr>
            <w:tcW w:w="840" w:type="dxa"/>
            <w:vAlign w:val="bottom"/>
            <w:shd w:val="clear" w:color="auto" w:fill="EDEDEE"/>
          </w:tcPr>
          <w:p>
            <w:pPr>
              <w:spacing w:after="0"/>
              <w:rPr>
                <w:sz w:val="14"/>
                <w:szCs w:val="14"/>
                <w:color w:val="auto"/>
              </w:rPr>
            </w:pPr>
          </w:p>
        </w:tc>
        <w:tc>
          <w:tcPr>
            <w:tcW w:w="340" w:type="dxa"/>
            <w:vAlign w:val="bottom"/>
            <w:shd w:val="clear" w:color="auto" w:fill="EDEDEE"/>
          </w:tcPr>
          <w:p>
            <w:pPr>
              <w:spacing w:after="0"/>
              <w:rPr>
                <w:sz w:val="14"/>
                <w:szCs w:val="14"/>
                <w:color w:val="auto"/>
              </w:rPr>
            </w:pPr>
          </w:p>
        </w:tc>
        <w:tc>
          <w:tcPr>
            <w:tcW w:w="260" w:type="dxa"/>
            <w:vAlign w:val="bottom"/>
            <w:shd w:val="clear" w:color="auto" w:fill="EDEDEE"/>
          </w:tcPr>
          <w:p>
            <w:pPr>
              <w:spacing w:after="0"/>
              <w:rPr>
                <w:sz w:val="14"/>
                <w:szCs w:val="14"/>
                <w:color w:val="auto"/>
              </w:rPr>
            </w:pPr>
          </w:p>
        </w:tc>
        <w:tc>
          <w:tcPr>
            <w:tcW w:w="820" w:type="dxa"/>
            <w:vAlign w:val="bottom"/>
            <w:shd w:val="clear" w:color="auto" w:fill="EDEDEE"/>
          </w:tcPr>
          <w:p>
            <w:pPr>
              <w:spacing w:after="0"/>
              <w:rPr>
                <w:sz w:val="14"/>
                <w:szCs w:val="14"/>
                <w:color w:val="auto"/>
              </w:rPr>
            </w:pPr>
          </w:p>
        </w:tc>
        <w:tc>
          <w:tcPr>
            <w:tcW w:w="120" w:type="dxa"/>
            <w:vAlign w:val="bottom"/>
            <w:shd w:val="clear" w:color="auto" w:fill="EDEDEE"/>
          </w:tcPr>
          <w:p>
            <w:pPr>
              <w:spacing w:after="0"/>
              <w:rPr>
                <w:sz w:val="14"/>
                <w:szCs w:val="14"/>
                <w:color w:val="auto"/>
              </w:rPr>
            </w:pPr>
          </w:p>
        </w:tc>
      </w:tr>
      <w:tr>
        <w:trPr>
          <w:trHeight w:val="153"/>
        </w:trPr>
        <w:tc>
          <w:tcPr>
            <w:tcW w:w="4080" w:type="dxa"/>
            <w:vAlign w:val="bottom"/>
          </w:tcPr>
          <w:p>
            <w:pPr>
              <w:ind w:left="360"/>
              <w:spacing w:after="0" w:line="153" w:lineRule="exact"/>
              <w:rPr>
                <w:sz w:val="20"/>
                <w:szCs w:val="20"/>
                <w:color w:val="auto"/>
              </w:rPr>
            </w:pPr>
            <w:r>
              <w:rPr>
                <w:rFonts w:ascii="Arial" w:cs="Arial" w:eastAsia="Arial" w:hAnsi="Arial"/>
                <w:sz w:val="14"/>
                <w:szCs w:val="14"/>
                <w:color w:val="auto"/>
              </w:rPr>
              <w:t>Fair value of awards granted during covered year that</w:t>
            </w: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4080" w:type="dxa"/>
            <w:vAlign w:val="bottom"/>
          </w:tcPr>
          <w:p>
            <w:pPr>
              <w:ind w:left="360"/>
              <w:spacing w:after="0"/>
              <w:rPr>
                <w:sz w:val="20"/>
                <w:szCs w:val="20"/>
                <w:color w:val="auto"/>
              </w:rPr>
            </w:pPr>
            <w:r>
              <w:rPr>
                <w:rFonts w:ascii="Arial" w:cs="Arial" w:eastAsia="Arial" w:hAnsi="Arial"/>
                <w:sz w:val="14"/>
                <w:szCs w:val="14"/>
                <w:color w:val="auto"/>
              </w:rPr>
              <w:t>remain outstanding and unvested as of the last day of</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4080" w:type="dxa"/>
            <w:vAlign w:val="bottom"/>
          </w:tcPr>
          <w:p>
            <w:pPr>
              <w:ind w:left="360"/>
              <w:spacing w:after="0"/>
              <w:rPr>
                <w:sz w:val="20"/>
                <w:szCs w:val="20"/>
                <w:color w:val="auto"/>
              </w:rPr>
            </w:pPr>
            <w:r>
              <w:rPr>
                <w:rFonts w:ascii="Arial" w:cs="Arial" w:eastAsia="Arial" w:hAnsi="Arial"/>
                <w:sz w:val="14"/>
                <w:szCs w:val="14"/>
                <w:color w:val="auto"/>
              </w:rPr>
              <w:t>the covered year</w:t>
            </w:r>
          </w:p>
        </w:tc>
        <w:tc>
          <w:tcPr>
            <w:tcW w:w="280" w:type="dxa"/>
            <w:vAlign w:val="bottom"/>
          </w:tcPr>
          <w:p>
            <w:pPr>
              <w:spacing w:after="0"/>
              <w:rPr>
                <w:sz w:val="14"/>
                <w:szCs w:val="14"/>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4"/>
                <w:szCs w:val="14"/>
                <w:color w:val="auto"/>
              </w:rPr>
              <w:t>1,036,342</w:t>
            </w:r>
          </w:p>
        </w:tc>
        <w:tc>
          <w:tcPr>
            <w:tcW w:w="260" w:type="dxa"/>
            <w:vAlign w:val="bottom"/>
          </w:tcPr>
          <w:p>
            <w:pPr>
              <w:spacing w:after="0"/>
              <w:rPr>
                <w:sz w:val="14"/>
                <w:szCs w:val="1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color w:val="auto"/>
              </w:rPr>
              <w:t>1,074,854</w:t>
            </w:r>
          </w:p>
        </w:tc>
        <w:tc>
          <w:tcPr>
            <w:tcW w:w="260" w:type="dxa"/>
            <w:vAlign w:val="bottom"/>
          </w:tcPr>
          <w:p>
            <w:pPr>
              <w:spacing w:after="0"/>
              <w:rPr>
                <w:sz w:val="14"/>
                <w:szCs w:val="1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color w:val="auto"/>
              </w:rPr>
              <w:t>2,257,236</w:t>
            </w:r>
          </w:p>
        </w:tc>
        <w:tc>
          <w:tcPr>
            <w:tcW w:w="240" w:type="dxa"/>
            <w:vAlign w:val="bottom"/>
          </w:tcPr>
          <w:p>
            <w:pPr>
              <w:spacing w:after="0"/>
              <w:rPr>
                <w:sz w:val="14"/>
                <w:szCs w:val="1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4"/>
                <w:szCs w:val="14"/>
                <w:color w:val="auto"/>
              </w:rPr>
              <w:t>1,196,776</w:t>
            </w:r>
          </w:p>
        </w:tc>
        <w:tc>
          <w:tcPr>
            <w:tcW w:w="26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2,856,735</w:t>
            </w:r>
          </w:p>
        </w:tc>
      </w:tr>
      <w:tr>
        <w:trPr>
          <w:trHeight w:val="153"/>
        </w:trPr>
        <w:tc>
          <w:tcPr>
            <w:tcW w:w="4080" w:type="dxa"/>
            <w:vAlign w:val="bottom"/>
            <w:shd w:val="clear" w:color="auto" w:fill="EDEDEE"/>
          </w:tcPr>
          <w:p>
            <w:pPr>
              <w:ind w:left="360"/>
              <w:spacing w:after="0" w:line="153" w:lineRule="exact"/>
              <w:rPr>
                <w:sz w:val="20"/>
                <w:szCs w:val="20"/>
                <w:color w:val="auto"/>
              </w:rPr>
            </w:pPr>
            <w:r>
              <w:rPr>
                <w:rFonts w:ascii="Arial" w:cs="Arial" w:eastAsia="Arial" w:hAnsi="Arial"/>
                <w:sz w:val="14"/>
                <w:szCs w:val="14"/>
                <w:color w:val="auto"/>
              </w:rPr>
              <w:t>Change in fair value as of the last day of the covered</w:t>
            </w:r>
          </w:p>
        </w:tc>
        <w:tc>
          <w:tcPr>
            <w:tcW w:w="280" w:type="dxa"/>
            <w:vAlign w:val="bottom"/>
            <w:shd w:val="clear" w:color="auto" w:fill="EDEDEE"/>
          </w:tcPr>
          <w:p>
            <w:pPr>
              <w:spacing w:after="0"/>
              <w:rPr>
                <w:sz w:val="13"/>
                <w:szCs w:val="13"/>
                <w:color w:val="auto"/>
              </w:rPr>
            </w:pPr>
          </w:p>
        </w:tc>
        <w:tc>
          <w:tcPr>
            <w:tcW w:w="840" w:type="dxa"/>
            <w:vAlign w:val="bottom"/>
            <w:shd w:val="clear" w:color="auto" w:fill="EDEDEE"/>
          </w:tcPr>
          <w:p>
            <w:pPr>
              <w:spacing w:after="0"/>
              <w:rPr>
                <w:sz w:val="13"/>
                <w:szCs w:val="13"/>
                <w:color w:val="auto"/>
              </w:rPr>
            </w:pPr>
          </w:p>
        </w:tc>
        <w:tc>
          <w:tcPr>
            <w:tcW w:w="360" w:type="dxa"/>
            <w:vAlign w:val="bottom"/>
            <w:shd w:val="clear" w:color="auto" w:fill="EDEDEE"/>
          </w:tcPr>
          <w:p>
            <w:pPr>
              <w:spacing w:after="0"/>
              <w:rPr>
                <w:sz w:val="13"/>
                <w:szCs w:val="13"/>
                <w:color w:val="auto"/>
              </w:rPr>
            </w:pPr>
          </w:p>
        </w:tc>
        <w:tc>
          <w:tcPr>
            <w:tcW w:w="260" w:type="dxa"/>
            <w:vAlign w:val="bottom"/>
            <w:shd w:val="clear" w:color="auto" w:fill="EDEDEE"/>
          </w:tcPr>
          <w:p>
            <w:pPr>
              <w:spacing w:after="0"/>
              <w:rPr>
                <w:sz w:val="13"/>
                <w:szCs w:val="13"/>
                <w:color w:val="auto"/>
              </w:rPr>
            </w:pPr>
          </w:p>
        </w:tc>
        <w:tc>
          <w:tcPr>
            <w:tcW w:w="840" w:type="dxa"/>
            <w:vAlign w:val="bottom"/>
            <w:shd w:val="clear" w:color="auto" w:fill="EDEDEE"/>
          </w:tcPr>
          <w:p>
            <w:pPr>
              <w:spacing w:after="0"/>
              <w:rPr>
                <w:sz w:val="13"/>
                <w:szCs w:val="13"/>
                <w:color w:val="auto"/>
              </w:rPr>
            </w:pPr>
          </w:p>
        </w:tc>
        <w:tc>
          <w:tcPr>
            <w:tcW w:w="320" w:type="dxa"/>
            <w:vAlign w:val="bottom"/>
            <w:shd w:val="clear" w:color="auto" w:fill="EDEDEE"/>
          </w:tcPr>
          <w:p>
            <w:pPr>
              <w:spacing w:after="0"/>
              <w:rPr>
                <w:sz w:val="13"/>
                <w:szCs w:val="13"/>
                <w:color w:val="auto"/>
              </w:rPr>
            </w:pPr>
          </w:p>
        </w:tc>
        <w:tc>
          <w:tcPr>
            <w:tcW w:w="260" w:type="dxa"/>
            <w:vAlign w:val="bottom"/>
            <w:shd w:val="clear" w:color="auto" w:fill="EDEDEE"/>
          </w:tcPr>
          <w:p>
            <w:pPr>
              <w:spacing w:after="0"/>
              <w:rPr>
                <w:sz w:val="13"/>
                <w:szCs w:val="13"/>
                <w:color w:val="auto"/>
              </w:rPr>
            </w:pPr>
          </w:p>
        </w:tc>
        <w:tc>
          <w:tcPr>
            <w:tcW w:w="820" w:type="dxa"/>
            <w:vAlign w:val="bottom"/>
            <w:shd w:val="clear" w:color="auto" w:fill="EDEDEE"/>
          </w:tcPr>
          <w:p>
            <w:pPr>
              <w:spacing w:after="0"/>
              <w:rPr>
                <w:sz w:val="13"/>
                <w:szCs w:val="13"/>
                <w:color w:val="auto"/>
              </w:rPr>
            </w:pPr>
          </w:p>
        </w:tc>
        <w:tc>
          <w:tcPr>
            <w:tcW w:w="340" w:type="dxa"/>
            <w:vAlign w:val="bottom"/>
            <w:shd w:val="clear" w:color="auto" w:fill="EDEDEE"/>
          </w:tcPr>
          <w:p>
            <w:pPr>
              <w:spacing w:after="0"/>
              <w:rPr>
                <w:sz w:val="13"/>
                <w:szCs w:val="13"/>
                <w:color w:val="auto"/>
              </w:rPr>
            </w:pPr>
          </w:p>
        </w:tc>
        <w:tc>
          <w:tcPr>
            <w:tcW w:w="240" w:type="dxa"/>
            <w:vAlign w:val="bottom"/>
            <w:shd w:val="clear" w:color="auto" w:fill="EDEDEE"/>
          </w:tcPr>
          <w:p>
            <w:pPr>
              <w:spacing w:after="0"/>
              <w:rPr>
                <w:sz w:val="13"/>
                <w:szCs w:val="13"/>
                <w:color w:val="auto"/>
              </w:rPr>
            </w:pPr>
          </w:p>
        </w:tc>
        <w:tc>
          <w:tcPr>
            <w:tcW w:w="840" w:type="dxa"/>
            <w:vAlign w:val="bottom"/>
            <w:shd w:val="clear" w:color="auto" w:fill="EDEDEE"/>
          </w:tcPr>
          <w:p>
            <w:pPr>
              <w:spacing w:after="0"/>
              <w:rPr>
                <w:sz w:val="13"/>
                <w:szCs w:val="13"/>
                <w:color w:val="auto"/>
              </w:rPr>
            </w:pPr>
          </w:p>
        </w:tc>
        <w:tc>
          <w:tcPr>
            <w:tcW w:w="340" w:type="dxa"/>
            <w:vAlign w:val="bottom"/>
            <w:shd w:val="clear" w:color="auto" w:fill="EDEDEE"/>
          </w:tcPr>
          <w:p>
            <w:pPr>
              <w:spacing w:after="0"/>
              <w:rPr>
                <w:sz w:val="13"/>
                <w:szCs w:val="13"/>
                <w:color w:val="auto"/>
              </w:rPr>
            </w:pPr>
          </w:p>
        </w:tc>
        <w:tc>
          <w:tcPr>
            <w:tcW w:w="260" w:type="dxa"/>
            <w:vAlign w:val="bottom"/>
            <w:shd w:val="clear" w:color="auto" w:fill="EDEDEE"/>
          </w:tcPr>
          <w:p>
            <w:pPr>
              <w:spacing w:after="0"/>
              <w:rPr>
                <w:sz w:val="13"/>
                <w:szCs w:val="13"/>
                <w:color w:val="auto"/>
              </w:rPr>
            </w:pPr>
          </w:p>
        </w:tc>
        <w:tc>
          <w:tcPr>
            <w:tcW w:w="820" w:type="dxa"/>
            <w:vAlign w:val="bottom"/>
            <w:shd w:val="clear" w:color="auto" w:fill="EDEDEE"/>
          </w:tcPr>
          <w:p>
            <w:pPr>
              <w:spacing w:after="0"/>
              <w:rPr>
                <w:sz w:val="13"/>
                <w:szCs w:val="13"/>
                <w:color w:val="auto"/>
              </w:rPr>
            </w:pPr>
          </w:p>
        </w:tc>
        <w:tc>
          <w:tcPr>
            <w:tcW w:w="120" w:type="dxa"/>
            <w:vAlign w:val="bottom"/>
            <w:shd w:val="clear" w:color="auto" w:fill="EDEDEE"/>
          </w:tcPr>
          <w:p>
            <w:pPr>
              <w:spacing w:after="0"/>
              <w:rPr>
                <w:sz w:val="13"/>
                <w:szCs w:val="13"/>
                <w:color w:val="auto"/>
              </w:rPr>
            </w:pPr>
          </w:p>
        </w:tc>
      </w:tr>
      <w:tr>
        <w:trPr>
          <w:trHeight w:val="162"/>
        </w:trPr>
        <w:tc>
          <w:tcPr>
            <w:tcW w:w="4080" w:type="dxa"/>
            <w:vAlign w:val="bottom"/>
            <w:shd w:val="clear" w:color="auto" w:fill="EDEDEE"/>
          </w:tcPr>
          <w:p>
            <w:pPr>
              <w:ind w:left="360"/>
              <w:spacing w:after="0"/>
              <w:rPr>
                <w:sz w:val="20"/>
                <w:szCs w:val="20"/>
                <w:color w:val="auto"/>
              </w:rPr>
            </w:pPr>
            <w:r>
              <w:rPr>
                <w:rFonts w:ascii="Arial" w:cs="Arial" w:eastAsia="Arial" w:hAnsi="Arial"/>
                <w:sz w:val="14"/>
                <w:szCs w:val="14"/>
                <w:color w:val="auto"/>
              </w:rPr>
              <w:t>year of outstanding and unvested awards granted in</w:t>
            </w:r>
          </w:p>
        </w:tc>
        <w:tc>
          <w:tcPr>
            <w:tcW w:w="280" w:type="dxa"/>
            <w:vAlign w:val="bottom"/>
            <w:shd w:val="clear" w:color="auto" w:fill="EDEDEE"/>
          </w:tcPr>
          <w:p>
            <w:pPr>
              <w:spacing w:after="0"/>
              <w:rPr>
                <w:sz w:val="14"/>
                <w:szCs w:val="14"/>
                <w:color w:val="auto"/>
              </w:rPr>
            </w:pPr>
          </w:p>
        </w:tc>
        <w:tc>
          <w:tcPr>
            <w:tcW w:w="840" w:type="dxa"/>
            <w:vAlign w:val="bottom"/>
            <w:shd w:val="clear" w:color="auto" w:fill="EDEDEE"/>
          </w:tcPr>
          <w:p>
            <w:pPr>
              <w:spacing w:after="0"/>
              <w:rPr>
                <w:sz w:val="14"/>
                <w:szCs w:val="14"/>
                <w:color w:val="auto"/>
              </w:rPr>
            </w:pPr>
          </w:p>
        </w:tc>
        <w:tc>
          <w:tcPr>
            <w:tcW w:w="360" w:type="dxa"/>
            <w:vAlign w:val="bottom"/>
            <w:shd w:val="clear" w:color="auto" w:fill="EDEDEE"/>
          </w:tcPr>
          <w:p>
            <w:pPr>
              <w:spacing w:after="0"/>
              <w:rPr>
                <w:sz w:val="14"/>
                <w:szCs w:val="14"/>
                <w:color w:val="auto"/>
              </w:rPr>
            </w:pPr>
          </w:p>
        </w:tc>
        <w:tc>
          <w:tcPr>
            <w:tcW w:w="260" w:type="dxa"/>
            <w:vAlign w:val="bottom"/>
            <w:shd w:val="clear" w:color="auto" w:fill="EDEDEE"/>
          </w:tcPr>
          <w:p>
            <w:pPr>
              <w:spacing w:after="0"/>
              <w:rPr>
                <w:sz w:val="14"/>
                <w:szCs w:val="14"/>
                <w:color w:val="auto"/>
              </w:rPr>
            </w:pPr>
          </w:p>
        </w:tc>
        <w:tc>
          <w:tcPr>
            <w:tcW w:w="840" w:type="dxa"/>
            <w:vAlign w:val="bottom"/>
            <w:shd w:val="clear" w:color="auto" w:fill="EDEDEE"/>
          </w:tcPr>
          <w:p>
            <w:pPr>
              <w:spacing w:after="0"/>
              <w:rPr>
                <w:sz w:val="14"/>
                <w:szCs w:val="14"/>
                <w:color w:val="auto"/>
              </w:rPr>
            </w:pPr>
          </w:p>
        </w:tc>
        <w:tc>
          <w:tcPr>
            <w:tcW w:w="320" w:type="dxa"/>
            <w:vAlign w:val="bottom"/>
            <w:shd w:val="clear" w:color="auto" w:fill="EDEDEE"/>
          </w:tcPr>
          <w:p>
            <w:pPr>
              <w:spacing w:after="0"/>
              <w:rPr>
                <w:sz w:val="14"/>
                <w:szCs w:val="14"/>
                <w:color w:val="auto"/>
              </w:rPr>
            </w:pPr>
          </w:p>
        </w:tc>
        <w:tc>
          <w:tcPr>
            <w:tcW w:w="260" w:type="dxa"/>
            <w:vAlign w:val="bottom"/>
            <w:shd w:val="clear" w:color="auto" w:fill="EDEDEE"/>
          </w:tcPr>
          <w:p>
            <w:pPr>
              <w:spacing w:after="0"/>
              <w:rPr>
                <w:sz w:val="14"/>
                <w:szCs w:val="14"/>
                <w:color w:val="auto"/>
              </w:rPr>
            </w:pPr>
          </w:p>
        </w:tc>
        <w:tc>
          <w:tcPr>
            <w:tcW w:w="820" w:type="dxa"/>
            <w:vAlign w:val="bottom"/>
            <w:shd w:val="clear" w:color="auto" w:fill="EDEDEE"/>
          </w:tcPr>
          <w:p>
            <w:pPr>
              <w:spacing w:after="0"/>
              <w:rPr>
                <w:sz w:val="14"/>
                <w:szCs w:val="14"/>
                <w:color w:val="auto"/>
              </w:rPr>
            </w:pPr>
          </w:p>
        </w:tc>
        <w:tc>
          <w:tcPr>
            <w:tcW w:w="340" w:type="dxa"/>
            <w:vAlign w:val="bottom"/>
            <w:shd w:val="clear" w:color="auto" w:fill="EDEDEE"/>
          </w:tcPr>
          <w:p>
            <w:pPr>
              <w:spacing w:after="0"/>
              <w:rPr>
                <w:sz w:val="14"/>
                <w:szCs w:val="14"/>
                <w:color w:val="auto"/>
              </w:rPr>
            </w:pPr>
          </w:p>
        </w:tc>
        <w:tc>
          <w:tcPr>
            <w:tcW w:w="240" w:type="dxa"/>
            <w:vAlign w:val="bottom"/>
            <w:shd w:val="clear" w:color="auto" w:fill="EDEDEE"/>
          </w:tcPr>
          <w:p>
            <w:pPr>
              <w:spacing w:after="0"/>
              <w:rPr>
                <w:sz w:val="14"/>
                <w:szCs w:val="14"/>
                <w:color w:val="auto"/>
              </w:rPr>
            </w:pPr>
          </w:p>
        </w:tc>
        <w:tc>
          <w:tcPr>
            <w:tcW w:w="840" w:type="dxa"/>
            <w:vAlign w:val="bottom"/>
            <w:shd w:val="clear" w:color="auto" w:fill="EDEDEE"/>
          </w:tcPr>
          <w:p>
            <w:pPr>
              <w:spacing w:after="0"/>
              <w:rPr>
                <w:sz w:val="14"/>
                <w:szCs w:val="14"/>
                <w:color w:val="auto"/>
              </w:rPr>
            </w:pPr>
          </w:p>
        </w:tc>
        <w:tc>
          <w:tcPr>
            <w:tcW w:w="340" w:type="dxa"/>
            <w:vAlign w:val="bottom"/>
            <w:shd w:val="clear" w:color="auto" w:fill="EDEDEE"/>
          </w:tcPr>
          <w:p>
            <w:pPr>
              <w:spacing w:after="0"/>
              <w:rPr>
                <w:sz w:val="14"/>
                <w:szCs w:val="14"/>
                <w:color w:val="auto"/>
              </w:rPr>
            </w:pPr>
          </w:p>
        </w:tc>
        <w:tc>
          <w:tcPr>
            <w:tcW w:w="260" w:type="dxa"/>
            <w:vAlign w:val="bottom"/>
            <w:shd w:val="clear" w:color="auto" w:fill="EDEDEE"/>
          </w:tcPr>
          <w:p>
            <w:pPr>
              <w:spacing w:after="0"/>
              <w:rPr>
                <w:sz w:val="14"/>
                <w:szCs w:val="14"/>
                <w:color w:val="auto"/>
              </w:rPr>
            </w:pPr>
          </w:p>
        </w:tc>
        <w:tc>
          <w:tcPr>
            <w:tcW w:w="820" w:type="dxa"/>
            <w:vAlign w:val="bottom"/>
            <w:shd w:val="clear" w:color="auto" w:fill="EDEDEE"/>
          </w:tcPr>
          <w:p>
            <w:pPr>
              <w:spacing w:after="0"/>
              <w:rPr>
                <w:sz w:val="14"/>
                <w:szCs w:val="14"/>
                <w:color w:val="auto"/>
              </w:rPr>
            </w:pPr>
          </w:p>
        </w:tc>
        <w:tc>
          <w:tcPr>
            <w:tcW w:w="120" w:type="dxa"/>
            <w:vAlign w:val="bottom"/>
            <w:shd w:val="clear" w:color="auto" w:fill="EDEDEE"/>
          </w:tcPr>
          <w:p>
            <w:pPr>
              <w:spacing w:after="0"/>
              <w:rPr>
                <w:sz w:val="14"/>
                <w:szCs w:val="14"/>
                <w:color w:val="auto"/>
              </w:rPr>
            </w:pPr>
          </w:p>
        </w:tc>
      </w:tr>
      <w:tr>
        <w:trPr>
          <w:trHeight w:val="171"/>
        </w:trPr>
        <w:tc>
          <w:tcPr>
            <w:tcW w:w="4080" w:type="dxa"/>
            <w:vAlign w:val="bottom"/>
            <w:shd w:val="clear" w:color="auto" w:fill="EDEDEE"/>
          </w:tcPr>
          <w:p>
            <w:pPr>
              <w:ind w:left="360"/>
              <w:spacing w:after="0"/>
              <w:rPr>
                <w:sz w:val="20"/>
                <w:szCs w:val="20"/>
                <w:color w:val="auto"/>
              </w:rPr>
            </w:pPr>
            <w:r>
              <w:rPr>
                <w:rFonts w:ascii="Arial" w:cs="Arial" w:eastAsia="Arial" w:hAnsi="Arial"/>
                <w:sz w:val="14"/>
                <w:szCs w:val="14"/>
                <w:color w:val="auto"/>
              </w:rPr>
              <w:t>prior years</w:t>
            </w:r>
          </w:p>
        </w:tc>
        <w:tc>
          <w:tcPr>
            <w:tcW w:w="280" w:type="dxa"/>
            <w:vAlign w:val="bottom"/>
            <w:shd w:val="clear" w:color="auto" w:fill="EDEDEE"/>
          </w:tcPr>
          <w:p>
            <w:pPr>
              <w:spacing w:after="0"/>
              <w:rPr>
                <w:sz w:val="14"/>
                <w:szCs w:val="14"/>
                <w:color w:val="auto"/>
              </w:rPr>
            </w:pPr>
          </w:p>
        </w:tc>
        <w:tc>
          <w:tcPr>
            <w:tcW w:w="1200" w:type="dxa"/>
            <w:vAlign w:val="bottom"/>
            <w:gridSpan w:val="2"/>
            <w:shd w:val="clear" w:color="auto" w:fill="EDEDEE"/>
          </w:tcPr>
          <w:p>
            <w:pPr>
              <w:jc w:val="right"/>
              <w:ind w:right="300"/>
              <w:spacing w:after="0"/>
              <w:rPr>
                <w:sz w:val="20"/>
                <w:szCs w:val="20"/>
                <w:color w:val="auto"/>
              </w:rPr>
            </w:pPr>
            <w:r>
              <w:rPr>
                <w:rFonts w:ascii="Arial" w:cs="Arial" w:eastAsia="Arial" w:hAnsi="Arial"/>
                <w:sz w:val="14"/>
                <w:szCs w:val="14"/>
                <w:color w:val="auto"/>
              </w:rPr>
              <w:t>(725,711)</w:t>
            </w:r>
          </w:p>
        </w:tc>
        <w:tc>
          <w:tcPr>
            <w:tcW w:w="260" w:type="dxa"/>
            <w:vAlign w:val="bottom"/>
            <w:shd w:val="clear" w:color="auto" w:fill="EDEDEE"/>
          </w:tcPr>
          <w:p>
            <w:pPr>
              <w:spacing w:after="0"/>
              <w:rPr>
                <w:sz w:val="14"/>
                <w:szCs w:val="14"/>
                <w:color w:val="auto"/>
              </w:rPr>
            </w:pPr>
          </w:p>
        </w:tc>
        <w:tc>
          <w:tcPr>
            <w:tcW w:w="1160" w:type="dxa"/>
            <w:vAlign w:val="bottom"/>
            <w:gridSpan w:val="2"/>
            <w:shd w:val="clear" w:color="auto" w:fill="EDEDEE"/>
          </w:tcPr>
          <w:p>
            <w:pPr>
              <w:jc w:val="right"/>
              <w:ind w:right="280"/>
              <w:spacing w:after="0"/>
              <w:rPr>
                <w:sz w:val="20"/>
                <w:szCs w:val="20"/>
                <w:color w:val="auto"/>
              </w:rPr>
            </w:pPr>
            <w:r>
              <w:rPr>
                <w:rFonts w:ascii="Arial" w:cs="Arial" w:eastAsia="Arial" w:hAnsi="Arial"/>
                <w:sz w:val="14"/>
                <w:szCs w:val="14"/>
                <w:color w:val="auto"/>
              </w:rPr>
              <w:t>(937,753)</w:t>
            </w:r>
          </w:p>
        </w:tc>
        <w:tc>
          <w:tcPr>
            <w:tcW w:w="260" w:type="dxa"/>
            <w:vAlign w:val="bottom"/>
            <w:shd w:val="clear" w:color="auto" w:fill="EDEDEE"/>
          </w:tcPr>
          <w:p>
            <w:pPr>
              <w:spacing w:after="0"/>
              <w:rPr>
                <w:sz w:val="14"/>
                <w:szCs w:val="14"/>
                <w:color w:val="auto"/>
              </w:rPr>
            </w:pPr>
          </w:p>
        </w:tc>
        <w:tc>
          <w:tcPr>
            <w:tcW w:w="1160" w:type="dxa"/>
            <w:vAlign w:val="bottom"/>
            <w:gridSpan w:val="2"/>
            <w:shd w:val="clear" w:color="auto" w:fill="EDEDEE"/>
          </w:tcPr>
          <w:p>
            <w:pPr>
              <w:jc w:val="right"/>
              <w:ind w:right="340"/>
              <w:spacing w:after="0"/>
              <w:rPr>
                <w:sz w:val="20"/>
                <w:szCs w:val="20"/>
                <w:color w:val="auto"/>
              </w:rPr>
            </w:pPr>
            <w:r>
              <w:rPr>
                <w:rFonts w:ascii="Arial" w:cs="Arial" w:eastAsia="Arial" w:hAnsi="Arial"/>
                <w:sz w:val="14"/>
                <w:szCs w:val="14"/>
                <w:color w:val="auto"/>
              </w:rPr>
              <w:t>96,325</w:t>
            </w:r>
          </w:p>
        </w:tc>
        <w:tc>
          <w:tcPr>
            <w:tcW w:w="240" w:type="dxa"/>
            <w:vAlign w:val="bottom"/>
            <w:shd w:val="clear" w:color="auto" w:fill="EDEDEE"/>
          </w:tcPr>
          <w:p>
            <w:pPr>
              <w:spacing w:after="0"/>
              <w:rPr>
                <w:sz w:val="14"/>
                <w:szCs w:val="14"/>
                <w:color w:val="auto"/>
              </w:rPr>
            </w:pPr>
          </w:p>
        </w:tc>
        <w:tc>
          <w:tcPr>
            <w:tcW w:w="1180" w:type="dxa"/>
            <w:vAlign w:val="bottom"/>
            <w:gridSpan w:val="2"/>
            <w:shd w:val="clear" w:color="auto" w:fill="EDEDEE"/>
          </w:tcPr>
          <w:p>
            <w:pPr>
              <w:jc w:val="right"/>
              <w:ind w:right="280"/>
              <w:spacing w:after="0"/>
              <w:rPr>
                <w:sz w:val="20"/>
                <w:szCs w:val="20"/>
                <w:color w:val="auto"/>
              </w:rPr>
            </w:pPr>
            <w:r>
              <w:rPr>
                <w:rFonts w:ascii="Arial" w:cs="Arial" w:eastAsia="Arial" w:hAnsi="Arial"/>
                <w:sz w:val="14"/>
                <w:szCs w:val="14"/>
                <w:color w:val="auto"/>
              </w:rPr>
              <w:t>(1,334,268)</w:t>
            </w:r>
          </w:p>
        </w:tc>
        <w:tc>
          <w:tcPr>
            <w:tcW w:w="260" w:type="dxa"/>
            <w:vAlign w:val="bottom"/>
            <w:shd w:val="clear" w:color="auto" w:fill="EDEDEE"/>
          </w:tcPr>
          <w:p>
            <w:pPr>
              <w:spacing w:after="0"/>
              <w:rPr>
                <w:sz w:val="14"/>
                <w:szCs w:val="14"/>
                <w:color w:val="auto"/>
              </w:rPr>
            </w:pPr>
          </w:p>
        </w:tc>
        <w:tc>
          <w:tcPr>
            <w:tcW w:w="940" w:type="dxa"/>
            <w:vAlign w:val="bottom"/>
            <w:gridSpan w:val="2"/>
            <w:shd w:val="clear" w:color="auto" w:fill="EDEDEE"/>
          </w:tcPr>
          <w:p>
            <w:pPr>
              <w:jc w:val="right"/>
              <w:ind w:right="60"/>
              <w:spacing w:after="0"/>
              <w:rPr>
                <w:sz w:val="20"/>
                <w:szCs w:val="20"/>
                <w:color w:val="auto"/>
              </w:rPr>
            </w:pPr>
            <w:r>
              <w:rPr>
                <w:rFonts w:ascii="Arial" w:cs="Arial" w:eastAsia="Arial" w:hAnsi="Arial"/>
                <w:sz w:val="14"/>
                <w:szCs w:val="14"/>
                <w:color w:val="auto"/>
              </w:rPr>
              <w:t>(153,300)</w:t>
            </w:r>
          </w:p>
        </w:tc>
      </w:tr>
      <w:tr>
        <w:trPr>
          <w:trHeight w:val="153"/>
        </w:trPr>
        <w:tc>
          <w:tcPr>
            <w:tcW w:w="4080" w:type="dxa"/>
            <w:vAlign w:val="bottom"/>
          </w:tcPr>
          <w:p>
            <w:pPr>
              <w:ind w:left="360"/>
              <w:spacing w:after="0" w:line="153" w:lineRule="exact"/>
              <w:rPr>
                <w:sz w:val="20"/>
                <w:szCs w:val="20"/>
                <w:color w:val="auto"/>
              </w:rPr>
            </w:pPr>
            <w:r>
              <w:rPr>
                <w:rFonts w:ascii="Arial" w:cs="Arial" w:eastAsia="Arial" w:hAnsi="Arial"/>
                <w:sz w:val="14"/>
                <w:szCs w:val="14"/>
                <w:color w:val="auto"/>
              </w:rPr>
              <w:t>Change in fair value as of the vesting date of awards</w:t>
            </w: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4080" w:type="dxa"/>
            <w:vAlign w:val="bottom"/>
          </w:tcPr>
          <w:p>
            <w:pPr>
              <w:ind w:left="360"/>
              <w:spacing w:after="0"/>
              <w:rPr>
                <w:sz w:val="20"/>
                <w:szCs w:val="20"/>
                <w:color w:val="auto"/>
              </w:rPr>
            </w:pPr>
            <w:r>
              <w:rPr>
                <w:rFonts w:ascii="Arial" w:cs="Arial" w:eastAsia="Arial" w:hAnsi="Arial"/>
                <w:sz w:val="14"/>
                <w:szCs w:val="14"/>
                <w:color w:val="auto"/>
              </w:rPr>
              <w:t>granted in prior years that vested during the covered</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5"/>
        </w:trPr>
        <w:tc>
          <w:tcPr>
            <w:tcW w:w="4080" w:type="dxa"/>
            <w:vAlign w:val="bottom"/>
          </w:tcPr>
          <w:p>
            <w:pPr>
              <w:ind w:left="360"/>
              <w:spacing w:after="0"/>
              <w:rPr>
                <w:sz w:val="20"/>
                <w:szCs w:val="20"/>
                <w:color w:val="auto"/>
              </w:rPr>
            </w:pPr>
            <w:r>
              <w:rPr>
                <w:rFonts w:ascii="Arial" w:cs="Arial" w:eastAsia="Arial" w:hAnsi="Arial"/>
                <w:sz w:val="14"/>
                <w:szCs w:val="14"/>
                <w:color w:val="auto"/>
              </w:rPr>
              <w:t>year</w:t>
            </w:r>
          </w:p>
        </w:tc>
        <w:tc>
          <w:tcPr>
            <w:tcW w:w="280" w:type="dxa"/>
            <w:vAlign w:val="bottom"/>
          </w:tcPr>
          <w:p>
            <w:pPr>
              <w:spacing w:after="0"/>
              <w:rPr>
                <w:sz w:val="16"/>
                <w:szCs w:val="16"/>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(68,850)</w:t>
            </w:r>
          </w:p>
        </w:tc>
        <w:tc>
          <w:tcPr>
            <w:tcW w:w="260" w:type="dxa"/>
            <w:vAlign w:val="bottom"/>
          </w:tcPr>
          <w:p>
            <w:pPr>
              <w:spacing w:after="0"/>
              <w:rPr>
                <w:sz w:val="16"/>
                <w:szCs w:val="16"/>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color w:val="auto"/>
              </w:rPr>
              <w:t>619,478</w:t>
            </w:r>
          </w:p>
        </w:tc>
        <w:tc>
          <w:tcPr>
            <w:tcW w:w="260" w:type="dxa"/>
            <w:vAlign w:val="bottom"/>
          </w:tcPr>
          <w:p>
            <w:pPr>
              <w:spacing w:after="0"/>
              <w:rPr>
                <w:sz w:val="16"/>
                <w:szCs w:val="16"/>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color w:val="auto"/>
              </w:rPr>
              <w:t>114,649</w:t>
            </w:r>
          </w:p>
        </w:tc>
        <w:tc>
          <w:tcPr>
            <w:tcW w:w="240" w:type="dxa"/>
            <w:vAlign w:val="bottom"/>
          </w:tcPr>
          <w:p>
            <w:pPr>
              <w:spacing w:after="0"/>
              <w:rPr>
                <w:sz w:val="16"/>
                <w:szCs w:val="16"/>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4"/>
                <w:szCs w:val="14"/>
                <w:color w:val="auto"/>
              </w:rPr>
              <w:t>972,333</w:t>
            </w:r>
          </w:p>
        </w:tc>
        <w:tc>
          <w:tcPr>
            <w:tcW w:w="26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685,740</w:t>
            </w:r>
          </w:p>
        </w:tc>
      </w:tr>
      <w:tr>
        <w:trPr>
          <w:trHeight w:val="156"/>
        </w:trPr>
        <w:tc>
          <w:tcPr>
            <w:tcW w:w="4080" w:type="dxa"/>
            <w:vAlign w:val="bottom"/>
            <w:tcBorders>
              <w:top w:val="single" w:sz="8" w:color="EDEDEE"/>
            </w:tcBorders>
            <w:shd w:val="clear" w:color="auto" w:fill="EDEDEE"/>
          </w:tcPr>
          <w:p>
            <w:pPr>
              <w:spacing w:after="0" w:line="155" w:lineRule="exact"/>
              <w:rPr>
                <w:sz w:val="20"/>
                <w:szCs w:val="20"/>
                <w:color w:val="auto"/>
              </w:rPr>
            </w:pPr>
            <w:r>
              <w:rPr>
                <w:rFonts w:ascii="Arial" w:cs="Arial" w:eastAsia="Arial" w:hAnsi="Arial"/>
                <w:sz w:val="14"/>
                <w:szCs w:val="14"/>
                <w:color w:val="auto"/>
              </w:rPr>
              <w:t>Compensation Actually Paid</w:t>
            </w:r>
          </w:p>
        </w:tc>
        <w:tc>
          <w:tcPr>
            <w:tcW w:w="280" w:type="dxa"/>
            <w:vAlign w:val="bottom"/>
            <w:tcBorders>
              <w:top w:val="single" w:sz="8" w:color="auto"/>
              <w:bottom w:val="single" w:sz="8" w:color="auto"/>
            </w:tcBorders>
            <w:shd w:val="clear" w:color="auto" w:fill="EDEDEE"/>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EDEDEE"/>
          </w:tcPr>
          <w:p>
            <w:pPr>
              <w:jc w:val="right"/>
              <w:spacing w:after="0" w:line="155" w:lineRule="exact"/>
              <w:rPr>
                <w:sz w:val="20"/>
                <w:szCs w:val="20"/>
                <w:color w:val="auto"/>
              </w:rPr>
            </w:pPr>
            <w:r>
              <w:rPr>
                <w:rFonts w:ascii="Arial" w:cs="Arial" w:eastAsia="Arial" w:hAnsi="Arial"/>
                <w:sz w:val="14"/>
                <w:szCs w:val="14"/>
                <w:color w:val="auto"/>
              </w:rPr>
              <w:t>1,248,305</w:t>
            </w:r>
          </w:p>
        </w:tc>
        <w:tc>
          <w:tcPr>
            <w:tcW w:w="360" w:type="dxa"/>
            <w:vAlign w:val="bottom"/>
            <w:tcBorders>
              <w:top w:val="single" w:sz="8" w:color="EDEDEE"/>
            </w:tcBorders>
            <w:shd w:val="clear" w:color="auto" w:fill="EDEDEE"/>
          </w:tcPr>
          <w:p>
            <w:pPr>
              <w:spacing w:after="0"/>
              <w:rPr>
                <w:sz w:val="13"/>
                <w:szCs w:val="13"/>
                <w:color w:val="auto"/>
              </w:rPr>
            </w:pPr>
          </w:p>
        </w:tc>
        <w:tc>
          <w:tcPr>
            <w:tcW w:w="260" w:type="dxa"/>
            <w:vAlign w:val="bottom"/>
            <w:tcBorders>
              <w:top w:val="single" w:sz="8" w:color="auto"/>
              <w:bottom w:val="single" w:sz="8" w:color="auto"/>
            </w:tcBorders>
            <w:shd w:val="clear" w:color="auto" w:fill="EDEDEE"/>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EDEDEE"/>
          </w:tcPr>
          <w:p>
            <w:pPr>
              <w:jc w:val="right"/>
              <w:spacing w:after="0" w:line="155" w:lineRule="exact"/>
              <w:rPr>
                <w:sz w:val="20"/>
                <w:szCs w:val="20"/>
                <w:color w:val="auto"/>
              </w:rPr>
            </w:pPr>
            <w:r>
              <w:rPr>
                <w:rFonts w:ascii="Arial" w:cs="Arial" w:eastAsia="Arial" w:hAnsi="Arial"/>
                <w:sz w:val="14"/>
                <w:szCs w:val="14"/>
                <w:color w:val="auto"/>
              </w:rPr>
              <w:t>1,738,391</w:t>
            </w:r>
          </w:p>
        </w:tc>
        <w:tc>
          <w:tcPr>
            <w:tcW w:w="320" w:type="dxa"/>
            <w:vAlign w:val="bottom"/>
            <w:tcBorders>
              <w:top w:val="single" w:sz="8" w:color="EDEDEE"/>
            </w:tcBorders>
            <w:shd w:val="clear" w:color="auto" w:fill="EDEDEE"/>
          </w:tcPr>
          <w:p>
            <w:pPr>
              <w:spacing w:after="0"/>
              <w:rPr>
                <w:sz w:val="13"/>
                <w:szCs w:val="13"/>
                <w:color w:val="auto"/>
              </w:rPr>
            </w:pPr>
          </w:p>
        </w:tc>
        <w:tc>
          <w:tcPr>
            <w:tcW w:w="260" w:type="dxa"/>
            <w:vAlign w:val="bottom"/>
            <w:tcBorders>
              <w:top w:val="single" w:sz="8" w:color="auto"/>
              <w:bottom w:val="single" w:sz="8" w:color="auto"/>
            </w:tcBorders>
            <w:shd w:val="clear" w:color="auto" w:fill="EDEDEE"/>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EDEDEE"/>
          </w:tcPr>
          <w:p>
            <w:pPr>
              <w:jc w:val="right"/>
              <w:spacing w:after="0" w:line="155" w:lineRule="exact"/>
              <w:rPr>
                <w:sz w:val="20"/>
                <w:szCs w:val="20"/>
                <w:color w:val="auto"/>
              </w:rPr>
            </w:pPr>
            <w:r>
              <w:rPr>
                <w:rFonts w:ascii="Arial" w:cs="Arial" w:eastAsia="Arial" w:hAnsi="Arial"/>
                <w:sz w:val="14"/>
                <w:szCs w:val="14"/>
                <w:color w:val="auto"/>
              </w:rPr>
              <w:t>3,819,599</w:t>
            </w:r>
          </w:p>
        </w:tc>
        <w:tc>
          <w:tcPr>
            <w:tcW w:w="340" w:type="dxa"/>
            <w:vAlign w:val="bottom"/>
            <w:tcBorders>
              <w:top w:val="single" w:sz="8" w:color="EDEDEE"/>
            </w:tcBorders>
            <w:shd w:val="clear" w:color="auto" w:fill="EDEDEE"/>
          </w:tcPr>
          <w:p>
            <w:pPr>
              <w:spacing w:after="0"/>
              <w:rPr>
                <w:sz w:val="13"/>
                <w:szCs w:val="13"/>
                <w:color w:val="auto"/>
              </w:rPr>
            </w:pPr>
          </w:p>
        </w:tc>
        <w:tc>
          <w:tcPr>
            <w:tcW w:w="240" w:type="dxa"/>
            <w:vAlign w:val="bottom"/>
            <w:tcBorders>
              <w:top w:val="single" w:sz="8" w:color="auto"/>
              <w:bottom w:val="single" w:sz="8" w:color="auto"/>
            </w:tcBorders>
            <w:shd w:val="clear" w:color="auto" w:fill="EDEDEE"/>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EDEDEE"/>
          </w:tcPr>
          <w:p>
            <w:pPr>
              <w:jc w:val="right"/>
              <w:spacing w:after="0" w:line="155" w:lineRule="exact"/>
              <w:rPr>
                <w:sz w:val="20"/>
                <w:szCs w:val="20"/>
                <w:color w:val="auto"/>
              </w:rPr>
            </w:pPr>
            <w:r>
              <w:rPr>
                <w:rFonts w:ascii="Arial" w:cs="Arial" w:eastAsia="Arial" w:hAnsi="Arial"/>
                <w:sz w:val="14"/>
                <w:szCs w:val="14"/>
                <w:color w:val="auto"/>
              </w:rPr>
              <w:t>3,382,267</w:t>
            </w:r>
          </w:p>
        </w:tc>
        <w:tc>
          <w:tcPr>
            <w:tcW w:w="340" w:type="dxa"/>
            <w:vAlign w:val="bottom"/>
            <w:tcBorders>
              <w:top w:val="single" w:sz="8" w:color="EDEDEE"/>
            </w:tcBorders>
            <w:shd w:val="clear" w:color="auto" w:fill="EDEDEE"/>
          </w:tcPr>
          <w:p>
            <w:pPr>
              <w:spacing w:after="0"/>
              <w:rPr>
                <w:sz w:val="13"/>
                <w:szCs w:val="13"/>
                <w:color w:val="auto"/>
              </w:rPr>
            </w:pPr>
          </w:p>
        </w:tc>
        <w:tc>
          <w:tcPr>
            <w:tcW w:w="260" w:type="dxa"/>
            <w:vAlign w:val="bottom"/>
            <w:tcBorders>
              <w:top w:val="single" w:sz="8" w:color="auto"/>
              <w:bottom w:val="single" w:sz="8" w:color="auto"/>
            </w:tcBorders>
            <w:shd w:val="clear" w:color="auto" w:fill="EDEDEE"/>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EDEDEE"/>
          </w:tcPr>
          <w:p>
            <w:pPr>
              <w:jc w:val="right"/>
              <w:spacing w:after="0" w:line="155" w:lineRule="exact"/>
              <w:rPr>
                <w:sz w:val="20"/>
                <w:szCs w:val="20"/>
                <w:color w:val="auto"/>
              </w:rPr>
            </w:pPr>
            <w:r>
              <w:rPr>
                <w:rFonts w:ascii="Arial" w:cs="Arial" w:eastAsia="Arial" w:hAnsi="Arial"/>
                <w:sz w:val="14"/>
                <w:szCs w:val="14"/>
                <w:color w:val="auto"/>
              </w:rPr>
              <w:t>4,901,370</w:t>
            </w:r>
          </w:p>
        </w:tc>
        <w:tc>
          <w:tcPr>
            <w:tcW w:w="120" w:type="dxa"/>
            <w:vAlign w:val="bottom"/>
            <w:tcBorders>
              <w:top w:val="single" w:sz="8" w:color="EDEDEE"/>
            </w:tcBorders>
            <w:shd w:val="clear" w:color="auto" w:fill="EDEDEE"/>
          </w:tcPr>
          <w:p>
            <w:pPr>
              <w:spacing w:after="0"/>
              <w:rPr>
                <w:sz w:val="13"/>
                <w:szCs w:val="13"/>
                <w:color w:val="auto"/>
              </w:rPr>
            </w:pPr>
          </w:p>
        </w:tc>
      </w:tr>
    </w:tbl>
    <w:p>
      <w:pPr>
        <w:spacing w:after="0" w:line="82" w:lineRule="exact"/>
        <w:rPr>
          <w:sz w:val="20"/>
          <w:szCs w:val="20"/>
          <w:color w:val="auto"/>
        </w:rPr>
      </w:pPr>
    </w:p>
    <w:p>
      <w:pPr>
        <w:ind w:left="424" w:right="20" w:hanging="424"/>
        <w:spacing w:after="0" w:line="248" w:lineRule="auto"/>
        <w:tabs>
          <w:tab w:leader="none" w:pos="424" w:val="left"/>
        </w:tabs>
        <w:numPr>
          <w:ilvl w:val="0"/>
          <w:numId w:val="103"/>
        </w:numPr>
        <w:rPr>
          <w:rFonts w:ascii="Arial" w:cs="Arial" w:eastAsia="Arial" w:hAnsi="Arial"/>
          <w:sz w:val="16"/>
          <w:szCs w:val="16"/>
          <w:i w:val="1"/>
          <w:iCs w:val="1"/>
          <w:color w:val="auto"/>
        </w:rPr>
      </w:pPr>
      <w:r>
        <w:rPr>
          <w:rFonts w:ascii="Arial" w:cs="Arial" w:eastAsia="Arial" w:hAnsi="Arial"/>
          <w:sz w:val="16"/>
          <w:szCs w:val="16"/>
          <w:i w:val="1"/>
          <w:iCs w:val="1"/>
          <w:color w:val="auto"/>
        </w:rPr>
        <w:t>The amounts set forth under the heading “Total Shareholder Return” (“TSR”) reflect the year-over-year value, as of the end of the applicable fiscal year, of a hypothetical initial investment in the Company’s common stock of $100 made on December 31, 2020.</w:t>
      </w:r>
    </w:p>
    <w:p>
      <w:pPr>
        <w:spacing w:after="0" w:line="51" w:lineRule="exact"/>
        <w:rPr>
          <w:rFonts w:ascii="Arial" w:cs="Arial" w:eastAsia="Arial" w:hAnsi="Arial"/>
          <w:sz w:val="16"/>
          <w:szCs w:val="16"/>
          <w:i w:val="1"/>
          <w:iCs w:val="1"/>
          <w:color w:val="auto"/>
        </w:rPr>
      </w:pPr>
    </w:p>
    <w:p>
      <w:pPr>
        <w:jc w:val="both"/>
        <w:ind w:left="424" w:right="20" w:hanging="424"/>
        <w:spacing w:after="0" w:line="227" w:lineRule="auto"/>
        <w:tabs>
          <w:tab w:leader="none" w:pos="424" w:val="left"/>
        </w:tabs>
        <w:numPr>
          <w:ilvl w:val="0"/>
          <w:numId w:val="103"/>
        </w:numPr>
        <w:rPr>
          <w:rFonts w:ascii="Arial" w:cs="Arial" w:eastAsia="Arial" w:hAnsi="Arial"/>
          <w:sz w:val="16"/>
          <w:szCs w:val="16"/>
          <w:i w:val="1"/>
          <w:iCs w:val="1"/>
          <w:color w:val="auto"/>
        </w:rPr>
      </w:pPr>
      <w:r>
        <w:rPr>
          <w:rFonts w:ascii="Arial" w:cs="Arial" w:eastAsia="Arial" w:hAnsi="Arial"/>
          <w:sz w:val="16"/>
          <w:szCs w:val="16"/>
          <w:i w:val="1"/>
          <w:iCs w:val="1"/>
          <w:color w:val="auto"/>
        </w:rPr>
        <w:t>The amounts set forth under the heading “Peer Group TSR” reflect the year-over-year value, as of the end of the applicable fiscal year, of a hypothetical initial investment of $100 made on December 31, 2020 into the S&amp;P 500 Health Care Equipment Select Industry Index (the “Peer Group”), which the Company selected as its published industry or line-of-business index for purposes of the performance graph required under Item 201(e) of Regulation S-K in its Form 10-K for the year ended December 31, 2025.</w:t>
      </w:r>
    </w:p>
    <w:p>
      <w:pPr>
        <w:spacing w:after="0" w:line="126" w:lineRule="exact"/>
        <w:rPr>
          <w:sz w:val="20"/>
          <w:szCs w:val="20"/>
          <w:color w:val="auto"/>
        </w:rPr>
      </w:pPr>
    </w:p>
    <w:p>
      <w:pPr>
        <w:ind w:left="7524"/>
        <w:spacing w:after="0"/>
        <w:tabs>
          <w:tab w:leader="none" w:pos="10804" w:val="left"/>
        </w:tabs>
        <w:rPr>
          <w:sz w:val="20"/>
          <w:szCs w:val="20"/>
          <w:color w:val="auto"/>
        </w:rPr>
      </w:pPr>
      <w:r>
        <w:rPr>
          <w:sz w:val="1"/>
          <w:szCs w:val="1"/>
          <w:color w:val="auto"/>
        </w:rPr>
        <w:drawing>
          <wp:inline distT="0" distB="0" distL="0" distR="0">
            <wp:extent cx="685800" cy="16256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0" cy="162560"/>
                    </a:xfrm>
                    <a:prstGeom prst="rect">
                      <a:avLst/>
                    </a:prstGeom>
                    <a:noFill/>
                    <a:ln>
                      <a:noFill/>
                    </a:ln>
                  </pic:spPr>
                </pic:pic>
              </a:graphicData>
            </a:graphic>
          </wp:inline>
        </w:drawing>
      </w:r>
      <w:r>
        <w:rPr>
          <w:rFonts w:ascii="Arial" w:cs="Arial" w:eastAsia="Arial" w:hAnsi="Arial"/>
          <w:sz w:val="18"/>
          <w:szCs w:val="18"/>
          <w:color w:val="auto"/>
        </w:rPr>
        <w:t xml:space="preserve"> - 2026 Proxy Statement</w:t>
      </w:r>
      <w:r>
        <w:rPr>
          <w:sz w:val="20"/>
          <w:szCs w:val="20"/>
          <w:color w:val="auto"/>
        </w:rPr>
        <w:tab/>
      </w: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-186690</wp:posOffset>
            </wp:positionV>
            <wp:extent cx="6995160" cy="3257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95160" cy="325755"/>
                    </a:xfrm>
                    <a:prstGeom prst="rect">
                      <a:avLst/>
                    </a:prstGeom>
                    <a:noFill/>
                  </pic:spPr>
                </pic:pic>
              </a:graphicData>
            </a:graphic>
          </wp:anchor>
        </w:drawing>
      </w:r>
    </w:p>
    <w:p>
      <w:pPr>
        <w:sectPr>
          <w:pgSz w:w="11900" w:h="16838" w:orient="portrait"/>
          <w:cols w:equalWidth="0" w:num="1">
            <w:col w:w="11024"/>
          </w:cols>
          <w:pgMar w:left="436" w:top="645" w:right="439" w:bottom="1440" w:gutter="0" w:footer="0" w:header="0"/>
        </w:sectPr>
      </w:pPr>
    </w:p>
    <w:bookmarkStart w:id="61" w:name="page62"/>
    <w:bookmarkEnd w:id="61"/>
    <w:p>
      <w:pPr>
        <w:ind w:left="424" w:right="20" w:hanging="424"/>
        <w:spacing w:after="0" w:line="241" w:lineRule="auto"/>
        <w:tabs>
          <w:tab w:leader="none" w:pos="424" w:val="left"/>
        </w:tabs>
        <w:numPr>
          <w:ilvl w:val="0"/>
          <w:numId w:val="104"/>
        </w:numPr>
        <w:rPr>
          <w:rFonts w:ascii="Arial" w:cs="Arial" w:eastAsia="Arial" w:hAnsi="Arial"/>
          <w:sz w:val="14"/>
          <w:szCs w:val="14"/>
          <w:i w:val="1"/>
          <w:iCs w:val="1"/>
          <w:color w:val="auto"/>
        </w:rPr>
      </w:pPr>
      <w:r>
        <w:rPr>
          <w:rFonts w:ascii="Arial" w:cs="Arial" w:eastAsia="Arial" w:hAnsi="Arial"/>
          <w:sz w:val="14"/>
          <w:szCs w:val="14"/>
          <w:i w:val="1"/>
          <w:iCs w:val="1"/>
          <w:color w:val="auto"/>
        </w:rPr>
        <w:t>While the Company considers several financial measures to be important, the CHCM Committee selected Net Sales (as adjusted) as the Company-Selected Measure for 2025.</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Relationship Between Enovis Total Shareholder Return and “Compensation Actually Paid”</w:t>
      </w:r>
    </w:p>
    <w:p>
      <w:pPr>
        <w:spacing w:after="0" w:line="135" w:lineRule="exact"/>
        <w:rPr>
          <w:sz w:val="20"/>
          <w:szCs w:val="20"/>
          <w:color w:val="auto"/>
        </w:rPr>
      </w:pPr>
    </w:p>
    <w:p>
      <w:pPr>
        <w:jc w:val="both"/>
        <w:ind w:left="4" w:right="20"/>
        <w:spacing w:after="0" w:line="225" w:lineRule="auto"/>
        <w:rPr>
          <w:sz w:val="20"/>
          <w:szCs w:val="20"/>
          <w:color w:val="auto"/>
        </w:rPr>
      </w:pPr>
      <w:r>
        <w:rPr>
          <w:rFonts w:ascii="Arial" w:cs="Arial" w:eastAsia="Arial" w:hAnsi="Arial"/>
          <w:sz w:val="16"/>
          <w:szCs w:val="16"/>
          <w:color w:val="auto"/>
        </w:rPr>
        <w:t>During 2025, the “Compensation Actually Paid” to our PEO and our non PEO-NEO (on average) decreased from the prior year, as did the Company’s TSR. This relationship can be partially attributed to the Company’s use of relative TSR as a metric for its PRSU awards during the disclosed period. Further, because a significant portion of NEO compensation is granted through PRSUs or RSUs which track the Company share price, if the Company’s stock price decreases (and TSR likewise decreases), the value of a NEO’s long-term incentives will generally decrease proportionately. Similarly, as the Company’s stock price increases, the value of a NEO’s long-term incentives will generally increase proportionately.</w:t>
      </w:r>
    </w:p>
    <w:p>
      <w:pPr>
        <w:spacing w:after="0" w:line="132"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Relationship Between Net Income and “Compensation Actually Paid”</w:t>
      </w:r>
    </w:p>
    <w:p>
      <w:pPr>
        <w:spacing w:after="0" w:line="122" w:lineRule="exact"/>
        <w:rPr>
          <w:sz w:val="20"/>
          <w:szCs w:val="20"/>
          <w:color w:val="auto"/>
        </w:rPr>
      </w:pPr>
    </w:p>
    <w:p>
      <w:pPr>
        <w:jc w:val="both"/>
        <w:ind w:left="4"/>
        <w:spacing w:after="0" w:line="225" w:lineRule="auto"/>
        <w:rPr>
          <w:sz w:val="20"/>
          <w:szCs w:val="20"/>
          <w:color w:val="auto"/>
        </w:rPr>
      </w:pPr>
      <w:r>
        <w:rPr>
          <w:rFonts w:ascii="Arial" w:cs="Arial" w:eastAsia="Arial" w:hAnsi="Arial"/>
          <w:sz w:val="16"/>
          <w:szCs w:val="16"/>
          <w:color w:val="auto"/>
        </w:rPr>
        <w:t>The Company does not directly employ net income as a financial performance measure upon which named executive officer compensation may be earned. However, net income movements are indirectly tracked through our use of certain non-GAAP metrics in our annual incentive plan, which included Adjusted EBITDA in 2025, 2024, 2023 and 2022, and Adjusted EBITA and Adjusted EPS in 2021. Accordingly, “Compensation Actually Paid” includes bonuses earned in 2025, 2024, 2023, 2022, and 2021 that were based in part on the Company’s achievement against Adjusted EBITDA, Adjusted EBITA and Adjusted EPS targets.</w:t>
      </w:r>
    </w:p>
    <w:p>
      <w:pPr>
        <w:spacing w:after="0" w:line="105" w:lineRule="exact"/>
        <w:rPr>
          <w:sz w:val="20"/>
          <w:szCs w:val="20"/>
          <w:color w:val="auto"/>
        </w:rPr>
      </w:pPr>
    </w:p>
    <w:p>
      <w:pPr>
        <w:ind w:left="4"/>
        <w:spacing w:after="0"/>
        <w:rPr>
          <w:sz w:val="20"/>
          <w:szCs w:val="20"/>
          <w:color w:val="auto"/>
        </w:rPr>
      </w:pPr>
      <w:r>
        <w:rPr>
          <w:rFonts w:ascii="Arial" w:cs="Arial" w:eastAsia="Arial" w:hAnsi="Arial"/>
          <w:sz w:val="18"/>
          <w:szCs w:val="18"/>
          <w:color w:val="auto"/>
        </w:rPr>
        <w:t>Relationship Between Net Sales (as adjusted) and “Compensation Actually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408368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083685" cy="8890"/>
                    </a:xfrm>
                    <a:prstGeom prst="rect">
                      <a:avLst/>
                    </a:prstGeom>
                    <a:noFill/>
                  </pic:spPr>
                </pic:pic>
              </a:graphicData>
            </a:graphic>
          </wp:anchor>
        </w:drawing>
      </w:r>
    </w:p>
    <w:p>
      <w:pPr>
        <w:spacing w:after="0" w:line="115" w:lineRule="exact"/>
        <w:rPr>
          <w:sz w:val="20"/>
          <w:szCs w:val="20"/>
          <w:color w:val="auto"/>
        </w:rPr>
      </w:pPr>
    </w:p>
    <w:p>
      <w:pPr>
        <w:jc w:val="both"/>
        <w:ind w:left="4"/>
        <w:spacing w:after="0" w:line="222" w:lineRule="auto"/>
        <w:rPr>
          <w:sz w:val="20"/>
          <w:szCs w:val="20"/>
          <w:color w:val="auto"/>
        </w:rPr>
      </w:pPr>
      <w:r>
        <w:rPr>
          <w:rFonts w:ascii="Arial" w:cs="Arial" w:eastAsia="Arial" w:hAnsi="Arial"/>
          <w:sz w:val="16"/>
          <w:szCs w:val="16"/>
          <w:color w:val="auto"/>
        </w:rPr>
        <w:t>Net Sales (as adjusted) represents actual U.S. GAAP sales excluding unbudgeted acquisitions. Net Sales (as adjusted) has served as a key financial performance measure (40% weighting in 2025, 2024, 2023 and 2022, 25% in 2021) upon which Annual Incentive Plan bonuses have been able to be earned. When measuring Net Sales (as adjusted) performance, target sales are adjusted for changes in currency translation rates in order to create a constant currency view. Net Sales (as adjusted) factors into the computation of “Compensation Actually Paid”, which includes bonuses that were based in part on the Company’s achievement against Net Sales (as adjusted) targets. For more information on the weighting of Net Sales (as adjusted) in the determination of the Company’s 2025 Annual Incentive Plan bonuses, see “Annual Incentive Plan – Bonus Calculation – Target Bonus” on page 33.</w:t>
      </w:r>
    </w:p>
    <w:p>
      <w:pPr>
        <w:spacing w:after="0" w:line="122"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Comparison Between Enovis TSR and Peer Group TSR</w:t>
      </w:r>
    </w:p>
    <w:p>
      <w:pPr>
        <w:spacing w:after="0" w:line="149" w:lineRule="exact"/>
        <w:rPr>
          <w:sz w:val="20"/>
          <w:szCs w:val="20"/>
          <w:color w:val="auto"/>
        </w:rPr>
      </w:pPr>
    </w:p>
    <w:p>
      <w:pPr>
        <w:jc w:val="both"/>
        <w:ind w:left="4" w:right="20"/>
        <w:spacing w:after="0" w:line="225" w:lineRule="auto"/>
        <w:rPr>
          <w:sz w:val="20"/>
          <w:szCs w:val="20"/>
          <w:color w:val="auto"/>
        </w:rPr>
      </w:pPr>
      <w:r>
        <w:rPr>
          <w:rFonts w:ascii="Arial" w:cs="Arial" w:eastAsia="Arial" w:hAnsi="Arial"/>
          <w:sz w:val="16"/>
          <w:szCs w:val="16"/>
          <w:color w:val="auto"/>
        </w:rPr>
        <w:t>Over the five-year period measured in the table above, the Company’s TSR has decreased, while the TSR of the S&amp;P Health Care Equipment Select Industry Index has had mixed performance over the same period. Our cumulative TSR during the five-year measurement period was less than that of the peer group, which we believe can be partially attributed to market and macroeconomic conditions having different impacts on our Company relative to many other companies in the S&amp;P Health Care Equipment Select Industry Index. Relative TSR performance measured against the S&amp;P Health Care Equipment Select Industry Index has been included as a performance measure for the Company’s 2025 PRSU grants.</w:t>
      </w:r>
    </w:p>
    <w:p>
      <w:pPr>
        <w:spacing w:after="0" w:line="29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Most Important Financial Measures</w:t>
      </w:r>
    </w:p>
    <w:p>
      <w:pPr>
        <w:spacing w:after="0" w:line="149" w:lineRule="exact"/>
        <w:rPr>
          <w:sz w:val="20"/>
          <w:szCs w:val="20"/>
          <w:color w:val="auto"/>
        </w:rPr>
      </w:pPr>
    </w:p>
    <w:p>
      <w:pPr>
        <w:jc w:val="both"/>
        <w:ind w:left="4"/>
        <w:spacing w:after="0" w:line="234" w:lineRule="auto"/>
        <w:rPr>
          <w:sz w:val="20"/>
          <w:szCs w:val="20"/>
          <w:color w:val="auto"/>
        </w:rPr>
      </w:pPr>
      <w:r>
        <w:rPr>
          <w:rFonts w:ascii="Arial" w:cs="Arial" w:eastAsia="Arial" w:hAnsi="Arial"/>
          <w:sz w:val="16"/>
          <w:szCs w:val="16"/>
          <w:color w:val="auto"/>
        </w:rPr>
        <w:t>The below tabular list identifies the financial measures We deemed to be the most important financial measures for 2025 for linking the compensation of the Company’s named executive officers to the performance of the Company. For additional information on these measures, please see “Compensation Discussion and Analysis” beginning on page 27.</w:t>
      </w:r>
    </w:p>
    <w:p>
      <w:pPr>
        <w:spacing w:after="0" w:line="123" w:lineRule="exact"/>
        <w:rPr>
          <w:sz w:val="20"/>
          <w:szCs w:val="20"/>
          <w:color w:val="auto"/>
        </w:rPr>
      </w:pPr>
    </w:p>
    <w:p>
      <w:pPr>
        <w:ind w:left="4144"/>
        <w:spacing w:after="0"/>
        <w:rPr>
          <w:sz w:val="20"/>
          <w:szCs w:val="20"/>
          <w:color w:val="auto"/>
        </w:rPr>
      </w:pPr>
      <w:r>
        <w:rPr>
          <w:rFonts w:ascii="Arial" w:cs="Arial" w:eastAsia="Arial" w:hAnsi="Arial"/>
          <w:sz w:val="16"/>
          <w:szCs w:val="16"/>
          <w:b w:val="1"/>
          <w:bCs w:val="1"/>
          <w:color w:val="C8102E"/>
        </w:rPr>
        <w:t>Most Important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2099945</wp:posOffset>
            </wp:positionH>
            <wp:positionV relativeFrom="paragraph">
              <wp:posOffset>3810</wp:posOffset>
            </wp:positionV>
            <wp:extent cx="2794635" cy="11112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794635" cy="111125"/>
                    </a:xfrm>
                    <a:prstGeom prst="rect">
                      <a:avLst/>
                    </a:prstGeom>
                    <a:noFill/>
                  </pic:spPr>
                </pic:pic>
              </a:graphicData>
            </a:graphic>
          </wp:anchor>
        </w:drawing>
      </w:r>
    </w:p>
    <w:p>
      <w:pPr>
        <w:ind w:left="3444"/>
        <w:spacing w:after="0"/>
        <w:rPr>
          <w:sz w:val="20"/>
          <w:szCs w:val="20"/>
          <w:color w:val="auto"/>
        </w:rPr>
      </w:pPr>
      <w:r>
        <w:rPr>
          <w:rFonts w:ascii="Arial" w:cs="Arial" w:eastAsia="Arial" w:hAnsi="Arial"/>
          <w:sz w:val="16"/>
          <w:szCs w:val="16"/>
          <w:color w:val="auto"/>
        </w:rPr>
        <w:t>Net Sales (as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2099945</wp:posOffset>
            </wp:positionH>
            <wp:positionV relativeFrom="paragraph">
              <wp:posOffset>-1270</wp:posOffset>
            </wp:positionV>
            <wp:extent cx="27946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ind w:left="3444"/>
        <w:spacing w:after="0" w:line="228" w:lineRule="auto"/>
        <w:rPr>
          <w:sz w:val="20"/>
          <w:szCs w:val="20"/>
          <w:color w:val="auto"/>
        </w:rPr>
      </w:pPr>
      <w:r>
        <w:rPr>
          <w:rFonts w:ascii="Arial" w:cs="Arial" w:eastAsia="Arial" w:hAnsi="Arial"/>
          <w:sz w:val="16"/>
          <w:szCs w:val="16"/>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2099945</wp:posOffset>
            </wp:positionH>
            <wp:positionV relativeFrom="paragraph">
              <wp:posOffset>0</wp:posOffset>
            </wp:positionV>
            <wp:extent cx="2794635" cy="11112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794635" cy="111125"/>
                    </a:xfrm>
                    <a:prstGeom prst="rect">
                      <a:avLst/>
                    </a:prstGeom>
                    <a:noFill/>
                  </pic:spPr>
                </pic:pic>
              </a:graphicData>
            </a:graphic>
          </wp:anchor>
        </w:drawing>
      </w:r>
    </w:p>
    <w:p>
      <w:pPr>
        <w:ind w:left="3444"/>
        <w:spacing w:after="0"/>
        <w:rPr>
          <w:sz w:val="20"/>
          <w:szCs w:val="20"/>
          <w:color w:val="auto"/>
        </w:rPr>
      </w:pPr>
      <w:r>
        <w:rPr>
          <w:rFonts w:ascii="Arial" w:cs="Arial" w:eastAsia="Arial" w:hAnsi="Arial"/>
          <w:sz w:val="16"/>
          <w:szCs w:val="16"/>
          <w:color w:val="auto"/>
        </w:rPr>
        <w:t>Relative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2099945</wp:posOffset>
            </wp:positionH>
            <wp:positionV relativeFrom="paragraph">
              <wp:posOffset>-5715</wp:posOffset>
            </wp:positionV>
            <wp:extent cx="279463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40" w:lineRule="exact"/>
        <w:rPr>
          <w:sz w:val="20"/>
          <w:szCs w:val="20"/>
          <w:color w:val="auto"/>
        </w:rPr>
      </w:pPr>
    </w:p>
    <w:p>
      <w:pPr>
        <w:ind w:left="4"/>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-118745</wp:posOffset>
            </wp:positionV>
            <wp:extent cx="762635" cy="38608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2635" cy="386080"/>
                    </a:xfrm>
                    <a:prstGeom prst="rect">
                      <a:avLst/>
                    </a:prstGeom>
                    <a:noFill/>
                  </pic:spPr>
                </pic:pic>
              </a:graphicData>
            </a:graphic>
          </wp:anchor>
        </w:drawing>
      </w:r>
    </w:p>
    <w:p>
      <w:pPr>
        <w:ind w:left="1584"/>
        <w:spacing w:after="0"/>
        <w:rPr>
          <w:sz w:val="20"/>
          <w:szCs w:val="20"/>
          <w:color w:val="auto"/>
        </w:rPr>
      </w:pPr>
      <w:r>
        <w:rPr>
          <w:rFonts w:ascii="Arial" w:cs="Arial" w:eastAsia="Arial" w:hAnsi="Arial"/>
          <w:sz w:val="18"/>
          <w:szCs w:val="18"/>
          <w:color w:val="auto"/>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699516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632" w:right="439" w:bottom="1440" w:gutter="0" w:footer="0" w:header="0"/>
        </w:sectPr>
      </w:pPr>
    </w:p>
    <w:bookmarkStart w:id="62" w:name="page63"/>
    <w:bookmarkEnd w:id="62"/>
    <w:p>
      <w:pPr>
        <w:ind w:left="644" w:hanging="644"/>
        <w:spacing w:after="0"/>
        <w:tabs>
          <w:tab w:leader="none" w:pos="644" w:val="left"/>
        </w:tabs>
        <w:numPr>
          <w:ilvl w:val="0"/>
          <w:numId w:val="105"/>
        </w:numPr>
        <w:rPr>
          <w:rFonts w:ascii="MS PGothic" w:cs="MS PGothic" w:eastAsia="MS PGothic" w:hAnsi="MS PGothic"/>
          <w:sz w:val="46"/>
          <w:szCs w:val="46"/>
          <w:color w:val="C8102E"/>
        </w:rPr>
      </w:pPr>
      <w:r>
        <w:rPr>
          <w:rFonts w:ascii="Arial" w:cs="Arial" w:eastAsia="Arial" w:hAnsi="Arial"/>
          <w:sz w:val="46"/>
          <w:szCs w:val="46"/>
          <w:color w:val="auto"/>
        </w:rPr>
        <w:t>EQUITY COMPENSATION PLAN INFORMATION</w:t>
      </w:r>
    </w:p>
    <w:p>
      <w:pPr>
        <w:spacing w:after="0" w:line="156"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following table summarizes the Company’s equity plan information as of December 31, 2025.</w:t>
      </w:r>
    </w:p>
    <w:p>
      <w:pPr>
        <w:spacing w:after="0" w:line="185"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C8102E"/>
              </w:rPr>
              <w:t>Number of securities</w:t>
            </w: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C8102E"/>
              </w:rPr>
              <w:t>Number of securities</w:t>
            </w:r>
          </w:p>
        </w:tc>
        <w:tc>
          <w:tcPr>
            <w:tcW w:w="260" w:type="dxa"/>
            <w:vAlign w:val="bottom"/>
          </w:tcPr>
          <w:p>
            <w:pPr>
              <w:spacing w:after="0"/>
              <w:rPr>
                <w:sz w:val="14"/>
                <w:szCs w:val="14"/>
                <w:color w:val="auto"/>
              </w:rPr>
            </w:pPr>
          </w:p>
        </w:tc>
        <w:tc>
          <w:tcPr>
            <w:tcW w:w="17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C8102E"/>
              </w:rPr>
              <w:t>Weighted-average</w:t>
            </w:r>
          </w:p>
        </w:tc>
        <w:tc>
          <w:tcPr>
            <w:tcW w:w="1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C8102E"/>
              </w:rPr>
              <w:t>remaining available for</w:t>
            </w:r>
          </w:p>
        </w:tc>
        <w:tc>
          <w:tcPr>
            <w:tcW w:w="0" w:type="dxa"/>
            <w:vAlign w:val="bottom"/>
          </w:tcPr>
          <w:p>
            <w:pPr>
              <w:spacing w:after="0"/>
              <w:rPr>
                <w:sz w:val="1"/>
                <w:szCs w:val="1"/>
                <w:color w:val="auto"/>
              </w:rPr>
            </w:pPr>
          </w:p>
        </w:tc>
      </w:tr>
      <w:tr>
        <w:trPr>
          <w:trHeight w:val="144"/>
        </w:trPr>
        <w:tc>
          <w:tcPr>
            <w:tcW w:w="5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gridSpan w:val="2"/>
          </w:tcPr>
          <w:p>
            <w:pPr>
              <w:jc w:val="right"/>
              <w:ind w:right="400"/>
              <w:spacing w:after="0" w:line="145" w:lineRule="exact"/>
              <w:rPr>
                <w:sz w:val="20"/>
                <w:szCs w:val="20"/>
                <w:color w:val="auto"/>
              </w:rPr>
            </w:pPr>
            <w:r>
              <w:rPr>
                <w:rFonts w:ascii="Arial" w:cs="Arial" w:eastAsia="Arial" w:hAnsi="Arial"/>
                <w:sz w:val="14"/>
                <w:szCs w:val="14"/>
                <w:b w:val="1"/>
                <w:bCs w:val="1"/>
                <w:color w:val="C8102E"/>
              </w:rPr>
              <w:t>to be issued</w:t>
            </w:r>
          </w:p>
        </w:tc>
        <w:tc>
          <w:tcPr>
            <w:tcW w:w="26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760" w:type="dxa"/>
            <w:vAlign w:val="bottom"/>
            <w:gridSpan w:val="2"/>
          </w:tcPr>
          <w:p>
            <w:pPr>
              <w:jc w:val="right"/>
              <w:ind w:right="120"/>
              <w:spacing w:after="0" w:line="145" w:lineRule="exact"/>
              <w:rPr>
                <w:sz w:val="20"/>
                <w:szCs w:val="20"/>
                <w:color w:val="auto"/>
              </w:rPr>
            </w:pPr>
            <w:r>
              <w:rPr>
                <w:rFonts w:ascii="Arial" w:cs="Arial" w:eastAsia="Arial" w:hAnsi="Arial"/>
                <w:sz w:val="14"/>
                <w:szCs w:val="14"/>
                <w:b w:val="1"/>
                <w:bCs w:val="1"/>
                <w:color w:val="C8102E"/>
              </w:rPr>
              <w:t>future issuance under</w:t>
            </w: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C8102E"/>
              </w:rPr>
              <w:t>upon exercise of</w:t>
            </w:r>
          </w:p>
        </w:tc>
        <w:tc>
          <w:tcPr>
            <w:tcW w:w="260" w:type="dxa"/>
            <w:vAlign w:val="bottom"/>
          </w:tcPr>
          <w:p>
            <w:pPr>
              <w:spacing w:after="0"/>
              <w:rPr>
                <w:sz w:val="14"/>
                <w:szCs w:val="14"/>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C8102E"/>
              </w:rPr>
              <w:t>exercise price</w:t>
            </w:r>
          </w:p>
        </w:tc>
        <w:tc>
          <w:tcPr>
            <w:tcW w:w="1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C8102E"/>
              </w:rPr>
              <w:t>equity compensation</w:t>
            </w: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C8102E"/>
              </w:rPr>
              <w:t>outstanding options,</w:t>
            </w:r>
          </w:p>
        </w:tc>
        <w:tc>
          <w:tcPr>
            <w:tcW w:w="260" w:type="dxa"/>
            <w:vAlign w:val="bottom"/>
          </w:tcPr>
          <w:p>
            <w:pPr>
              <w:spacing w:after="0"/>
              <w:rPr>
                <w:sz w:val="14"/>
                <w:szCs w:val="14"/>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C8102E"/>
              </w:rPr>
              <w:t>of outstanding</w:t>
            </w:r>
          </w:p>
        </w:tc>
        <w:tc>
          <w:tcPr>
            <w:tcW w:w="1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C8102E"/>
              </w:rPr>
              <w:t>plans (excluding</w:t>
            </w: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C8102E"/>
              </w:rPr>
              <w:t>warrants, and rights</w:t>
            </w:r>
          </w:p>
        </w:tc>
        <w:tc>
          <w:tcPr>
            <w:tcW w:w="260" w:type="dxa"/>
            <w:vAlign w:val="bottom"/>
          </w:tcPr>
          <w:p>
            <w:pPr>
              <w:spacing w:after="0"/>
              <w:rPr>
                <w:sz w:val="14"/>
                <w:szCs w:val="14"/>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C8102E"/>
              </w:rPr>
              <w:t>options, warrants,</w:t>
            </w:r>
          </w:p>
        </w:tc>
        <w:tc>
          <w:tcPr>
            <w:tcW w:w="1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C8102E"/>
              </w:rPr>
              <w:t>securities reflected in</w:t>
            </w:r>
          </w:p>
        </w:tc>
        <w:tc>
          <w:tcPr>
            <w:tcW w:w="0" w:type="dxa"/>
            <w:vAlign w:val="bottom"/>
          </w:tcPr>
          <w:p>
            <w:pPr>
              <w:spacing w:after="0"/>
              <w:rPr>
                <w:sz w:val="1"/>
                <w:szCs w:val="1"/>
                <w:color w:val="auto"/>
              </w:rPr>
            </w:pPr>
          </w:p>
        </w:tc>
      </w:tr>
      <w:tr>
        <w:trPr>
          <w:trHeight w:val="189"/>
        </w:trPr>
        <w:tc>
          <w:tcPr>
            <w:tcW w:w="5240" w:type="dxa"/>
            <w:vAlign w:val="bottom"/>
            <w:gridSpan w:val="2"/>
          </w:tcPr>
          <w:p>
            <w:pPr>
              <w:spacing w:after="0"/>
              <w:rPr>
                <w:sz w:val="20"/>
                <w:szCs w:val="20"/>
                <w:color w:val="auto"/>
              </w:rPr>
            </w:pPr>
            <w:r>
              <w:rPr>
                <w:rFonts w:ascii="Arial" w:cs="Arial" w:eastAsia="Arial" w:hAnsi="Arial"/>
                <w:sz w:val="14"/>
                <w:szCs w:val="14"/>
                <w:b w:val="1"/>
                <w:bCs w:val="1"/>
                <w:color w:val="C8102E"/>
              </w:rPr>
              <w:t> Plan Category</w:t>
            </w:r>
          </w:p>
        </w:tc>
        <w:tc>
          <w:tcPr>
            <w:tcW w:w="2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C8102E"/>
              </w:rPr>
              <w:t>(a)</w:t>
            </w:r>
          </w:p>
        </w:tc>
        <w:tc>
          <w:tcPr>
            <w:tcW w:w="260" w:type="dxa"/>
            <w:vAlign w:val="bottom"/>
          </w:tcPr>
          <w:p>
            <w:pPr>
              <w:spacing w:after="0"/>
              <w:rPr>
                <w:sz w:val="16"/>
                <w:szCs w:val="16"/>
                <w:color w:val="auto"/>
              </w:rPr>
            </w:pPr>
          </w:p>
        </w:tc>
        <w:tc>
          <w:tcPr>
            <w:tcW w:w="1720" w:type="dxa"/>
            <w:vAlign w:val="bottom"/>
            <w:gridSpan w:val="2"/>
          </w:tcPr>
          <w:p>
            <w:pPr>
              <w:jc w:val="right"/>
              <w:ind w:right="320"/>
              <w:spacing w:after="0" w:line="189" w:lineRule="exact"/>
              <w:rPr>
                <w:sz w:val="20"/>
                <w:szCs w:val="20"/>
                <w:color w:val="auto"/>
              </w:rPr>
            </w:pPr>
            <w:r>
              <w:rPr>
                <w:rFonts w:ascii="Arial" w:cs="Arial" w:eastAsia="Arial" w:hAnsi="Arial"/>
                <w:sz w:val="13"/>
                <w:szCs w:val="13"/>
                <w:b w:val="1"/>
                <w:bCs w:val="1"/>
                <w:color w:val="C8102E"/>
              </w:rPr>
              <w:t>and rights (b)</w:t>
            </w:r>
            <w:r>
              <w:rPr>
                <w:rFonts w:ascii="Arial" w:cs="Arial" w:eastAsia="Arial" w:hAnsi="Arial"/>
                <w:sz w:val="21"/>
                <w:szCs w:val="21"/>
                <w:b w:val="1"/>
                <w:bCs w:val="1"/>
                <w:color w:val="C8102E"/>
                <w:vertAlign w:val="superscript"/>
              </w:rPr>
              <w:t>(1)</w:t>
            </w:r>
          </w:p>
        </w:tc>
        <w:tc>
          <w:tcPr>
            <w:tcW w:w="1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C8102E"/>
              </w:rPr>
              <w:t>column (a))(c)</w:t>
            </w:r>
          </w:p>
        </w:tc>
        <w:tc>
          <w:tcPr>
            <w:tcW w:w="0" w:type="dxa"/>
            <w:vAlign w:val="bottom"/>
          </w:tcPr>
          <w:p>
            <w:pPr>
              <w:spacing w:after="0"/>
              <w:rPr>
                <w:sz w:val="1"/>
                <w:szCs w:val="1"/>
                <w:color w:val="auto"/>
              </w:rPr>
            </w:pPr>
          </w:p>
        </w:tc>
      </w:tr>
      <w:tr>
        <w:trPr>
          <w:trHeight w:val="155"/>
        </w:trPr>
        <w:tc>
          <w:tcPr>
            <w:tcW w:w="5020" w:type="dxa"/>
            <w:vAlign w:val="bottom"/>
            <w:tcBorders>
              <w:top w:val="single" w:sz="8" w:color="auto"/>
            </w:tcBorders>
            <w:shd w:val="clear" w:color="auto" w:fill="EDEDEE"/>
          </w:tcPr>
          <w:p>
            <w:pPr>
              <w:spacing w:after="0" w:line="155" w:lineRule="exact"/>
              <w:rPr>
                <w:sz w:val="20"/>
                <w:szCs w:val="20"/>
                <w:color w:val="auto"/>
              </w:rPr>
            </w:pPr>
            <w:r>
              <w:rPr>
                <w:rFonts w:ascii="Arial" w:cs="Arial" w:eastAsia="Arial" w:hAnsi="Arial"/>
                <w:sz w:val="14"/>
                <w:szCs w:val="14"/>
                <w:b w:val="1"/>
                <w:bCs w:val="1"/>
                <w:color w:val="auto"/>
              </w:rPr>
              <w:t>Equity compensation plans approved by Company stockholders</w:t>
            </w:r>
          </w:p>
        </w:tc>
        <w:tc>
          <w:tcPr>
            <w:tcW w:w="220" w:type="dxa"/>
            <w:vAlign w:val="bottom"/>
            <w:tcBorders>
              <w:top w:val="single" w:sz="8" w:color="EDEDEE"/>
            </w:tcBorders>
            <w:shd w:val="clear" w:color="auto" w:fill="EDEDEE"/>
          </w:tcPr>
          <w:p>
            <w:pPr>
              <w:spacing w:after="0"/>
              <w:rPr>
                <w:sz w:val="13"/>
                <w:szCs w:val="13"/>
                <w:color w:val="auto"/>
              </w:rPr>
            </w:pPr>
          </w:p>
        </w:tc>
        <w:tc>
          <w:tcPr>
            <w:tcW w:w="1640" w:type="dxa"/>
            <w:vAlign w:val="bottom"/>
            <w:tcBorders>
              <w:top w:val="single" w:sz="8" w:color="auto"/>
            </w:tcBorders>
            <w:shd w:val="clear" w:color="auto" w:fill="EDEDEE"/>
          </w:tcPr>
          <w:p>
            <w:pPr>
              <w:jc w:val="right"/>
              <w:spacing w:after="0" w:line="155" w:lineRule="exact"/>
              <w:rPr>
                <w:sz w:val="20"/>
                <w:szCs w:val="20"/>
                <w:color w:val="auto"/>
              </w:rPr>
            </w:pPr>
            <w:r>
              <w:rPr>
                <w:rFonts w:ascii="Arial" w:cs="Arial" w:eastAsia="Arial" w:hAnsi="Arial"/>
                <w:sz w:val="14"/>
                <w:szCs w:val="14"/>
                <w:color w:val="auto"/>
              </w:rPr>
              <w:t>3,469,099</w:t>
            </w:r>
          </w:p>
        </w:tc>
        <w:tc>
          <w:tcPr>
            <w:tcW w:w="400" w:type="dxa"/>
            <w:vAlign w:val="bottom"/>
            <w:tcBorders>
              <w:top w:val="single" w:sz="8" w:color="EDEDEE"/>
            </w:tcBorders>
            <w:shd w:val="clear" w:color="auto" w:fill="EDEDEE"/>
          </w:tcPr>
          <w:p>
            <w:pPr>
              <w:spacing w:after="0"/>
              <w:rPr>
                <w:sz w:val="13"/>
                <w:szCs w:val="13"/>
                <w:color w:val="auto"/>
              </w:rPr>
            </w:pPr>
          </w:p>
        </w:tc>
        <w:tc>
          <w:tcPr>
            <w:tcW w:w="260" w:type="dxa"/>
            <w:vAlign w:val="bottom"/>
            <w:tcBorders>
              <w:top w:val="single" w:sz="8" w:color="auto"/>
            </w:tcBorders>
            <w:shd w:val="clear" w:color="auto" w:fill="EDEDEE"/>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EDEDEE"/>
          </w:tcPr>
          <w:p>
            <w:pPr>
              <w:jc w:val="right"/>
              <w:spacing w:after="0" w:line="155" w:lineRule="exact"/>
              <w:rPr>
                <w:sz w:val="20"/>
                <w:szCs w:val="20"/>
                <w:color w:val="auto"/>
              </w:rPr>
            </w:pPr>
            <w:r>
              <w:rPr>
                <w:rFonts w:ascii="Arial" w:cs="Arial" w:eastAsia="Arial" w:hAnsi="Arial"/>
                <w:sz w:val="14"/>
                <w:szCs w:val="14"/>
                <w:color w:val="auto"/>
              </w:rPr>
              <w:t>58.83</w:t>
            </w:r>
          </w:p>
        </w:tc>
        <w:tc>
          <w:tcPr>
            <w:tcW w:w="320" w:type="dxa"/>
            <w:vAlign w:val="bottom"/>
            <w:tcBorders>
              <w:top w:val="single" w:sz="8" w:color="EDEDEE"/>
            </w:tcBorders>
            <w:shd w:val="clear" w:color="auto" w:fill="EDEDEE"/>
          </w:tcPr>
          <w:p>
            <w:pPr>
              <w:spacing w:after="0"/>
              <w:rPr>
                <w:sz w:val="13"/>
                <w:szCs w:val="13"/>
                <w:color w:val="auto"/>
              </w:rPr>
            </w:pPr>
          </w:p>
        </w:tc>
        <w:tc>
          <w:tcPr>
            <w:tcW w:w="1640" w:type="dxa"/>
            <w:vAlign w:val="bottom"/>
            <w:tcBorders>
              <w:top w:val="single" w:sz="8" w:color="auto"/>
            </w:tcBorders>
            <w:shd w:val="clear" w:color="auto" w:fill="EDEDEE"/>
          </w:tcPr>
          <w:p>
            <w:pPr>
              <w:jc w:val="right"/>
              <w:spacing w:after="0" w:line="155" w:lineRule="exact"/>
              <w:rPr>
                <w:sz w:val="20"/>
                <w:szCs w:val="20"/>
                <w:color w:val="auto"/>
              </w:rPr>
            </w:pPr>
            <w:r>
              <w:rPr>
                <w:rFonts w:ascii="Arial" w:cs="Arial" w:eastAsia="Arial" w:hAnsi="Arial"/>
                <w:sz w:val="14"/>
                <w:szCs w:val="14"/>
                <w:color w:val="auto"/>
              </w:rPr>
              <w:t>1,344,255</w:t>
            </w:r>
          </w:p>
        </w:tc>
        <w:tc>
          <w:tcPr>
            <w:tcW w:w="120" w:type="dxa"/>
            <w:vAlign w:val="bottom"/>
            <w:tcBorders>
              <w:top w:val="single" w:sz="8" w:color="EDEDEE"/>
            </w:tcBorders>
            <w:shd w:val="clear" w:color="auto" w:fill="EDEDE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40" w:type="dxa"/>
            <w:vAlign w:val="bottom"/>
            <w:gridSpan w:val="2"/>
          </w:tcPr>
          <w:p>
            <w:pPr>
              <w:ind w:left="180"/>
              <w:spacing w:after="0"/>
              <w:rPr>
                <w:sz w:val="20"/>
                <w:szCs w:val="20"/>
                <w:color w:val="auto"/>
              </w:rPr>
            </w:pPr>
            <w:r>
              <w:rPr>
                <w:rFonts w:ascii="Arial" w:cs="Arial" w:eastAsia="Arial" w:hAnsi="Arial"/>
                <w:sz w:val="14"/>
                <w:szCs w:val="14"/>
                <w:b w:val="1"/>
                <w:bCs w:val="1"/>
                <w:color w:val="auto"/>
              </w:rPr>
              <w:t>Stock options</w:t>
            </w:r>
          </w:p>
        </w:tc>
        <w:tc>
          <w:tcPr>
            <w:tcW w:w="2040" w:type="dxa"/>
            <w:vAlign w:val="bottom"/>
            <w:gridSpan w:val="2"/>
          </w:tcPr>
          <w:p>
            <w:pPr>
              <w:jc w:val="right"/>
              <w:ind w:right="400"/>
              <w:spacing w:after="0"/>
              <w:rPr>
                <w:sz w:val="20"/>
                <w:szCs w:val="20"/>
                <w:color w:val="auto"/>
              </w:rPr>
            </w:pPr>
            <w:r>
              <w:rPr>
                <w:rFonts w:ascii="Arial" w:cs="Arial" w:eastAsia="Arial" w:hAnsi="Arial"/>
                <w:sz w:val="14"/>
                <w:szCs w:val="14"/>
                <w:color w:val="auto"/>
              </w:rPr>
              <w:t>1,117,643</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720" w:type="dxa"/>
            <w:vAlign w:val="bottom"/>
            <w:gridSpan w:val="2"/>
          </w:tcPr>
          <w:p>
            <w:pPr>
              <w:jc w:val="right"/>
              <w:ind w:right="320"/>
              <w:spacing w:after="0"/>
              <w:rPr>
                <w:sz w:val="20"/>
                <w:szCs w:val="20"/>
                <w:color w:val="auto"/>
              </w:rPr>
            </w:pPr>
            <w:r>
              <w:rPr>
                <w:rFonts w:ascii="Arial" w:cs="Arial" w:eastAsia="Arial" w:hAnsi="Arial"/>
                <w:sz w:val="14"/>
                <w:szCs w:val="14"/>
                <w:color w:val="auto"/>
              </w:rPr>
              <w:t>58.83</w:t>
            </w:r>
          </w:p>
        </w:tc>
        <w:tc>
          <w:tcPr>
            <w:tcW w:w="1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240" w:type="dxa"/>
            <w:vAlign w:val="bottom"/>
            <w:gridSpan w:val="2"/>
            <w:shd w:val="clear" w:color="auto" w:fill="EDEDEE"/>
          </w:tcPr>
          <w:p>
            <w:pPr>
              <w:ind w:left="180"/>
              <w:spacing w:after="0"/>
              <w:rPr>
                <w:sz w:val="20"/>
                <w:szCs w:val="20"/>
                <w:color w:val="auto"/>
              </w:rPr>
            </w:pPr>
            <w:r>
              <w:rPr>
                <w:rFonts w:ascii="Arial" w:cs="Arial" w:eastAsia="Arial" w:hAnsi="Arial"/>
                <w:sz w:val="14"/>
                <w:szCs w:val="14"/>
                <w:b w:val="1"/>
                <w:bCs w:val="1"/>
                <w:color w:val="auto"/>
              </w:rPr>
              <w:t>Restricted stock units</w:t>
            </w:r>
          </w:p>
        </w:tc>
        <w:tc>
          <w:tcPr>
            <w:tcW w:w="2040" w:type="dxa"/>
            <w:vAlign w:val="bottom"/>
            <w:gridSpan w:val="2"/>
            <w:shd w:val="clear" w:color="auto" w:fill="EDEDEE"/>
          </w:tcPr>
          <w:p>
            <w:pPr>
              <w:jc w:val="right"/>
              <w:ind w:right="400"/>
              <w:spacing w:after="0"/>
              <w:rPr>
                <w:sz w:val="20"/>
                <w:szCs w:val="20"/>
                <w:color w:val="auto"/>
              </w:rPr>
            </w:pPr>
            <w:r>
              <w:rPr>
                <w:rFonts w:ascii="Arial" w:cs="Arial" w:eastAsia="Arial" w:hAnsi="Arial"/>
                <w:sz w:val="14"/>
                <w:szCs w:val="14"/>
                <w:color w:val="auto"/>
              </w:rPr>
              <w:t>1,268,702</w:t>
            </w:r>
          </w:p>
        </w:tc>
        <w:tc>
          <w:tcPr>
            <w:tcW w:w="260" w:type="dxa"/>
            <w:vAlign w:val="bottom"/>
            <w:shd w:val="clear" w:color="auto" w:fill="EDEDEE"/>
          </w:tcPr>
          <w:p>
            <w:pPr>
              <w:spacing w:after="0"/>
              <w:rPr>
                <w:sz w:val="14"/>
                <w:szCs w:val="14"/>
                <w:color w:val="auto"/>
              </w:rPr>
            </w:pPr>
          </w:p>
        </w:tc>
        <w:tc>
          <w:tcPr>
            <w:tcW w:w="1720" w:type="dxa"/>
            <w:vAlign w:val="bottom"/>
            <w:gridSpan w:val="2"/>
            <w:shd w:val="clear" w:color="auto" w:fill="EDEDEE"/>
          </w:tcPr>
          <w:p>
            <w:pPr>
              <w:jc w:val="right"/>
              <w:ind w:right="320"/>
              <w:spacing w:after="0"/>
              <w:rPr>
                <w:sz w:val="20"/>
                <w:szCs w:val="20"/>
                <w:color w:val="auto"/>
              </w:rPr>
            </w:pPr>
            <w:r>
              <w:rPr>
                <w:rFonts w:ascii="Arial" w:cs="Arial" w:eastAsia="Arial" w:hAnsi="Arial"/>
                <w:sz w:val="14"/>
                <w:szCs w:val="14"/>
                <w:color w:val="auto"/>
              </w:rPr>
              <w:t>—</w:t>
            </w:r>
          </w:p>
        </w:tc>
        <w:tc>
          <w:tcPr>
            <w:tcW w:w="1760" w:type="dxa"/>
            <w:vAlign w:val="bottom"/>
            <w:gridSpan w:val="2"/>
            <w:shd w:val="clear" w:color="auto" w:fill="EDEDEE"/>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240" w:type="dxa"/>
            <w:vAlign w:val="bottom"/>
            <w:gridSpan w:val="2"/>
          </w:tcPr>
          <w:p>
            <w:pPr>
              <w:ind w:left="180"/>
              <w:spacing w:after="0"/>
              <w:rPr>
                <w:sz w:val="20"/>
                <w:szCs w:val="20"/>
                <w:color w:val="auto"/>
              </w:rPr>
            </w:pPr>
            <w:r>
              <w:rPr>
                <w:rFonts w:ascii="Arial" w:cs="Arial" w:eastAsia="Arial" w:hAnsi="Arial"/>
                <w:sz w:val="14"/>
                <w:szCs w:val="14"/>
                <w:b w:val="1"/>
                <w:bCs w:val="1"/>
                <w:color w:val="auto"/>
              </w:rPr>
              <w:t>Performance-based restricted stock units</w:t>
            </w:r>
          </w:p>
        </w:tc>
        <w:tc>
          <w:tcPr>
            <w:tcW w:w="2040" w:type="dxa"/>
            <w:vAlign w:val="bottom"/>
            <w:gridSpan w:val="2"/>
          </w:tcPr>
          <w:p>
            <w:pPr>
              <w:jc w:val="right"/>
              <w:ind w:right="260"/>
              <w:spacing w:after="0" w:line="189" w:lineRule="exact"/>
              <w:rPr>
                <w:sz w:val="20"/>
                <w:szCs w:val="20"/>
                <w:color w:val="auto"/>
              </w:rPr>
            </w:pPr>
            <w:r>
              <w:rPr>
                <w:rFonts w:ascii="Arial" w:cs="Arial" w:eastAsia="Arial" w:hAnsi="Arial"/>
                <w:sz w:val="13"/>
                <w:szCs w:val="13"/>
                <w:color w:val="auto"/>
              </w:rPr>
              <w:t>1,082,754</w:t>
            </w:r>
            <w:r>
              <w:rPr>
                <w:rFonts w:ascii="Arial" w:cs="Arial" w:eastAsia="Arial" w:hAnsi="Arial"/>
                <w:sz w:val="21"/>
                <w:szCs w:val="21"/>
                <w:color w:val="auto"/>
                <w:vertAlign w:val="superscript"/>
              </w:rPr>
              <w:t>(2)</w:t>
            </w:r>
          </w:p>
        </w:tc>
        <w:tc>
          <w:tcPr>
            <w:tcW w:w="260" w:type="dxa"/>
            <w:vAlign w:val="bottom"/>
          </w:tcPr>
          <w:p>
            <w:pPr>
              <w:spacing w:after="0"/>
              <w:rPr>
                <w:sz w:val="16"/>
                <w:szCs w:val="16"/>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5240" w:type="dxa"/>
            <w:vAlign w:val="bottom"/>
            <w:gridSpan w:val="2"/>
            <w:shd w:val="clear" w:color="auto" w:fill="EDEDEE"/>
          </w:tcPr>
          <w:p>
            <w:pPr>
              <w:spacing w:after="0"/>
              <w:rPr>
                <w:sz w:val="20"/>
                <w:szCs w:val="20"/>
                <w:color w:val="auto"/>
              </w:rPr>
            </w:pPr>
            <w:r>
              <w:rPr>
                <w:rFonts w:ascii="Arial" w:cs="Arial" w:eastAsia="Arial" w:hAnsi="Arial"/>
                <w:sz w:val="14"/>
                <w:szCs w:val="14"/>
                <w:b w:val="1"/>
                <w:bCs w:val="1"/>
                <w:color w:val="auto"/>
              </w:rPr>
              <w:t>Equity compensation plans not approved by Company stockholders</w:t>
            </w:r>
          </w:p>
        </w:tc>
        <w:tc>
          <w:tcPr>
            <w:tcW w:w="2040" w:type="dxa"/>
            <w:vAlign w:val="bottom"/>
            <w:gridSpan w:val="2"/>
            <w:shd w:val="clear" w:color="auto" w:fill="EDEDEE"/>
          </w:tcPr>
          <w:p>
            <w:pPr>
              <w:jc w:val="right"/>
              <w:ind w:right="400"/>
              <w:spacing w:after="0"/>
              <w:rPr>
                <w:sz w:val="20"/>
                <w:szCs w:val="20"/>
                <w:color w:val="auto"/>
              </w:rPr>
            </w:pPr>
            <w:r>
              <w:rPr>
                <w:rFonts w:ascii="Arial" w:cs="Arial" w:eastAsia="Arial" w:hAnsi="Arial"/>
                <w:sz w:val="14"/>
                <w:szCs w:val="14"/>
                <w:color w:val="auto"/>
              </w:rPr>
              <w:t>—</w:t>
            </w:r>
          </w:p>
        </w:tc>
        <w:tc>
          <w:tcPr>
            <w:tcW w:w="260" w:type="dxa"/>
            <w:vAlign w:val="bottom"/>
            <w:shd w:val="clear" w:color="auto" w:fill="EDEDEE"/>
          </w:tcPr>
          <w:p>
            <w:pPr>
              <w:spacing w:after="0"/>
              <w:rPr>
                <w:sz w:val="15"/>
                <w:szCs w:val="15"/>
                <w:color w:val="auto"/>
              </w:rPr>
            </w:pPr>
          </w:p>
        </w:tc>
        <w:tc>
          <w:tcPr>
            <w:tcW w:w="1720" w:type="dxa"/>
            <w:vAlign w:val="bottom"/>
            <w:gridSpan w:val="2"/>
            <w:shd w:val="clear" w:color="auto" w:fill="EDEDEE"/>
          </w:tcPr>
          <w:p>
            <w:pPr>
              <w:jc w:val="right"/>
              <w:ind w:right="320"/>
              <w:spacing w:after="0"/>
              <w:rPr>
                <w:sz w:val="20"/>
                <w:szCs w:val="20"/>
                <w:color w:val="auto"/>
              </w:rPr>
            </w:pPr>
            <w:r>
              <w:rPr>
                <w:rFonts w:ascii="Arial" w:cs="Arial" w:eastAsia="Arial" w:hAnsi="Arial"/>
                <w:sz w:val="14"/>
                <w:szCs w:val="14"/>
                <w:color w:val="auto"/>
              </w:rPr>
              <w:t>—</w:t>
            </w:r>
          </w:p>
        </w:tc>
        <w:tc>
          <w:tcPr>
            <w:tcW w:w="1760" w:type="dxa"/>
            <w:vAlign w:val="bottom"/>
            <w:gridSpan w:val="2"/>
            <w:shd w:val="clear" w:color="auto" w:fill="EDEDEE"/>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524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3,469,099</w:t>
            </w:r>
          </w:p>
        </w:tc>
        <w:tc>
          <w:tcPr>
            <w:tcW w:w="400" w:type="dxa"/>
            <w:vAlign w:val="bottom"/>
          </w:tcPr>
          <w:p>
            <w:pPr>
              <w:spacing w:after="0"/>
              <w:rPr>
                <w:sz w:val="15"/>
                <w:szCs w:val="15"/>
                <w:color w:val="auto"/>
              </w:rPr>
            </w:pPr>
          </w:p>
        </w:tc>
        <w:tc>
          <w:tcPr>
            <w:tcW w:w="2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58.83</w:t>
            </w:r>
          </w:p>
        </w:tc>
        <w:tc>
          <w:tcPr>
            <w:tcW w:w="320" w:type="dxa"/>
            <w:vAlign w:val="bottom"/>
          </w:tcPr>
          <w:p>
            <w:pPr>
              <w:spacing w:after="0"/>
              <w:rPr>
                <w:sz w:val="15"/>
                <w:szCs w:val="15"/>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1,344,255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424" w:right="180" w:hanging="424"/>
        <w:spacing w:after="0" w:line="241" w:lineRule="auto"/>
        <w:tabs>
          <w:tab w:leader="none" w:pos="424" w:val="left"/>
        </w:tabs>
        <w:numPr>
          <w:ilvl w:val="0"/>
          <w:numId w:val="106"/>
        </w:numPr>
        <w:rPr>
          <w:rFonts w:ascii="Arial" w:cs="Arial" w:eastAsia="Arial" w:hAnsi="Arial"/>
          <w:sz w:val="14"/>
          <w:szCs w:val="14"/>
          <w:i w:val="1"/>
          <w:iCs w:val="1"/>
          <w:color w:val="auto"/>
        </w:rPr>
      </w:pPr>
      <w:r>
        <w:rPr>
          <w:rFonts w:ascii="Arial" w:cs="Arial" w:eastAsia="Arial" w:hAnsi="Arial"/>
          <w:sz w:val="14"/>
          <w:szCs w:val="14"/>
          <w:i w:val="1"/>
          <w:iCs w:val="1"/>
          <w:color w:val="auto"/>
        </w:rPr>
        <w:t>The weighted average exercise price does not take into account the shares issuable upon outstanding restricted stock units and performance-based restricted stock units vesting, which have no exercise price.</w:t>
      </w:r>
    </w:p>
    <w:p>
      <w:pPr>
        <w:spacing w:after="0" w:line="176" w:lineRule="exact"/>
        <w:rPr>
          <w:rFonts w:ascii="Arial" w:cs="Arial" w:eastAsia="Arial" w:hAnsi="Arial"/>
          <w:sz w:val="14"/>
          <w:szCs w:val="14"/>
          <w:i w:val="1"/>
          <w:iCs w:val="1"/>
          <w:color w:val="auto"/>
        </w:rPr>
      </w:pPr>
    </w:p>
    <w:p>
      <w:pPr>
        <w:ind w:left="424" w:right="280" w:hanging="424"/>
        <w:spacing w:after="0"/>
        <w:tabs>
          <w:tab w:leader="none" w:pos="424" w:val="left"/>
        </w:tabs>
        <w:numPr>
          <w:ilvl w:val="0"/>
          <w:numId w:val="106"/>
        </w:numPr>
        <w:rPr>
          <w:rFonts w:ascii="Arial" w:cs="Arial" w:eastAsia="Arial" w:hAnsi="Arial"/>
          <w:sz w:val="14"/>
          <w:szCs w:val="14"/>
          <w:i w:val="1"/>
          <w:iCs w:val="1"/>
          <w:color w:val="auto"/>
        </w:rPr>
      </w:pPr>
      <w:r>
        <w:rPr>
          <w:rFonts w:ascii="Arial" w:cs="Arial" w:eastAsia="Arial" w:hAnsi="Arial"/>
          <w:sz w:val="14"/>
          <w:szCs w:val="14"/>
          <w:i w:val="1"/>
          <w:iCs w:val="1"/>
          <w:color w:val="auto"/>
        </w:rPr>
        <w:t>This number reflects shares that will be issued at the maximum vesting amount for outstanding performance-based restricted stock units (PRSUs) granted in 2024 and 2025.</w:t>
      </w:r>
    </w:p>
    <w:p>
      <w:pPr>
        <w:spacing w:after="0" w:line="80" w:lineRule="exact"/>
        <w:rPr>
          <w:sz w:val="20"/>
          <w:szCs w:val="20"/>
          <w:color w:val="auto"/>
        </w:rPr>
      </w:pPr>
    </w:p>
    <w:p>
      <w:pPr>
        <w:ind w:left="644" w:hanging="644"/>
        <w:spacing w:after="0"/>
        <w:tabs>
          <w:tab w:leader="none" w:pos="644" w:val="left"/>
        </w:tabs>
        <w:numPr>
          <w:ilvl w:val="0"/>
          <w:numId w:val="107"/>
        </w:numPr>
        <w:rPr>
          <w:rFonts w:ascii="MS PGothic" w:cs="MS PGothic" w:eastAsia="MS PGothic" w:hAnsi="MS PGothic"/>
          <w:sz w:val="47"/>
          <w:szCs w:val="47"/>
          <w:color w:val="C8102E"/>
        </w:rPr>
      </w:pPr>
      <w:r>
        <w:rPr>
          <w:rFonts w:ascii="Arial" w:cs="Arial" w:eastAsia="Arial" w:hAnsi="Arial"/>
          <w:sz w:val="47"/>
          <w:szCs w:val="47"/>
          <w:color w:val="auto"/>
        </w:rPr>
        <w:t>DELINQUENT SECTION 16(A) REPORTS</w:t>
      </w:r>
    </w:p>
    <w:p>
      <w:pPr>
        <w:spacing w:after="0" w:line="198" w:lineRule="exact"/>
        <w:rPr>
          <w:sz w:val="20"/>
          <w:szCs w:val="20"/>
          <w:color w:val="auto"/>
        </w:rPr>
      </w:pPr>
    </w:p>
    <w:p>
      <w:pPr>
        <w:jc w:val="both"/>
        <w:ind w:left="4"/>
        <w:spacing w:after="0" w:line="228" w:lineRule="auto"/>
        <w:rPr>
          <w:sz w:val="20"/>
          <w:szCs w:val="20"/>
          <w:color w:val="auto"/>
        </w:rPr>
      </w:pPr>
      <w:r>
        <w:rPr>
          <w:rFonts w:ascii="Arial" w:cs="Arial" w:eastAsia="Arial" w:hAnsi="Arial"/>
          <w:sz w:val="16"/>
          <w:szCs w:val="16"/>
          <w:color w:val="auto"/>
        </w:rPr>
        <w:t>Section 16(a) of the Exchange Act requires our officers (as defined under Section 16(a) of the Exchange Act), directors and persons who own greater than 10% of a registered class of our equity securities to file reports of ownership and changes in ownership with the SEC. Based on our records and other information, we believe that each of our officers, directors and certain beneficial owners of our common stock complied with all Section 16(a) filing requirements applicable to them during 2025 on a timely basis, except for the late filing of one late Form 4 by Mr. Shirley with respect to one transaction.</w:t>
      </w:r>
    </w:p>
    <w:p>
      <w:pPr>
        <w:spacing w:after="0" w:line="138" w:lineRule="exact"/>
        <w:rPr>
          <w:sz w:val="20"/>
          <w:szCs w:val="20"/>
          <w:color w:val="auto"/>
        </w:rPr>
      </w:pPr>
    </w:p>
    <w:p>
      <w:pPr>
        <w:ind w:left="7524"/>
        <w:spacing w:after="0"/>
        <w:tabs>
          <w:tab w:leader="none" w:pos="10804" w:val="left"/>
        </w:tabs>
        <w:rPr>
          <w:sz w:val="20"/>
          <w:szCs w:val="20"/>
          <w:color w:val="auto"/>
        </w:rPr>
      </w:pPr>
      <w:r>
        <w:rPr>
          <w:sz w:val="1"/>
          <w:szCs w:val="1"/>
          <w:color w:val="auto"/>
        </w:rPr>
        <w:drawing>
          <wp:inline distT="0" distB="0" distL="0" distR="0">
            <wp:extent cx="685800" cy="162560"/>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0" cy="162560"/>
                    </a:xfrm>
                    <a:prstGeom prst="rect">
                      <a:avLst/>
                    </a:prstGeom>
                    <a:noFill/>
                    <a:ln>
                      <a:noFill/>
                    </a:ln>
                  </pic:spPr>
                </pic:pic>
              </a:graphicData>
            </a:graphic>
          </wp:inline>
        </w:drawing>
      </w:r>
      <w:r>
        <w:rPr>
          <w:rFonts w:ascii="Arial" w:cs="Arial" w:eastAsia="Arial" w:hAnsi="Arial"/>
          <w:sz w:val="18"/>
          <w:szCs w:val="18"/>
          <w:color w:val="auto"/>
        </w:rPr>
        <w:t xml:space="preserve"> - 2026 Proxy Statement</w:t>
      </w:r>
      <w:r>
        <w:rPr>
          <w:sz w:val="20"/>
          <w:szCs w:val="20"/>
          <w:color w:val="auto"/>
        </w:rPr>
        <w:tab/>
      </w: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-186690</wp:posOffset>
            </wp:positionV>
            <wp:extent cx="6995160" cy="3257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95160" cy="325755"/>
                    </a:xfrm>
                    <a:prstGeom prst="rect">
                      <a:avLst/>
                    </a:prstGeom>
                    <a:noFill/>
                  </pic:spPr>
                </pic:pic>
              </a:graphicData>
            </a:graphic>
          </wp:anchor>
        </w:drawing>
      </w:r>
    </w:p>
    <w:p>
      <w:pPr>
        <w:sectPr>
          <w:pgSz w:w="11900" w:h="16838" w:orient="portrait"/>
          <w:cols w:equalWidth="0" w:num="1">
            <w:col w:w="11024"/>
          </w:cols>
          <w:pgMar w:left="436" w:top="588" w:right="439" w:bottom="1440" w:gutter="0" w:footer="0" w:header="0"/>
        </w:sectPr>
      </w:pPr>
    </w:p>
    <w:bookmarkStart w:id="63" w:name="page64"/>
    <w:bookmarkEnd w:id="63"/>
    <w:p>
      <w:pPr>
        <w:spacing w:after="0"/>
        <w:tabs>
          <w:tab w:leader="none" w:pos="3520" w:val="left"/>
        </w:tabs>
        <w:rPr>
          <w:sz w:val="20"/>
          <w:szCs w:val="20"/>
          <w:color w:val="auto"/>
        </w:rPr>
      </w:pPr>
      <w:r>
        <w:rPr>
          <w:rFonts w:ascii="Arial" w:cs="Arial" w:eastAsia="Arial" w:hAnsi="Arial"/>
          <w:sz w:val="47"/>
          <w:szCs w:val="47"/>
          <w:b w:val="1"/>
          <w:bCs w:val="1"/>
          <w:color w:val="C8102E"/>
        </w:rPr>
        <w:t>Proposal 3</w:t>
      </w:r>
      <w:r>
        <w:rPr>
          <w:sz w:val="20"/>
          <w:szCs w:val="20"/>
          <w:color w:val="auto"/>
        </w:rPr>
        <w:tab/>
      </w:r>
      <w:r>
        <w:rPr>
          <w:rFonts w:ascii="Arial" w:cs="Arial" w:eastAsia="Arial" w:hAnsi="Arial"/>
          <w:sz w:val="46"/>
          <w:szCs w:val="46"/>
          <w:color w:val="auto"/>
        </w:rPr>
        <w:t>Approval of Named Executive</w:t>
      </w:r>
    </w:p>
    <w:p>
      <w:pPr>
        <w:ind w:left="3540" w:right="300"/>
        <w:spacing w:after="0" w:line="222" w:lineRule="auto"/>
        <w:rPr>
          <w:sz w:val="20"/>
          <w:szCs w:val="20"/>
          <w:color w:val="auto"/>
        </w:rPr>
      </w:pPr>
      <w:r>
        <w:rPr>
          <w:rFonts w:ascii="Arial" w:cs="Arial" w:eastAsia="Arial" w:hAnsi="Arial"/>
          <w:sz w:val="47"/>
          <w:szCs w:val="47"/>
          <w:color w:val="auto"/>
        </w:rPr>
        <w:t>Officers’ Compensation, on a Non-Binding Advisory Basis (“Say-on-Pay”)</w:t>
      </w:r>
    </w:p>
    <w:p>
      <w:pPr>
        <w:spacing w:after="0" w:line="71"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We are asking our stockholders to cast an advisory vote at our Annual Meeting to approve the compensation of our named executive officers, as disclosed in this Proxy Statement. Pursuant to Section 14A of the Exchange Act, we are asking that you vote on the following advisory resolution:</w:t>
      </w:r>
    </w:p>
    <w:p>
      <w:pPr>
        <w:spacing w:after="0" w:line="101" w:lineRule="exact"/>
        <w:rPr>
          <w:sz w:val="20"/>
          <w:szCs w:val="20"/>
          <w:color w:val="auto"/>
        </w:rPr>
      </w:pPr>
    </w:p>
    <w:p>
      <w:pPr>
        <w:ind w:left="440" w:right="20"/>
        <w:spacing w:after="0" w:line="261"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the 2025 compensation paid to the Company’s named executive officers, as disclosed pursuant to the rules of the SEC,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Compensation Discussion and Analysis, compensation tables and narrative discussion, is hereby </w:t>
      </w:r>
      <w:r>
        <w:rPr>
          <w:rFonts w:ascii="Arial" w:cs="Arial" w:eastAsia="Arial" w:hAnsi="Arial"/>
          <w:sz w:val="16"/>
          <w:szCs w:val="16"/>
          <w:b w:val="1"/>
          <w:bCs w:val="1"/>
          <w:color w:val="auto"/>
        </w:rPr>
        <w:t>APPROVED</w:t>
      </w:r>
      <w:r>
        <w:rPr>
          <w:rFonts w:ascii="Arial" w:cs="Arial" w:eastAsia="Arial" w:hAnsi="Arial"/>
          <w:sz w:val="16"/>
          <w:szCs w:val="16"/>
          <w:color w:val="auto"/>
        </w:rPr>
        <w:t>.</w:t>
      </w:r>
    </w:p>
    <w:p>
      <w:pPr>
        <w:spacing w:after="0" w:line="86" w:lineRule="exact"/>
        <w:rPr>
          <w:sz w:val="20"/>
          <w:szCs w:val="20"/>
          <w:color w:val="auto"/>
        </w:rPr>
      </w:pPr>
    </w:p>
    <w:p>
      <w:pPr>
        <w:jc w:val="both"/>
        <w:ind w:right="20"/>
        <w:spacing w:after="0" w:line="228" w:lineRule="auto"/>
        <w:rPr>
          <w:sz w:val="20"/>
          <w:szCs w:val="20"/>
          <w:color w:val="auto"/>
        </w:rPr>
      </w:pPr>
      <w:r>
        <w:rPr>
          <w:rFonts w:ascii="Arial" w:cs="Arial" w:eastAsia="Arial" w:hAnsi="Arial"/>
          <w:sz w:val="16"/>
          <w:szCs w:val="16"/>
          <w:color w:val="auto"/>
        </w:rPr>
        <w:t>Though the vote is non-binding, the Compensation and Human Capital Management Committee and the Board of Directors value your opinion and will consider the outcome of the vote in establishing our compensation philosophy and making future compensation decisions. At this time, we intend to seek stockholder approval of our executive compensation program on an annual basis and thus expect the next such vote to occur at our 2027 Annual Meeting of Stockholders.</w:t>
      </w:r>
    </w:p>
    <w:p>
      <w:pPr>
        <w:spacing w:after="0" w:line="81" w:lineRule="exact"/>
        <w:rPr>
          <w:sz w:val="20"/>
          <w:szCs w:val="20"/>
          <w:color w:val="auto"/>
        </w:rPr>
      </w:pPr>
    </w:p>
    <w:p>
      <w:pPr>
        <w:spacing w:after="0"/>
        <w:rPr>
          <w:sz w:val="20"/>
          <w:szCs w:val="20"/>
          <w:color w:val="auto"/>
        </w:rPr>
      </w:pPr>
      <w:r>
        <w:rPr>
          <w:rFonts w:ascii="Arial" w:cs="Arial" w:eastAsia="Arial" w:hAnsi="Arial"/>
          <w:sz w:val="32"/>
          <w:szCs w:val="32"/>
          <w:b w:val="1"/>
          <w:bCs w:val="1"/>
          <w:color w:val="C8102E"/>
        </w:rPr>
        <w:t>Why You Should Approve Our Executive Compensation Program</w:t>
      </w:r>
    </w:p>
    <w:p>
      <w:pPr>
        <w:spacing w:after="0" w:line="148"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As discussed in our Compensation Discussion and Analysis, we believe our compensation programs and practices are appropriate and effective in implementing our compensation philosophy, and our focus remains on linking compensation to performance while aligning the interests of management with those of our stockholders.</w:t>
      </w:r>
    </w:p>
    <w:p>
      <w:pPr>
        <w:spacing w:after="0" w:line="94" w:lineRule="exact"/>
        <w:rPr>
          <w:sz w:val="20"/>
          <w:szCs w:val="20"/>
          <w:color w:val="auto"/>
        </w:rPr>
      </w:pPr>
    </w:p>
    <w:p>
      <w:pPr>
        <w:spacing w:after="0"/>
        <w:rPr>
          <w:sz w:val="20"/>
          <w:szCs w:val="20"/>
          <w:color w:val="auto"/>
        </w:rPr>
      </w:pPr>
      <w:r>
        <w:rPr>
          <w:rFonts w:ascii="Arial" w:cs="Arial" w:eastAsia="Arial" w:hAnsi="Arial"/>
          <w:sz w:val="32"/>
          <w:szCs w:val="32"/>
          <w:b w:val="1"/>
          <w:bCs w:val="1"/>
          <w:color w:val="C8102E"/>
        </w:rPr>
        <w:t>Vote Required</w:t>
      </w:r>
    </w:p>
    <w:p>
      <w:pPr>
        <w:spacing w:after="0" w:line="148"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The affirmative vote of the holders of a majority of the shares present in person or represented by proxy at the Annual Meeting and entitled to vote is required to approve the advisory vote approving the compensation of our named executive officers.</w:t>
      </w:r>
    </w:p>
    <w:p>
      <w:pPr>
        <w:spacing w:after="0" w:line="99" w:lineRule="exact"/>
        <w:rPr>
          <w:sz w:val="20"/>
          <w:szCs w:val="20"/>
          <w:color w:val="auto"/>
        </w:rPr>
      </w:pPr>
    </w:p>
    <w:p>
      <w:pPr>
        <w:spacing w:after="0"/>
        <w:rPr>
          <w:sz w:val="20"/>
          <w:szCs w:val="20"/>
          <w:color w:val="auto"/>
        </w:rPr>
      </w:pPr>
      <w:r>
        <w:rPr>
          <w:rFonts w:ascii="Arial" w:cs="Arial" w:eastAsia="Arial" w:hAnsi="Arial"/>
          <w:sz w:val="32"/>
          <w:szCs w:val="32"/>
          <w:b w:val="1"/>
          <w:bCs w:val="1"/>
          <w:color w:val="C8102E"/>
        </w:rPr>
        <w:t>Board Recommendation</w:t>
      </w:r>
    </w:p>
    <w:p>
      <w:pPr>
        <w:spacing w:after="0" w:line="188" w:lineRule="exact"/>
        <w:rPr>
          <w:sz w:val="20"/>
          <w:szCs w:val="20"/>
          <w:color w:val="auto"/>
        </w:rPr>
      </w:pPr>
    </w:p>
    <w:p>
      <w:pPr>
        <w:jc w:val="both"/>
        <w:ind w:left="120" w:right="140"/>
        <w:spacing w:after="0"/>
        <w:rPr>
          <w:sz w:val="20"/>
          <w:szCs w:val="20"/>
          <w:color w:val="auto"/>
        </w:rPr>
      </w:pPr>
      <w:r>
        <w:rPr>
          <w:rFonts w:ascii="Arial" w:cs="Arial" w:eastAsia="Arial" w:hAnsi="Arial"/>
          <w:sz w:val="16"/>
          <w:szCs w:val="16"/>
          <w:color w:val="auto"/>
        </w:rPr>
        <w:t xml:space="preserve">The Board unanimously recommends that you vote </w:t>
      </w:r>
      <w:r>
        <w:rPr>
          <w:rFonts w:ascii="Arial" w:cs="Arial" w:eastAsia="Arial" w:hAnsi="Arial"/>
          <w:sz w:val="16"/>
          <w:szCs w:val="16"/>
          <w:b w:val="1"/>
          <w:bCs w:val="1"/>
          <w:color w:val="C8102E"/>
        </w:rPr>
        <w:t>FOR</w:t>
      </w:r>
      <w:r>
        <w:rPr>
          <w:rFonts w:ascii="Arial" w:cs="Arial" w:eastAsia="Arial" w:hAnsi="Arial"/>
          <w:sz w:val="16"/>
          <w:szCs w:val="16"/>
          <w:color w:val="auto"/>
        </w:rPr>
        <w:t xml:space="preserve"> Proposal 3, which is advisory approval of Enovis’ named executive officer compensation as disclosed in this Proxy Statement. We strongly urge stockholders to review our entire Compensation Discussion and Analysis and the accompanying tables, which provides complete information on the compensation awarded to the named executive officers and the reasoning supporting those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6995160" cy="4375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95160" cy="43751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-118745</wp:posOffset>
            </wp:positionV>
            <wp:extent cx="762635" cy="38608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62635" cy="38608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134620</wp:posOffset>
            </wp:positionV>
            <wp:extent cx="699516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553" w:right="439" w:bottom="1440" w:gutter="0" w:footer="0" w:header="0"/>
        </w:sectPr>
      </w:pPr>
    </w:p>
    <w:bookmarkStart w:id="64" w:name="page65"/>
    <w:bookmarkEnd w:id="64"/>
    <w:p>
      <w:pPr>
        <w:ind w:left="2160" w:right="40" w:hanging="2159"/>
        <w:spacing w:after="0" w:line="273" w:lineRule="auto"/>
        <w:rPr>
          <w:sz w:val="20"/>
          <w:szCs w:val="20"/>
          <w:color w:val="auto"/>
        </w:rPr>
      </w:pPr>
      <w:r>
        <w:rPr>
          <w:rFonts w:ascii="Arial" w:cs="Arial" w:eastAsia="Arial" w:hAnsi="Arial"/>
          <w:sz w:val="38"/>
          <w:szCs w:val="38"/>
          <w:b w:val="1"/>
          <w:bCs w:val="1"/>
          <w:color w:val="C8102E"/>
        </w:rPr>
        <w:t xml:space="preserve">Proposal 4 </w:t>
      </w:r>
      <w:r>
        <w:rPr>
          <w:rFonts w:ascii="Arial" w:cs="Arial" w:eastAsia="Arial" w:hAnsi="Arial"/>
          <w:sz w:val="38"/>
          <w:szCs w:val="38"/>
          <w:color w:val="000000"/>
        </w:rPr>
        <w:t>Approval of an Amendment to the Enovis Corporation</w:t>
      </w:r>
      <w:r>
        <w:rPr>
          <w:rFonts w:ascii="Arial" w:cs="Arial" w:eastAsia="Arial" w:hAnsi="Arial"/>
          <w:sz w:val="38"/>
          <w:szCs w:val="38"/>
          <w:b w:val="1"/>
          <w:bCs w:val="1"/>
          <w:color w:val="C8102E"/>
        </w:rPr>
        <w:t xml:space="preserve"> </w:t>
      </w:r>
      <w:r>
        <w:rPr>
          <w:rFonts w:ascii="Arial" w:cs="Arial" w:eastAsia="Arial" w:hAnsi="Arial"/>
          <w:sz w:val="38"/>
          <w:szCs w:val="38"/>
          <w:color w:val="000000"/>
        </w:rPr>
        <w:t>2020 Omnibus Incentive Plan</w:t>
      </w:r>
    </w:p>
    <w:p>
      <w:pPr>
        <w:spacing w:after="0" w:line="74" w:lineRule="exact"/>
        <w:rPr>
          <w:sz w:val="20"/>
          <w:szCs w:val="20"/>
          <w:color w:val="auto"/>
        </w:rPr>
      </w:pPr>
    </w:p>
    <w:p>
      <w:pPr>
        <w:jc w:val="both"/>
        <w:spacing w:after="0" w:line="217" w:lineRule="auto"/>
        <w:rPr>
          <w:sz w:val="20"/>
          <w:szCs w:val="20"/>
          <w:color w:val="auto"/>
        </w:rPr>
      </w:pPr>
      <w:r>
        <w:rPr>
          <w:rFonts w:ascii="Arial" w:cs="Arial" w:eastAsia="Arial" w:hAnsi="Arial"/>
          <w:sz w:val="16"/>
          <w:szCs w:val="16"/>
          <w:color w:val="auto"/>
        </w:rPr>
        <w:t>We are asking our stockholders to approve a third amendment (the “Amendment”) to our 2020 Omnibus Incentive Plan, as amended (the “2020 Plan” and together with the Amendment, collectively the “Amended 2020 Plan”). On March 31, 2026, upon recommendation of the CHCM Committee, the Board approved the adoption of the Amendment subject to approval by the Company’s stockholders at the Annual Meeting. We are asking stockholders to consider and vote upon a proposal to approve the Amendment. If approved by our stockholders, the Amendment would authorize an additional 3,650,000 shares of common stock, $0.001 par value per share, of the Company (which we refer to in this Proposal 4 as shares of common stock) for issuance under the 2020 Plan effective May 19, 2026. Additionally, we are asking our stockholders to increase the limitation on awards to our Outside Directors as defined and as set forth in the 2020 Plan. If approved by our stockholders, the Amendment would increase the maximum aggregate dollar value of equity-based awards and cash compensation that may be granted to any Outside Director during any calendar year from $350,000 to $750,000; provided however, that in the calendar year in which an Outside Director is newly-elected or appointed director or newly-designated as lead director or chair, the maximum aggregate dollar value of equity-based and cash compensation granted to the Outside Director may be up to two hundred percent (200%) of the foregoing limit.</w:t>
      </w:r>
    </w:p>
    <w:p>
      <w:pPr>
        <w:spacing w:after="0" w:line="141"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Board recommends that you vote for the approval of the Amendment in order to allow the Company to continue our equity-based, pay-for-performance compensation philosophy. The number of shares of common stock that remain available for issuance under the 2020 Plan may not be sufficient to satisfy our equity compensation needs for 2026 and beyond. Equity compensation aligns the compensation of our non-employee directors and employees with the investment interests of our stockholders and promotes a focus on long-term value creation. As of March 10, 2026, approximately 251 of our regular, full-time employees held outstanding equity awards. In addition, the Amendment updates the annual compensation limit applicable to Outside Directors to provide appropriate flexibility under the 2020 Plan, reflecting the Board’s intent to maintain a practical framework that continues to support the Company’s ability to attract and retain qualified directors while preserving strong alignment with stockholder interests. The affirmative vote of a majority of our shares of common stock present, in person or represented by proxy, and entitled to vote at the Annual Meeting is required to approve the Amendment. Our executive officers and non-employee directors have an interest in this proposal by virtue of their being eligible to receive equity awards under the 2020 Plan.</w:t>
      </w:r>
    </w:p>
    <w:p>
      <w:pPr>
        <w:spacing w:after="0" w:line="140" w:lineRule="exact"/>
        <w:rPr>
          <w:sz w:val="20"/>
          <w:szCs w:val="20"/>
          <w:color w:val="auto"/>
        </w:rPr>
      </w:pPr>
    </w:p>
    <w:p>
      <w:pPr>
        <w:jc w:val="both"/>
        <w:ind w:right="20"/>
        <w:spacing w:after="0" w:line="225" w:lineRule="auto"/>
        <w:rPr>
          <w:sz w:val="20"/>
          <w:szCs w:val="20"/>
          <w:color w:val="auto"/>
        </w:rPr>
      </w:pPr>
      <w:r>
        <w:rPr>
          <w:rFonts w:ascii="Arial" w:cs="Arial" w:eastAsia="Arial" w:hAnsi="Arial"/>
          <w:sz w:val="16"/>
          <w:szCs w:val="16"/>
          <w:color w:val="auto"/>
        </w:rPr>
        <w:t xml:space="preserve">The material features and provisions of the 2020 Plan are summarized below. The full text of the Amended 2020 Plan is attached as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and the proposed Amendment is attached as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to this Proxy Statement. The summary of the Amended 2020 Plan set forth below also assumes the approval of the Amendment. Other than the changes proposed to be made by the Amendment described above, no other terms or conditions of the 2020 Plan will change pursuant to the Amendment. If the Amendment is not approved by the Company’s stockholders, the 2020 Plan will continue to operate in accordance with its current terms. The following description is not complete and is qualified in its entirety by reference to those appendices.</w:t>
      </w:r>
    </w:p>
    <w:p>
      <w:pPr>
        <w:spacing w:after="0" w:line="107" w:lineRule="exact"/>
        <w:rPr>
          <w:sz w:val="20"/>
          <w:szCs w:val="20"/>
          <w:color w:val="auto"/>
        </w:rPr>
      </w:pPr>
    </w:p>
    <w:p>
      <w:pPr>
        <w:spacing w:after="0"/>
        <w:rPr>
          <w:sz w:val="20"/>
          <w:szCs w:val="20"/>
          <w:color w:val="auto"/>
        </w:rPr>
      </w:pPr>
      <w:r>
        <w:rPr>
          <w:rFonts w:ascii="Arial" w:cs="Arial" w:eastAsia="Arial" w:hAnsi="Arial"/>
          <w:sz w:val="32"/>
          <w:szCs w:val="32"/>
          <w:b w:val="1"/>
          <w:bCs w:val="1"/>
          <w:color w:val="C8102E"/>
        </w:rPr>
        <w:t>Share Request Background</w:t>
      </w:r>
    </w:p>
    <w:p>
      <w:pPr>
        <w:spacing w:after="0" w:line="175" w:lineRule="exact"/>
        <w:rPr>
          <w:sz w:val="20"/>
          <w:szCs w:val="20"/>
          <w:color w:val="auto"/>
        </w:rPr>
      </w:pPr>
    </w:p>
    <w:p>
      <w:pPr>
        <w:jc w:val="both"/>
        <w:ind w:right="20"/>
        <w:spacing w:after="0" w:line="216" w:lineRule="auto"/>
        <w:rPr>
          <w:sz w:val="20"/>
          <w:szCs w:val="20"/>
          <w:color w:val="auto"/>
        </w:rPr>
      </w:pPr>
      <w:r>
        <w:rPr>
          <w:rFonts w:ascii="Arial" w:cs="Arial" w:eastAsia="Arial" w:hAnsi="Arial"/>
          <w:sz w:val="16"/>
          <w:szCs w:val="16"/>
          <w:color w:val="auto"/>
        </w:rPr>
        <w:t>Our stockholders originally approved the 2020 Plan at the 2020 annual meeting of stockholders; at that time, the 2020 Plan initially authorized the issuance of an aggregate of 4,430,000 shares of common stock under the 2020 Plan. At the 2022 annual meeting of stockholders, our stockholders approved an amendment to the 2020 Plan authorizing an additional 745,000 shares of common stock for issuance under the 2020 Plan. At the 2024 annual meeting of stockholders, our stockholders approved a further amendment to the 2020 Plan authorizing an additional 2,100,000 shares of common stock for issuance under the 2020 Plan. We currently have approximately 4,321,666 shares of common stock authorized for issuance under the 2020 Plan, inclusive of the adjustments made in connection with the one-for-three reverse stock split of the Company’s common stock following the spin-off of ESAB Corporation from the Company on April 4, 2022. In addition, certain outstanding awards granted under the 2020 Plan have been adjusted in a manner to preserve the aggregate intrinsic value of the awards following the completion of the spin-off of ESAB Corporation (see the Existing Plan Benefits table below for more information). With the proposed 3,650,000 share increase under the Amendment, 7,971,666 will be authorized for issuance under the 2020 Plan, which represents approximately 13.91% of our 57,300,629 shares outstanding as of March 10, 2026. As of March 10, 2026, 0 shares of common stock remain available for grants under the 2020 Plan. Absent an increase in the number of authorized shares under the 2020 Plan, we may not have sufficient shares to meet our anticipated equity compensation needs for the next year. Therefore, if this Proposal 4 is not approved by our stockholders, we believe our ability to attract, motivate and retain the talent we need to compete in our industry would be seriously and negatively impacted and this could affect our long-term success.</w:t>
      </w:r>
    </w:p>
    <w:p>
      <w:pPr>
        <w:spacing w:after="0" w:line="139" w:lineRule="exact"/>
        <w:rPr>
          <w:sz w:val="20"/>
          <w:szCs w:val="20"/>
          <w:color w:val="auto"/>
        </w:rPr>
      </w:pPr>
    </w:p>
    <w:p>
      <w:pPr>
        <w:jc w:val="right"/>
        <w:spacing w:after="0"/>
        <w:tabs>
          <w:tab w:leader="none" w:pos="180" w:val="left"/>
        </w:tabs>
        <w:rPr>
          <w:sz w:val="20"/>
          <w:szCs w:val="20"/>
          <w:color w:val="auto"/>
        </w:rPr>
      </w:pPr>
      <w:r>
        <w:rPr>
          <w:sz w:val="1"/>
          <w:szCs w:val="1"/>
          <w:color w:val="auto"/>
        </w:rPr>
        <w:drawing>
          <wp:inline distT="0" distB="0" distL="0" distR="0">
            <wp:extent cx="685800" cy="162560"/>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0" cy="162560"/>
                    </a:xfrm>
                    <a:prstGeom prst="rect">
                      <a:avLst/>
                    </a:prstGeom>
                    <a:noFill/>
                    <a:ln>
                      <a:noFill/>
                    </a:ln>
                  </pic:spPr>
                </pic:pic>
              </a:graphicData>
            </a:graphic>
          </wp:inline>
        </w:drawing>
      </w:r>
      <w:r>
        <w:rPr>
          <w:rFonts w:ascii="Arial" w:cs="Arial" w:eastAsia="Arial" w:hAnsi="Arial"/>
          <w:sz w:val="18"/>
          <w:szCs w:val="18"/>
          <w:color w:val="auto"/>
        </w:rPr>
        <w:t xml:space="preserve"> - 2026 Proxy Statement</w:t>
      </w:r>
      <w:r>
        <w:rPr>
          <w:sz w:val="20"/>
          <w:szCs w:val="20"/>
          <w:color w:val="auto"/>
        </w:rPr>
        <w:tab/>
      </w: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-186690</wp:posOffset>
            </wp:positionV>
            <wp:extent cx="6995160" cy="3257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95160" cy="325755"/>
                    </a:xfrm>
                    <a:prstGeom prst="rect">
                      <a:avLst/>
                    </a:prstGeom>
                    <a:noFill/>
                  </pic:spPr>
                </pic:pic>
              </a:graphicData>
            </a:graphic>
          </wp:anchor>
        </w:drawing>
      </w:r>
    </w:p>
    <w:p>
      <w:pPr>
        <w:sectPr>
          <w:pgSz w:w="11900" w:h="16838" w:orient="portrait"/>
          <w:cols w:equalWidth="0" w:num="1">
            <w:col w:w="11020"/>
          </w:cols>
          <w:pgMar w:left="440" w:top="623" w:right="439" w:bottom="1440" w:gutter="0" w:footer="0" w:header="0"/>
        </w:sectPr>
      </w:pPr>
    </w:p>
    <w:bookmarkStart w:id="65" w:name="page66"/>
    <w:bookmarkEnd w:id="65"/>
    <w:p>
      <w:pPr>
        <w:spacing w:after="0"/>
        <w:rPr>
          <w:sz w:val="20"/>
          <w:szCs w:val="20"/>
          <w:color w:val="auto"/>
        </w:rPr>
      </w:pPr>
      <w:r>
        <w:rPr>
          <w:rFonts w:ascii="Arial" w:cs="Arial" w:eastAsia="Arial" w:hAnsi="Arial"/>
          <w:sz w:val="32"/>
          <w:szCs w:val="32"/>
          <w:b w:val="1"/>
          <w:bCs w:val="1"/>
          <w:color w:val="C8102E"/>
        </w:rPr>
        <w:t>Outside Director Award Limit Background</w:t>
      </w:r>
    </w:p>
    <w:p>
      <w:pPr>
        <w:spacing w:after="0" w:line="175" w:lineRule="exact"/>
        <w:rPr>
          <w:sz w:val="20"/>
          <w:szCs w:val="20"/>
          <w:color w:val="auto"/>
        </w:rPr>
      </w:pPr>
    </w:p>
    <w:p>
      <w:pPr>
        <w:jc w:val="both"/>
        <w:spacing w:after="0" w:line="218" w:lineRule="auto"/>
        <w:rPr>
          <w:sz w:val="20"/>
          <w:szCs w:val="20"/>
          <w:color w:val="auto"/>
        </w:rPr>
      </w:pPr>
      <w:r>
        <w:rPr>
          <w:rFonts w:ascii="Arial" w:cs="Arial" w:eastAsia="Arial" w:hAnsi="Arial"/>
          <w:sz w:val="16"/>
          <w:szCs w:val="16"/>
          <w:color w:val="auto"/>
        </w:rPr>
        <w:t>Under the 2020 Plan, it was authorized that the total aggregate value of equity-based awards and cash compensation granted to Outside Directors, whether pursuant to the 2020 Plan or otherwise, may not exceed $350,000 in any calendar year, except in the instance of a newly-elected or appointed director or a newly-designated lead director or chair, which limit is then increased to $700,000 (i.e., 200% of the foregoing limit). This limitation has remained unchanged since the adoption of the 2020 Plan and has not been amended or modified. As a result and in the absence of stockholder approval of this Amendment, the Board believes that the Company’s ability to attract, motivate, and retain the qualified director talent necessary to compete effectively in its industry could be seriously and adversely impacted, which could, in turn, negatively affect the Company’s long-term success. If approved by our stockholders, the Amendment would increase the maximum aggregate dollar value of equity-based awards and cash compensation that may be granted to any Outside Director during any calendar year from $350,000 to $750,000; provided however, that in the calendar year in which an Outside Director is newly-elected or appointed director or newly-designated as lead director or chair, the maximum aggregate dollar value of equity-based and cash compensation granted to the Outside Director may be up to two hundred percent (200%) of the foregoing limit.</w:t>
      </w:r>
    </w:p>
    <w:p>
      <w:pPr>
        <w:spacing w:after="0" w:line="108" w:lineRule="exact"/>
        <w:rPr>
          <w:sz w:val="20"/>
          <w:szCs w:val="20"/>
          <w:color w:val="auto"/>
        </w:rPr>
      </w:pPr>
    </w:p>
    <w:p>
      <w:pPr>
        <w:spacing w:after="0"/>
        <w:rPr>
          <w:sz w:val="20"/>
          <w:szCs w:val="20"/>
          <w:color w:val="auto"/>
        </w:rPr>
      </w:pPr>
      <w:r>
        <w:rPr>
          <w:rFonts w:ascii="Arial" w:cs="Arial" w:eastAsia="Arial" w:hAnsi="Arial"/>
          <w:sz w:val="32"/>
          <w:szCs w:val="32"/>
          <w:b w:val="1"/>
          <w:bCs w:val="1"/>
          <w:color w:val="C8102E"/>
        </w:rPr>
        <w:t>Highlights of the Amended 2020 Plan</w:t>
      </w:r>
    </w:p>
    <w:p>
      <w:pPr>
        <w:spacing w:after="0" w:line="175" w:lineRule="exact"/>
        <w:rPr>
          <w:sz w:val="20"/>
          <w:szCs w:val="20"/>
          <w:color w:val="auto"/>
        </w:rPr>
      </w:pPr>
    </w:p>
    <w:p>
      <w:pPr>
        <w:jc w:val="both"/>
        <w:spacing w:after="0" w:line="225" w:lineRule="auto"/>
        <w:rPr>
          <w:sz w:val="20"/>
          <w:szCs w:val="20"/>
          <w:color w:val="auto"/>
        </w:rPr>
      </w:pPr>
      <w:r>
        <w:rPr>
          <w:rFonts w:ascii="Arial" w:cs="Arial" w:eastAsia="Arial" w:hAnsi="Arial"/>
          <w:sz w:val="16"/>
          <w:szCs w:val="16"/>
          <w:color w:val="auto"/>
        </w:rPr>
        <w:t>The Amended 2020 Plan authorizes the Board, the CHCM Committee or any separate committee that the Board may so appoint pursuant to the terms of the Amended 2020 Plan (the “Committee”) to provide equity-based compensation in the form of stock options, stock appreciation rights, restricted stock, restricted stock units, performance-based stock, performance-based stock units, dividend equivalents, and unrestricted stock awards for the purpose of providing our non-employee directors, officers and other employees (and those of our subsidiaries and affiliates) with incentives and rewards for performance.</w:t>
      </w:r>
    </w:p>
    <w:p>
      <w:pPr>
        <w:spacing w:after="0" w:line="110" w:lineRule="exact"/>
        <w:rPr>
          <w:sz w:val="20"/>
          <w:szCs w:val="20"/>
          <w:color w:val="auto"/>
        </w:rPr>
      </w:pPr>
    </w:p>
    <w:p>
      <w:pPr>
        <w:jc w:val="both"/>
        <w:spacing w:after="0"/>
        <w:rPr>
          <w:sz w:val="20"/>
          <w:szCs w:val="20"/>
          <w:color w:val="auto"/>
        </w:rPr>
      </w:pPr>
      <w:r>
        <w:rPr>
          <w:rFonts w:ascii="Arial" w:cs="Arial" w:eastAsia="Arial" w:hAnsi="Arial"/>
          <w:sz w:val="16"/>
          <w:szCs w:val="16"/>
          <w:color w:val="auto"/>
        </w:rPr>
        <w:t>We believe our future success depends in part on our ability to attract, motivate and retain high quality employees and non-employee directors and that the ability to provide equity-based and incentive-based awards under the Amended 2020 Plan is critical to achieving this success. We would be at a competitive disadvantage if we could no longer use share-based awards to recruit and compensate our non-employee directors, officers and other employees.</w:t>
      </w:r>
    </w:p>
    <w:p>
      <w:pPr>
        <w:spacing w:after="0" w:line="25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Some of the key features of the Amended 2020 Plan that reflect our commitment to effective management of equity and incentive compensation and our maintenance of sound governance practices in granting awards include:</w:t>
      </w:r>
    </w:p>
    <w:p>
      <w:pPr>
        <w:spacing w:after="0" w:line="115"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b w:val="1"/>
          <w:bCs w:val="1"/>
          <w:i w:val="1"/>
          <w:iCs w:val="1"/>
          <w:color w:val="auto"/>
        </w:rPr>
        <w:t>Performance-Based Awards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Amended 2020 Plan provides that the payment of dividend equivalents with respect to performance-based awards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will accumulate, be deferred and only paid contingent upon the level of achievement of the applicable management performance goals.</w:t>
      </w:r>
    </w:p>
    <w:p>
      <w:pPr>
        <w:spacing w:after="0" w:line="101"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b w:val="1"/>
          <w:bCs w:val="1"/>
          <w:i w:val="1"/>
          <w:iCs w:val="1"/>
          <w:color w:val="auto"/>
        </w:rPr>
        <w:t>Clawback</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 amounts paid to a grantee under the Amended 2020 Plan are subject to recovery under any law, governmental regulation, stock exchange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listing requirement or any policy adopted by the Company and may be deducted or clawed back in accordance with such law, regulation or policy.</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Minimum Vesting Period</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Amended 2020 Plan requires that nearly all awards granted under it be subject to a one-year minimum vesting period.</w:t>
      </w:r>
    </w:p>
    <w:p>
      <w:pPr>
        <w:spacing w:after="0" w:line="140"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b w:val="1"/>
          <w:bCs w:val="1"/>
          <w:i w:val="1"/>
          <w:iCs w:val="1"/>
          <w:color w:val="auto"/>
        </w:rPr>
        <w:t>Limitation on Awards to Outside Directors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aggregate equity-based and cash compensation granted under the Amended 2020 Plan or otherwise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Outside Directors during any calendar year will not exceed $750,000, except in the instance of a newly-elected or appointed director or a newly-designated lead director or chair, which limit is then increased to $1,500,000.</w:t>
      </w:r>
    </w:p>
    <w:p>
      <w:pPr>
        <w:spacing w:after="0" w:line="110"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b w:val="1"/>
          <w:bCs w:val="1"/>
          <w:i w:val="1"/>
          <w:iCs w:val="1"/>
          <w:color w:val="auto"/>
        </w:rPr>
        <w:t>No Discounted Options or Stock Appreciation Rights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Amended 2020 Plan prohibits the grant of options or stock appreciation rights with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exercise price less than the fair market value of our shares of common stock on the grant date.</w:t>
      </w:r>
    </w:p>
    <w:p>
      <w:pPr>
        <w:spacing w:after="0" w:line="128"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b w:val="1"/>
          <w:bCs w:val="1"/>
          <w:i w:val="1"/>
          <w:iCs w:val="1"/>
          <w:color w:val="auto"/>
        </w:rPr>
        <w:t>No Repricing of Options or Stock Appreciation Rights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Amended 2020 Plan prohibits the repricing of options or stock appreciation rights (outside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certain corporate transactions or adjustment events described in the Amended 2020 Plan) without stockholder approval.</w:t>
      </w:r>
    </w:p>
    <w:p>
      <w:pPr>
        <w:spacing w:after="0" w:line="11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i w:val="1"/>
          <w:iCs w:val="1"/>
          <w:color w:val="auto"/>
        </w:rPr>
        <w:t>Independent Committee Administration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to our named executive officers under the Amended 2020 Plan will be granted by a committee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composed entirely of independent directors.</w:t>
      </w:r>
    </w:p>
    <w:p>
      <w:pPr>
        <w:spacing w:after="0" w:line="101"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b w:val="1"/>
          <w:bCs w:val="1"/>
          <w:i w:val="1"/>
          <w:iCs w:val="1"/>
          <w:color w:val="auto"/>
        </w:rPr>
        <w:t>Term of the Amended 2020 Plan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 awards may be granted under the 2020 Plan more than ten years from the date of initial stockholder approval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Amended 2020 Plan.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-118745</wp:posOffset>
            </wp:positionV>
            <wp:extent cx="762635" cy="38608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62635" cy="38608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699516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622" w:right="439" w:bottom="1440" w:gutter="0" w:footer="0" w:header="0"/>
        </w:sectPr>
      </w:pPr>
    </w:p>
    <w:bookmarkStart w:id="66" w:name="page67"/>
    <w:bookmarkEnd w:id="66"/>
    <w:p>
      <w:pPr>
        <w:spacing w:after="0"/>
        <w:rPr>
          <w:sz w:val="20"/>
          <w:szCs w:val="20"/>
          <w:color w:val="auto"/>
        </w:rPr>
      </w:pPr>
      <w:r>
        <w:rPr>
          <w:rFonts w:ascii="Arial" w:cs="Arial" w:eastAsia="Arial" w:hAnsi="Arial"/>
          <w:sz w:val="32"/>
          <w:szCs w:val="32"/>
          <w:b w:val="1"/>
          <w:bCs w:val="1"/>
          <w:color w:val="C8102E"/>
        </w:rPr>
        <w:t>Summary of Material Terms of the 2020 Plan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Shares of Common Stock Available. </w:t>
      </w:r>
      <w:r>
        <w:rPr>
          <w:rFonts w:ascii="Arial" w:cs="Arial" w:eastAsia="Arial" w:hAnsi="Arial"/>
          <w:sz w:val="16"/>
          <w:szCs w:val="16"/>
          <w:color w:val="auto"/>
        </w:rPr>
        <w:t>Subject to adjustment as provided in the Amendment and the approval of this Proposal 4 by stockholders at the</w:t>
      </w:r>
    </w:p>
    <w:p>
      <w:pPr>
        <w:spacing w:after="0"/>
        <w:rPr>
          <w:sz w:val="20"/>
          <w:szCs w:val="20"/>
          <w:color w:val="auto"/>
        </w:rPr>
      </w:pPr>
      <w:r>
        <w:rPr>
          <w:rFonts w:ascii="Arial" w:cs="Arial" w:eastAsia="Arial" w:hAnsi="Arial"/>
          <w:sz w:val="16"/>
          <w:szCs w:val="16"/>
          <w:color w:val="auto"/>
        </w:rPr>
        <w:t>Annual Meeting, the number of shares of common stock that may be issued or transferred:</w:t>
      </w:r>
    </w:p>
    <w:p>
      <w:pPr>
        <w:spacing w:after="0" w:line="138" w:lineRule="exact"/>
        <w:rPr>
          <w:sz w:val="20"/>
          <w:szCs w:val="20"/>
          <w:color w:val="auto"/>
        </w:rPr>
      </w:pPr>
    </w:p>
    <w:p>
      <w:pPr>
        <w:ind w:left="640" w:hanging="320"/>
        <w:spacing w:after="0"/>
        <w:tabs>
          <w:tab w:leader="none" w:pos="640" w:val="left"/>
        </w:tabs>
        <w:numPr>
          <w:ilvl w:val="0"/>
          <w:numId w:val="108"/>
        </w:numPr>
        <w:rPr>
          <w:rFonts w:ascii="Times New Roman" w:cs="Times New Roman" w:eastAsia="Times New Roman" w:hAnsi="Times New Roman"/>
          <w:sz w:val="16"/>
          <w:szCs w:val="16"/>
          <w:color w:val="auto"/>
        </w:rPr>
      </w:pPr>
      <w:r>
        <w:rPr>
          <w:rFonts w:ascii="Arial" w:cs="Arial" w:eastAsia="Arial" w:hAnsi="Arial"/>
          <w:sz w:val="16"/>
          <w:szCs w:val="16"/>
          <w:color w:val="auto"/>
        </w:rPr>
        <w:t>upon the exercise of options or stock appreciation rights;</w:t>
      </w:r>
    </w:p>
    <w:p>
      <w:pPr>
        <w:spacing w:after="0" w:line="29"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108"/>
        </w:numPr>
        <w:rPr>
          <w:rFonts w:ascii="Times New Roman" w:cs="Times New Roman" w:eastAsia="Times New Roman" w:hAnsi="Times New Roman"/>
          <w:sz w:val="16"/>
          <w:szCs w:val="16"/>
          <w:color w:val="auto"/>
        </w:rPr>
      </w:pPr>
      <w:r>
        <w:rPr>
          <w:rFonts w:ascii="Arial" w:cs="Arial" w:eastAsia="Arial" w:hAnsi="Arial"/>
          <w:sz w:val="16"/>
          <w:szCs w:val="16"/>
          <w:color w:val="auto"/>
        </w:rPr>
        <w:t>as restricted shares released from substantial risks of forfeiture;</w:t>
      </w:r>
    </w:p>
    <w:p>
      <w:pPr>
        <w:spacing w:after="0" w:line="17"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108"/>
        </w:numPr>
        <w:rPr>
          <w:rFonts w:ascii="Times New Roman" w:cs="Times New Roman" w:eastAsia="Times New Roman" w:hAnsi="Times New Roman"/>
          <w:sz w:val="16"/>
          <w:szCs w:val="16"/>
          <w:color w:val="auto"/>
        </w:rPr>
      </w:pPr>
      <w:r>
        <w:rPr>
          <w:rFonts w:ascii="Arial" w:cs="Arial" w:eastAsia="Arial" w:hAnsi="Arial"/>
          <w:sz w:val="16"/>
          <w:szCs w:val="16"/>
          <w:color w:val="auto"/>
        </w:rPr>
        <w:t>in payment of performance shares or performance units that have been earned;</w:t>
      </w:r>
    </w:p>
    <w:p>
      <w:pPr>
        <w:spacing w:after="0" w:line="17"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108"/>
        </w:numPr>
        <w:rPr>
          <w:rFonts w:ascii="Times New Roman" w:cs="Times New Roman" w:eastAsia="Times New Roman" w:hAnsi="Times New Roman"/>
          <w:sz w:val="16"/>
          <w:szCs w:val="16"/>
          <w:color w:val="auto"/>
        </w:rPr>
      </w:pPr>
      <w:r>
        <w:rPr>
          <w:rFonts w:ascii="Arial" w:cs="Arial" w:eastAsia="Arial" w:hAnsi="Arial"/>
          <w:sz w:val="16"/>
          <w:szCs w:val="16"/>
          <w:color w:val="auto"/>
        </w:rPr>
        <w:t>in payment for restricted stock units;</w:t>
      </w:r>
    </w:p>
    <w:p>
      <w:pPr>
        <w:spacing w:after="0" w:line="17"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108"/>
        </w:numPr>
        <w:rPr>
          <w:rFonts w:ascii="Times New Roman" w:cs="Times New Roman" w:eastAsia="Times New Roman" w:hAnsi="Times New Roman"/>
          <w:sz w:val="16"/>
          <w:szCs w:val="16"/>
          <w:color w:val="auto"/>
        </w:rPr>
      </w:pPr>
      <w:r>
        <w:rPr>
          <w:rFonts w:ascii="Arial" w:cs="Arial" w:eastAsia="Arial" w:hAnsi="Arial"/>
          <w:sz w:val="16"/>
          <w:szCs w:val="16"/>
          <w:color w:val="auto"/>
        </w:rPr>
        <w:t>in payment for other share-based awards; or</w:t>
      </w:r>
    </w:p>
    <w:p>
      <w:pPr>
        <w:spacing w:after="0" w:line="17"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108"/>
        </w:numPr>
        <w:rPr>
          <w:rFonts w:ascii="Times New Roman" w:cs="Times New Roman" w:eastAsia="Times New Roman" w:hAnsi="Times New Roman"/>
          <w:sz w:val="16"/>
          <w:szCs w:val="16"/>
          <w:color w:val="auto"/>
        </w:rPr>
      </w:pPr>
      <w:r>
        <w:rPr>
          <w:rFonts w:ascii="Arial" w:cs="Arial" w:eastAsia="Arial" w:hAnsi="Arial"/>
          <w:sz w:val="16"/>
          <w:szCs w:val="16"/>
          <w:color w:val="auto"/>
        </w:rPr>
        <w:t>in payment of dividend equivalents paid with respect to awards made under the 2020 Plan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will not exceed, in the aggregate, 7,971,666 shares. Such shares may be shares of original issuance or treasury shares or a combination of both.</w:t>
      </w:r>
    </w:p>
    <w:p>
      <w:pPr>
        <w:spacing w:after="0" w:line="140" w:lineRule="exact"/>
        <w:rPr>
          <w:sz w:val="20"/>
          <w:szCs w:val="20"/>
          <w:color w:val="auto"/>
        </w:rPr>
      </w:pPr>
    </w:p>
    <w:p>
      <w:pPr>
        <w:jc w:val="both"/>
        <w:spacing w:after="0" w:line="218" w:lineRule="auto"/>
        <w:rPr>
          <w:sz w:val="20"/>
          <w:szCs w:val="20"/>
          <w:color w:val="auto"/>
        </w:rPr>
      </w:pPr>
      <w:r>
        <w:rPr>
          <w:rFonts w:ascii="Arial" w:cs="Arial" w:eastAsia="Arial" w:hAnsi="Arial"/>
          <w:sz w:val="16"/>
          <w:szCs w:val="16"/>
          <w:color w:val="auto"/>
        </w:rPr>
        <w:t>The share reserve under the Amended 2020 Plan will be reduced on a one-for-one basis for shares covered by an award. Canceled, terminated, expired, forfeited or lapsed Awards (in whole or in part) shall be added back to the aggregate number of shares of stock reserved and available for issuance pursuant to awards granted under the Amended 2020 Plan (“Total Available Shares”). Any stock-related award that is settled in cash or other consideration shall be added back to the Total Available Shares reserve and available again for issuance. Shares of stock withheld or deducted from an award by the Company to satisfy tax withholding requirements relating to options or stock appreciation rights shall not be added back to the Total Available Shares reserve, but shares of stock withheld or deducted by the Company to satisfy tax withholding requirements relating to full value awards shall be added back to the Total Available Shares reserve and available again for issuance pursuant to awards granted under the Amended Plan. Performance awards (other than an option or stock appreciation right) where performance criteria were not met shall be added back to the Total Available Shares reserve and shall be available again for issuance pursuant to awards granted under the Amended 2020 Plan. Substitute awards granted will not count against the Total Available Share reserve.</w:t>
      </w:r>
    </w:p>
    <w:p>
      <w:pPr>
        <w:spacing w:after="0" w:line="111" w:lineRule="exact"/>
        <w:rPr>
          <w:sz w:val="20"/>
          <w:szCs w:val="20"/>
          <w:color w:val="auto"/>
        </w:rPr>
      </w:pPr>
    </w:p>
    <w:p>
      <w:pPr>
        <w:jc w:val="both"/>
        <w:spacing w:after="0" w:line="221" w:lineRule="auto"/>
        <w:rPr>
          <w:sz w:val="20"/>
          <w:szCs w:val="20"/>
          <w:color w:val="auto"/>
        </w:rPr>
      </w:pPr>
      <w:r>
        <w:rPr>
          <w:rFonts w:ascii="Arial" w:cs="Arial" w:eastAsia="Arial" w:hAnsi="Arial"/>
          <w:sz w:val="16"/>
          <w:szCs w:val="16"/>
          <w:color w:val="auto"/>
        </w:rPr>
        <w:t>If the full number of shares of stock subject to an option or a stock-settled stock appreciation right is not issued upon exercise of such option or stock appreciation right for any reason, including by reason of a net settlement or net exercise, all such shares of stock that were covered by the exercised option or stock appreciation right shall not be added back to the Total Available Shares reserve. If the exercise price of an option is satisfied by the grantee delivering shares of stock to the Company (by either actual delivery or attestation), such shares of stock shall not be added to the Total Available Shares reserve. Shares of stock repurchased on the open market with the proceeds of an option exercise shall not be added to the Total Available Shares reserve. Any dividend equivalent denominated in shares of stock shall be counted against the Total Available Shares in such amount and at such time as the dividend equivalent first constitutes a commitment to issue shares of stock.</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Limit on Awards. </w:t>
      </w:r>
      <w:r>
        <w:rPr>
          <w:rFonts w:ascii="Arial" w:cs="Arial" w:eastAsia="Arial" w:hAnsi="Arial"/>
          <w:sz w:val="16"/>
          <w:szCs w:val="16"/>
          <w:color w:val="auto"/>
        </w:rPr>
        <w:t>The following limits apply to awards under the Amended 2020 Plan (subject to limited permitted adjustments under the Amended 2020</w:t>
      </w:r>
    </w:p>
    <w:p>
      <w:pPr>
        <w:spacing w:after="0"/>
        <w:rPr>
          <w:sz w:val="20"/>
          <w:szCs w:val="20"/>
          <w:color w:val="auto"/>
        </w:rPr>
      </w:pPr>
      <w:r>
        <w:rPr>
          <w:rFonts w:ascii="Arial" w:cs="Arial" w:eastAsia="Arial" w:hAnsi="Arial"/>
          <w:sz w:val="16"/>
          <w:szCs w:val="16"/>
          <w:color w:val="auto"/>
        </w:rPr>
        <w:t>Plan):</w:t>
      </w:r>
    </w:p>
    <w:p>
      <w:pPr>
        <w:spacing w:after="0" w:line="138" w:lineRule="exact"/>
        <w:rPr>
          <w:sz w:val="20"/>
          <w:szCs w:val="20"/>
          <w:color w:val="auto"/>
        </w:rPr>
      </w:pPr>
    </w:p>
    <w:p>
      <w:pPr>
        <w:jc w:val="both"/>
        <w:ind w:left="640" w:right="80" w:hanging="320"/>
        <w:spacing w:after="0" w:line="253" w:lineRule="auto"/>
        <w:tabs>
          <w:tab w:leader="none" w:pos="640" w:val="left"/>
        </w:tabs>
        <w:numPr>
          <w:ilvl w:val="0"/>
          <w:numId w:val="109"/>
        </w:numPr>
        <w:rPr>
          <w:rFonts w:ascii="Times New Roman" w:cs="Times New Roman" w:eastAsia="Times New Roman" w:hAnsi="Times New Roman"/>
          <w:sz w:val="16"/>
          <w:szCs w:val="16"/>
          <w:color w:val="auto"/>
        </w:rPr>
      </w:pPr>
      <w:r>
        <w:rPr>
          <w:rFonts w:ascii="Arial" w:cs="Arial" w:eastAsia="Arial" w:hAnsi="Arial"/>
          <w:sz w:val="16"/>
          <w:szCs w:val="16"/>
          <w:color w:val="auto"/>
        </w:rPr>
        <w:t>With respect to Outside Directors, the aggregate equity-based and cash compensation granted (measured as of the grant date) under the Amended 2020 Plan or otherwise to each Outside Director during any calendar year will not exceed $750,000, except in the instance of a newly-elected or appointed director or a newly-designated lead director or chair, which limit is then increased to $1,500,000.</w:t>
      </w:r>
    </w:p>
    <w:p>
      <w:pPr>
        <w:ind w:left="640" w:right="80" w:hanging="320"/>
        <w:spacing w:after="0" w:line="246" w:lineRule="auto"/>
        <w:tabs>
          <w:tab w:leader="none" w:pos="640" w:val="left"/>
        </w:tabs>
        <w:numPr>
          <w:ilvl w:val="0"/>
          <w:numId w:val="109"/>
        </w:numPr>
        <w:rPr>
          <w:rFonts w:ascii="Times New Roman" w:cs="Times New Roman" w:eastAsia="Times New Roman" w:hAnsi="Times New Roman"/>
          <w:sz w:val="16"/>
          <w:szCs w:val="16"/>
          <w:color w:val="auto"/>
        </w:rPr>
      </w:pPr>
      <w:r>
        <w:rPr>
          <w:rFonts w:ascii="Arial" w:cs="Arial" w:eastAsia="Arial" w:hAnsi="Arial"/>
          <w:sz w:val="16"/>
          <w:szCs w:val="16"/>
          <w:color w:val="auto"/>
        </w:rPr>
        <w:t>The maximum number of shares of common stock that may be issued upon exercise of incentive stock options granted under the Amended 2020 Plan is 7,971,666.</w:t>
      </w:r>
    </w:p>
    <w:p>
      <w:pPr>
        <w:ind w:left="640" w:hanging="320"/>
        <w:spacing w:after="0"/>
        <w:tabs>
          <w:tab w:leader="none" w:pos="640" w:val="left"/>
        </w:tabs>
        <w:numPr>
          <w:ilvl w:val="0"/>
          <w:numId w:val="109"/>
        </w:numPr>
        <w:rPr>
          <w:rFonts w:ascii="Times New Roman" w:cs="Times New Roman" w:eastAsia="Times New Roman" w:hAnsi="Times New Roman"/>
          <w:sz w:val="16"/>
          <w:szCs w:val="16"/>
          <w:color w:val="auto"/>
        </w:rPr>
      </w:pPr>
      <w:r>
        <w:rPr>
          <w:rFonts w:ascii="Arial" w:cs="Arial" w:eastAsia="Arial" w:hAnsi="Arial"/>
          <w:sz w:val="16"/>
          <w:szCs w:val="16"/>
          <w:color w:val="auto"/>
        </w:rPr>
        <w:t>The maximum number of shares of common stock underlying awards to any grantee in any fiscal years is 333,333.</w:t>
      </w:r>
    </w:p>
    <w:p>
      <w:pPr>
        <w:spacing w:after="0" w:line="150" w:lineRule="exact"/>
        <w:rPr>
          <w:sz w:val="20"/>
          <w:szCs w:val="20"/>
          <w:color w:val="auto"/>
        </w:rPr>
      </w:pPr>
    </w:p>
    <w:p>
      <w:pPr>
        <w:jc w:val="both"/>
        <w:spacing w:after="0" w:line="225" w:lineRule="auto"/>
        <w:rPr>
          <w:sz w:val="20"/>
          <w:szCs w:val="20"/>
          <w:color w:val="auto"/>
        </w:rPr>
      </w:pPr>
      <w:r>
        <w:rPr>
          <w:rFonts w:ascii="Arial" w:cs="Arial" w:eastAsia="Arial" w:hAnsi="Arial"/>
          <w:sz w:val="16"/>
          <w:szCs w:val="16"/>
          <w:b w:val="1"/>
          <w:bCs w:val="1"/>
          <w:color w:val="auto"/>
        </w:rPr>
        <w:t xml:space="preserve">Minimum Vesting Requirement. </w:t>
      </w:r>
      <w:r>
        <w:rPr>
          <w:rFonts w:ascii="Arial" w:cs="Arial" w:eastAsia="Arial" w:hAnsi="Arial"/>
          <w:sz w:val="16"/>
          <w:szCs w:val="16"/>
          <w:color w:val="auto"/>
        </w:rPr>
        <w:t>The Committee will not award more than 5% of the aggregate number of shares of common stock that become</w:t>
      </w:r>
      <w:r>
        <w:rPr>
          <w:rFonts w:ascii="Arial" w:cs="Arial" w:eastAsia="Arial" w:hAnsi="Arial"/>
          <w:sz w:val="16"/>
          <w:szCs w:val="16"/>
          <w:b w:val="1"/>
          <w:bCs w:val="1"/>
          <w:color w:val="auto"/>
        </w:rPr>
        <w:t xml:space="preserve"> </w:t>
      </w:r>
      <w:r>
        <w:rPr>
          <w:rFonts w:ascii="Arial" w:cs="Arial" w:eastAsia="Arial" w:hAnsi="Arial"/>
          <w:sz w:val="16"/>
          <w:szCs w:val="16"/>
          <w:color w:val="auto"/>
        </w:rPr>
        <w:t>available for grant under the Amended 2020 Plan pursuant to awards that are solely subject to a vesting or performance condition that provides for full vesting or completion of the performance period in less than one year following the grant date of the applicable award, subject to the authority of the Committee to vest awards earlier, as the Committee deems appropriate, in the event of a Change in Control (as defined), in the event of termination of employment or service or as otherwise permitted by the Amended 2020 Plan.</w:t>
      </w:r>
    </w:p>
    <w:p>
      <w:pPr>
        <w:spacing w:after="0" w:line="137" w:lineRule="exact"/>
        <w:rPr>
          <w:sz w:val="20"/>
          <w:szCs w:val="20"/>
          <w:color w:val="auto"/>
        </w:rPr>
      </w:pPr>
    </w:p>
    <w:p>
      <w:pPr>
        <w:ind w:left="7520"/>
        <w:spacing w:after="0"/>
        <w:tabs>
          <w:tab w:leader="none" w:pos="10800" w:val="left"/>
        </w:tabs>
        <w:rPr>
          <w:sz w:val="20"/>
          <w:szCs w:val="20"/>
          <w:color w:val="auto"/>
        </w:rPr>
      </w:pPr>
      <w:r>
        <w:rPr>
          <w:sz w:val="1"/>
          <w:szCs w:val="1"/>
          <w:color w:val="auto"/>
        </w:rPr>
        <w:drawing>
          <wp:inline distT="0" distB="0" distL="0" distR="0">
            <wp:extent cx="685800" cy="162560"/>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0" cy="162560"/>
                    </a:xfrm>
                    <a:prstGeom prst="rect">
                      <a:avLst/>
                    </a:prstGeom>
                    <a:noFill/>
                    <a:ln>
                      <a:noFill/>
                    </a:ln>
                  </pic:spPr>
                </pic:pic>
              </a:graphicData>
            </a:graphic>
          </wp:inline>
        </w:drawing>
      </w:r>
      <w:r>
        <w:rPr>
          <w:rFonts w:ascii="Arial" w:cs="Arial" w:eastAsia="Arial" w:hAnsi="Arial"/>
          <w:sz w:val="18"/>
          <w:szCs w:val="18"/>
          <w:color w:val="auto"/>
        </w:rPr>
        <w:t xml:space="preserve"> - 2026 Proxy Statement</w:t>
      </w:r>
      <w:r>
        <w:rPr>
          <w:sz w:val="20"/>
          <w:szCs w:val="20"/>
          <w:color w:val="auto"/>
        </w:rPr>
        <w:tab/>
      </w: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-186690</wp:posOffset>
            </wp:positionV>
            <wp:extent cx="6995160" cy="3257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95160" cy="325755"/>
                    </a:xfrm>
                    <a:prstGeom prst="rect">
                      <a:avLst/>
                    </a:prstGeom>
                    <a:noFill/>
                  </pic:spPr>
                </pic:pic>
              </a:graphicData>
            </a:graphic>
          </wp:anchor>
        </w:drawing>
      </w:r>
    </w:p>
    <w:p>
      <w:pPr>
        <w:sectPr>
          <w:pgSz w:w="11900" w:h="16838" w:orient="portrait"/>
          <w:cols w:equalWidth="0" w:num="1">
            <w:col w:w="11020"/>
          </w:cols>
          <w:pgMar w:left="440" w:top="622" w:right="439" w:bottom="1440" w:gutter="0" w:footer="0" w:header="0"/>
        </w:sectPr>
      </w:pPr>
    </w:p>
    <w:bookmarkStart w:id="67" w:name="page68"/>
    <w:bookmarkEnd w:id="67"/>
    <w:p>
      <w:pPr>
        <w:jc w:val="both"/>
        <w:spacing w:after="0" w:line="234" w:lineRule="auto"/>
        <w:rPr>
          <w:sz w:val="20"/>
          <w:szCs w:val="20"/>
          <w:color w:val="auto"/>
        </w:rPr>
      </w:pPr>
      <w:r>
        <w:rPr>
          <w:rFonts w:ascii="Arial" w:cs="Arial" w:eastAsia="Arial" w:hAnsi="Arial"/>
          <w:sz w:val="16"/>
          <w:szCs w:val="16"/>
          <w:b w:val="1"/>
          <w:bCs w:val="1"/>
          <w:color w:val="auto"/>
        </w:rPr>
        <w:t xml:space="preserve">Eligibility. </w:t>
      </w:r>
      <w:r>
        <w:rPr>
          <w:rFonts w:ascii="Arial" w:cs="Arial" w:eastAsia="Arial" w:hAnsi="Arial"/>
          <w:sz w:val="16"/>
          <w:szCs w:val="16"/>
          <w:color w:val="auto"/>
        </w:rPr>
        <w:t>Our officers and employees, and those of our subsidiaries and affiliates (in total, approximately 217 people) and our non-employee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(currently 10 people) may be selected by the Board or Committee to receive benefits under the Amended 2020 Plan. These individuals are referred to as “Service Providers” in the Amended 2020 Plan, and as participants or grantees in this summary description.</w:t>
      </w:r>
    </w:p>
    <w:p>
      <w:pPr>
        <w:spacing w:after="0" w:line="110" w:lineRule="exact"/>
        <w:rPr>
          <w:sz w:val="20"/>
          <w:szCs w:val="20"/>
          <w:color w:val="auto"/>
        </w:rPr>
      </w:pPr>
    </w:p>
    <w:p>
      <w:pPr>
        <w:jc w:val="both"/>
        <w:spacing w:after="0" w:line="225" w:lineRule="auto"/>
        <w:rPr>
          <w:sz w:val="20"/>
          <w:szCs w:val="20"/>
          <w:color w:val="auto"/>
        </w:rPr>
      </w:pPr>
      <w:r>
        <w:rPr>
          <w:rFonts w:ascii="Arial" w:cs="Arial" w:eastAsia="Arial" w:hAnsi="Arial"/>
          <w:sz w:val="16"/>
          <w:szCs w:val="16"/>
          <w:b w:val="1"/>
          <w:bCs w:val="1"/>
          <w:color w:val="auto"/>
        </w:rPr>
        <w:t xml:space="preserve">Administration. </w:t>
      </w:r>
      <w:r>
        <w:rPr>
          <w:rFonts w:ascii="Arial" w:cs="Arial" w:eastAsia="Arial" w:hAnsi="Arial"/>
          <w:sz w:val="16"/>
          <w:szCs w:val="16"/>
          <w:color w:val="auto"/>
        </w:rPr>
        <w:t>The Board has delegated to the Committee the power and authority to administer and implement the Amended 2020 Plan.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has the authority to interpret the terms and intent of the Amended 2020 Plan, determine eligibility and terms of awards for participants and make all other determinations necessary or advisable for the administration of the Amended 2020 Plan. To the extent permitted by law, the Board or Committee may delegate authority under the Amended 2020 Plan to a member of the Board or officer of the Company, who may administer the Amended 2020 Plan with respect to employees or other service providers of the Company who are not officers or directors.</w:t>
      </w:r>
    </w:p>
    <w:p>
      <w:pPr>
        <w:spacing w:after="0" w:line="11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b w:val="1"/>
          <w:bCs w:val="1"/>
          <w:color w:val="auto"/>
        </w:rPr>
        <w:t xml:space="preserve">Amendment or Suspension. </w:t>
      </w:r>
      <w:r>
        <w:rPr>
          <w:rFonts w:ascii="Arial" w:cs="Arial" w:eastAsia="Arial" w:hAnsi="Arial"/>
          <w:sz w:val="16"/>
          <w:szCs w:val="16"/>
          <w:color w:val="auto"/>
        </w:rPr>
        <w:t>The Board may amend, suspend or terminate the Amended 2020 Plan at any time with respect to any shares of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stock as to which awards have not been made. No such action may amend the Amended 2020 Plan without the approval of stockholders if the amendment is required to be submitted for stockholder approval by applicable law, rule or regulation, including rules of the NYSE.</w:t>
      </w:r>
    </w:p>
    <w:p>
      <w:pPr>
        <w:spacing w:after="0" w:line="11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b w:val="1"/>
          <w:bCs w:val="1"/>
          <w:color w:val="auto"/>
        </w:rPr>
        <w:t xml:space="preserve">Effective Date and Term. </w:t>
      </w:r>
      <w:r>
        <w:rPr>
          <w:rFonts w:ascii="Arial" w:cs="Arial" w:eastAsia="Arial" w:hAnsi="Arial"/>
          <w:sz w:val="16"/>
          <w:szCs w:val="16"/>
          <w:color w:val="auto"/>
        </w:rPr>
        <w:t>The Amendment will be effective as of the date of stockholder approval and the Amended 2020 Plan will expire on May 21,</w:t>
      </w:r>
      <w:r>
        <w:rPr>
          <w:rFonts w:ascii="Arial" w:cs="Arial" w:eastAsia="Arial" w:hAnsi="Arial"/>
          <w:sz w:val="16"/>
          <w:szCs w:val="16"/>
          <w:b w:val="1"/>
          <w:bCs w:val="1"/>
          <w:color w:val="auto"/>
        </w:rPr>
        <w:t xml:space="preserve"> </w:t>
      </w:r>
      <w:r>
        <w:rPr>
          <w:rFonts w:ascii="Arial" w:cs="Arial" w:eastAsia="Arial" w:hAnsi="Arial"/>
          <w:sz w:val="16"/>
          <w:szCs w:val="16"/>
          <w:color w:val="auto"/>
        </w:rPr>
        <w:t>2030 unless earlier terminated by our Board. In no event will any award under the Amended 2020 Plan be granted on or after the tenth anniversary of its effective date, and no award of incentive stock options will be granted on or after April 3, 2030.</w:t>
      </w:r>
    </w:p>
    <w:p>
      <w:pPr>
        <w:spacing w:after="0" w:line="110" w:lineRule="exact"/>
        <w:rPr>
          <w:sz w:val="20"/>
          <w:szCs w:val="20"/>
          <w:color w:val="auto"/>
        </w:rPr>
      </w:pPr>
    </w:p>
    <w:p>
      <w:pPr>
        <w:jc w:val="both"/>
        <w:spacing w:after="0" w:line="218" w:lineRule="auto"/>
        <w:rPr>
          <w:sz w:val="20"/>
          <w:szCs w:val="20"/>
          <w:color w:val="auto"/>
        </w:rPr>
      </w:pPr>
      <w:r>
        <w:rPr>
          <w:rFonts w:ascii="Arial" w:cs="Arial" w:eastAsia="Arial" w:hAnsi="Arial"/>
          <w:sz w:val="16"/>
          <w:szCs w:val="16"/>
          <w:b w:val="1"/>
          <w:bCs w:val="1"/>
          <w:color w:val="auto"/>
        </w:rPr>
        <w:t xml:space="preserve">Options. </w:t>
      </w:r>
      <w:r>
        <w:rPr>
          <w:rFonts w:ascii="Arial" w:cs="Arial" w:eastAsia="Arial" w:hAnsi="Arial"/>
          <w:sz w:val="16"/>
          <w:szCs w:val="16"/>
          <w:color w:val="auto"/>
        </w:rPr>
        <w:t>An option granted under the Amended 2020 Plan is the option to purchase one or more shares of common stock pursuant to the Amended</w:t>
      </w:r>
      <w:r>
        <w:rPr>
          <w:rFonts w:ascii="Arial" w:cs="Arial" w:eastAsia="Arial" w:hAnsi="Arial"/>
          <w:sz w:val="16"/>
          <w:szCs w:val="16"/>
          <w:b w:val="1"/>
          <w:bCs w:val="1"/>
          <w:color w:val="auto"/>
        </w:rPr>
        <w:t xml:space="preserve"> </w:t>
      </w:r>
      <w:r>
        <w:rPr>
          <w:rFonts w:ascii="Arial" w:cs="Arial" w:eastAsia="Arial" w:hAnsi="Arial"/>
          <w:sz w:val="16"/>
          <w:szCs w:val="16"/>
          <w:color w:val="auto"/>
        </w:rPr>
        <w:t>2020 Plan. An option granted under the Amended 2020 Plan will be exercisable only to the extent that it is vested on the date of exercise. Exercisability of options may be subject to future service requirements, to the achievement of one or more of the performance objectives of the Company or to such other terms and conditions as the Committee, in its sole discretion, may impose. No option may be exercisable more than ten years from the option grant date, and subject to limited exceptions, shall be subject to the minimum vesting requirement. The exercise price per share under each option granted under the Amended 2020 Plan may not be less than 100%, or 110% in the case of an incentive stock option granted to a 10% stockholder, of the fair market value of the common stock on the option grant date. Payment of the option price for shares purchased pursuant to the exercise of an option may be made in cash or in cash equivalents acceptable to us or any other method permitted by law and approved by Committee. Promptly after payment, the grantee is entitled to issuance of the shares of stock subject to the option. The Amended 2020 Plan does not permit reloading of options and, except in connection with recapitalization events, prohibits repricings without stockholder approval.</w:t>
      </w:r>
    </w:p>
    <w:p>
      <w:pPr>
        <w:spacing w:after="0" w:line="111" w:lineRule="exact"/>
        <w:rPr>
          <w:sz w:val="20"/>
          <w:szCs w:val="20"/>
          <w:color w:val="auto"/>
        </w:rPr>
      </w:pPr>
    </w:p>
    <w:p>
      <w:pPr>
        <w:jc w:val="both"/>
        <w:spacing w:after="0" w:line="225" w:lineRule="auto"/>
        <w:rPr>
          <w:sz w:val="20"/>
          <w:szCs w:val="20"/>
          <w:color w:val="auto"/>
        </w:rPr>
      </w:pPr>
      <w:r>
        <w:rPr>
          <w:rFonts w:ascii="Arial" w:cs="Arial" w:eastAsia="Arial" w:hAnsi="Arial"/>
          <w:sz w:val="16"/>
          <w:szCs w:val="16"/>
          <w:color w:val="auto"/>
        </w:rPr>
        <w:t>In the case of incentive stock options, the aggregate fair market value of the common stock determined on the option grant date with respect to which such options are exercisable for the first time during any calendar year may not exceed $100,000. Incentive stock options are non-transferable during the optionee’s lifetime. Awards of non-qualified stock options are generally non-transferable, except for transfers by will or the laws of descent and distribution. The Committee may, in its discretion, authorize in an Award Agreement that an award of options, other than Incentive stock options, also may be transferred to family members by gift or other transfers deemed not to be for value.</w:t>
      </w:r>
    </w:p>
    <w:p>
      <w:pPr>
        <w:spacing w:after="0" w:line="110" w:lineRule="exact"/>
        <w:rPr>
          <w:sz w:val="20"/>
          <w:szCs w:val="20"/>
          <w:color w:val="auto"/>
        </w:rPr>
      </w:pPr>
    </w:p>
    <w:p>
      <w:pPr>
        <w:jc w:val="both"/>
        <w:spacing w:after="0"/>
        <w:rPr>
          <w:sz w:val="20"/>
          <w:szCs w:val="20"/>
          <w:color w:val="auto"/>
        </w:rPr>
      </w:pPr>
      <w:r>
        <w:rPr>
          <w:rFonts w:ascii="Arial" w:cs="Arial" w:eastAsia="Arial" w:hAnsi="Arial"/>
          <w:sz w:val="16"/>
          <w:szCs w:val="16"/>
          <w:b w:val="1"/>
          <w:bCs w:val="1"/>
          <w:color w:val="auto"/>
        </w:rPr>
        <w:t xml:space="preserve">Stock Appreciation Rights (SAR). </w:t>
      </w:r>
      <w:r>
        <w:rPr>
          <w:rFonts w:ascii="Arial" w:cs="Arial" w:eastAsia="Arial" w:hAnsi="Arial"/>
          <w:sz w:val="16"/>
          <w:szCs w:val="16"/>
          <w:color w:val="auto"/>
        </w:rPr>
        <w:t>A SAR confers on the grantee the right to receive, upon exercise, the excess of the (a) fair market value of one share</w:t>
      </w:r>
      <w:r>
        <w:rPr>
          <w:rFonts w:ascii="Arial" w:cs="Arial" w:eastAsia="Arial" w:hAnsi="Arial"/>
          <w:sz w:val="16"/>
          <w:szCs w:val="16"/>
          <w:b w:val="1"/>
          <w:bCs w:val="1"/>
          <w:color w:val="auto"/>
        </w:rPr>
        <w:t xml:space="preserve"> </w:t>
      </w:r>
      <w:r>
        <w:rPr>
          <w:rFonts w:ascii="Arial" w:cs="Arial" w:eastAsia="Arial" w:hAnsi="Arial"/>
          <w:sz w:val="16"/>
          <w:szCs w:val="16"/>
          <w:color w:val="auto"/>
        </w:rPr>
        <w:t>of stock on the date of exercise over (b) the SAR exercise price determined by the Committee. The award agreement shall specify the exercise price, which shall be at least the fair market value on the date of grant. SARs may be granted in tandem with another award. The Board or Committee shall determine all other terms and requirements relating to the SAR, including method of exercise and settlement. SARs are subject to the minimum vesting requirement, shall have a term of not more than ten years from the date of grant, and may be transferable to a family member if specified in the award agreement.</w:t>
      </w:r>
    </w:p>
    <w:p>
      <w:pPr>
        <w:spacing w:after="0" w:line="214" w:lineRule="exact"/>
        <w:rPr>
          <w:sz w:val="20"/>
          <w:szCs w:val="20"/>
          <w:color w:val="auto"/>
        </w:rPr>
      </w:pPr>
    </w:p>
    <w:p>
      <w:pPr>
        <w:jc w:val="both"/>
        <w:spacing w:after="0" w:line="222" w:lineRule="auto"/>
        <w:rPr>
          <w:sz w:val="20"/>
          <w:szCs w:val="20"/>
          <w:color w:val="auto"/>
        </w:rPr>
      </w:pPr>
      <w:r>
        <w:rPr>
          <w:rFonts w:ascii="Arial" w:cs="Arial" w:eastAsia="Arial" w:hAnsi="Arial"/>
          <w:sz w:val="16"/>
          <w:szCs w:val="16"/>
          <w:b w:val="1"/>
          <w:bCs w:val="1"/>
          <w:color w:val="auto"/>
        </w:rPr>
        <w:t xml:space="preserve">Restricted Stock and Restricted Stock Units. </w:t>
      </w:r>
      <w:r>
        <w:rPr>
          <w:rFonts w:ascii="Arial" w:cs="Arial" w:eastAsia="Arial" w:hAnsi="Arial"/>
          <w:sz w:val="16"/>
          <w:szCs w:val="16"/>
          <w:color w:val="auto"/>
        </w:rPr>
        <w:t>Restricted stock means one or more shares of common stock awarded subject to restrictions, and</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stock units means a bookkeeping entry representing the equivalent of one share of common stock awarded subject to restrictions. The restriction may be a period of time or other and additional restrictions, and the restricted stock or stock unit may not be transferred, pledged or encumbered during the restricted period or while subject to restrictions. Restricted stock units may be settled in stock, cash, or a combination of both, as determined by the Committee. Unless otherwise specified in the award agreement, the holder of restricted stock shall have the right to vote and to receive dividends, and the holder of a stock unit shall not. Restricted stock and restricted stock units are subject to the minimum vesting requirements.</w:t>
      </w:r>
    </w:p>
    <w:p>
      <w:pPr>
        <w:spacing w:after="0" w:line="113" w:lineRule="exact"/>
        <w:rPr>
          <w:sz w:val="20"/>
          <w:szCs w:val="20"/>
          <w:color w:val="auto"/>
        </w:rPr>
      </w:pPr>
    </w:p>
    <w:p>
      <w:pPr>
        <w:jc w:val="both"/>
        <w:spacing w:after="0"/>
        <w:rPr>
          <w:sz w:val="20"/>
          <w:szCs w:val="20"/>
          <w:color w:val="auto"/>
        </w:rPr>
      </w:pPr>
      <w:r>
        <w:rPr>
          <w:rFonts w:ascii="Arial" w:cs="Arial" w:eastAsia="Arial" w:hAnsi="Arial"/>
          <w:sz w:val="16"/>
          <w:szCs w:val="16"/>
          <w:b w:val="1"/>
          <w:bCs w:val="1"/>
          <w:color w:val="auto"/>
        </w:rPr>
        <w:t xml:space="preserve">Dividend Equivalent Rights. </w:t>
      </w:r>
      <w:r>
        <w:rPr>
          <w:rFonts w:ascii="Arial" w:cs="Arial" w:eastAsia="Arial" w:hAnsi="Arial"/>
          <w:sz w:val="16"/>
          <w:szCs w:val="16"/>
          <w:color w:val="auto"/>
        </w:rPr>
        <w:t>A dividend equivalent rights is an award entitling the grantee to receive credits based on cash distribution that would have</w:t>
      </w:r>
      <w:r>
        <w:rPr>
          <w:rFonts w:ascii="Arial" w:cs="Arial" w:eastAsia="Arial" w:hAnsi="Arial"/>
          <w:sz w:val="16"/>
          <w:szCs w:val="16"/>
          <w:b w:val="1"/>
          <w:bCs w:val="1"/>
          <w:color w:val="auto"/>
        </w:rPr>
        <w:t xml:space="preserve"> </w:t>
      </w:r>
      <w:r>
        <w:rPr>
          <w:rFonts w:ascii="Arial" w:cs="Arial" w:eastAsia="Arial" w:hAnsi="Arial"/>
          <w:sz w:val="16"/>
          <w:szCs w:val="16"/>
          <w:color w:val="auto"/>
        </w:rPr>
        <w:t>been paid on the shares of common stock specified in the dividend equivalent right (or such other award to which is relates). The Committee is authorized to grant dividend equivalents to a participant in connection with an award under the Amended 2020 Plan (other than options or SARs), or without regard to any other award. Dividend equivalents will entitle the participant to receive cash or common stock equal in value to dividends paid, or other periodic payments made, with respect to a specified number of shares of common stock. Dividend equivalents may be paid or distributed when accrued or at the end of any applicable vesting period, or will be deemed to have been reinvested in additional common stock or in awards under the Amended 2020 Plan, and will be subject to such risks of forfeiture as the Committee may specify. Dividend equivalent rights paid on awards subject to performance criteria will not vest unless such performance goals for such awards are achieved, and if such performance goals are not achieved, the payments made in connection with the dividend equivalent rights will be repaid to the Company. Grants of dividend equivalent rights are subject to the minimum vesting requirements.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-118745</wp:posOffset>
            </wp:positionV>
            <wp:extent cx="762635" cy="38608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62635" cy="38608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699516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00"/>
          </w:cols>
          <w:pgMar w:left="440" w:top="625" w:right="459" w:bottom="1440" w:gutter="0" w:footer="0" w:header="0"/>
        </w:sectPr>
      </w:pPr>
    </w:p>
    <w:bookmarkStart w:id="68" w:name="page69"/>
    <w:bookmarkEnd w:id="68"/>
    <w:p>
      <w:pPr>
        <w:jc w:val="both"/>
        <w:ind w:right="20"/>
        <w:spacing w:after="0" w:line="216" w:lineRule="auto"/>
        <w:rPr>
          <w:sz w:val="20"/>
          <w:szCs w:val="20"/>
          <w:color w:val="auto"/>
        </w:rPr>
      </w:pPr>
      <w:r>
        <w:rPr>
          <w:rFonts w:ascii="Arial" w:cs="Arial" w:eastAsia="Arial" w:hAnsi="Arial"/>
          <w:sz w:val="16"/>
          <w:szCs w:val="16"/>
          <w:b w:val="1"/>
          <w:bCs w:val="1"/>
          <w:color w:val="auto"/>
        </w:rPr>
        <w:t xml:space="preserve">Performance Units and Performance Shares. </w:t>
      </w:r>
      <w:r>
        <w:rPr>
          <w:rFonts w:ascii="Arial" w:cs="Arial" w:eastAsia="Arial" w:hAnsi="Arial"/>
          <w:sz w:val="16"/>
          <w:szCs w:val="16"/>
          <w:color w:val="auto"/>
        </w:rPr>
        <w:t>A performance share means a performance award denominated in shares of common stock, the value of</w:t>
      </w:r>
      <w:r>
        <w:rPr>
          <w:rFonts w:ascii="Arial" w:cs="Arial" w:eastAsia="Arial" w:hAnsi="Arial"/>
          <w:sz w:val="16"/>
          <w:szCs w:val="16"/>
          <w:b w:val="1"/>
          <w:bCs w:val="1"/>
          <w:color w:val="auto"/>
        </w:rPr>
        <w:t xml:space="preserve"> </w:t>
      </w:r>
      <w:r>
        <w:rPr>
          <w:rFonts w:ascii="Arial" w:cs="Arial" w:eastAsia="Arial" w:hAnsi="Arial"/>
          <w:sz w:val="16"/>
          <w:szCs w:val="16"/>
          <w:color w:val="auto"/>
        </w:rPr>
        <w:t>which is determined as a function of the extent to which corresponding performance criteria have been achieved. Performance units means a performance award denominated in a stock unit, the value of which is determined as a function of the extent to which corresponding performance criteria have been achieved. The Committee may award performance shares and performance units in such amounts and upon such terms as the Committee may determine. Each performance share will have an initial value that is equal to the fair market value of a share of common stock on the date of grant. Each award of performance units or performance shares will have an actual or target number of shares of common stock set by the Committee. The Committee may set performance goals in its discretion which, depending on the extent to which they are met, will determine the value or number of performance units or performance shares that will be paid out to a participant. The Committee may, in its sole discretion, pay earned performance units or performance shares in the form of cash or in shares of common stock (or a combination of both) equal to the value of the earned performance units or performance shares. Any shares of common stock issued based upon performance units or performance shares may be granted subject to any restrictions that the Committee deems appropriate. The Committee may provide for payment of dividends or dividend equivalents to the grantee in cash or additional shares, subject in all cases to deferral and payment on a contingent basis based on earning of the performance shares or units with respect to which the dividends or dividend equivalents are paid. Performance shares and performance units are subject to minimum vesting requirements.</w:t>
      </w:r>
    </w:p>
    <w:p>
      <w:pPr>
        <w:spacing w:after="0" w:line="115"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b w:val="1"/>
          <w:bCs w:val="1"/>
          <w:color w:val="auto"/>
        </w:rPr>
        <w:t xml:space="preserve">Unrestricted Stock. </w:t>
      </w:r>
      <w:r>
        <w:rPr>
          <w:rFonts w:ascii="Arial" w:cs="Arial" w:eastAsia="Arial" w:hAnsi="Arial"/>
          <w:sz w:val="16"/>
          <w:szCs w:val="16"/>
          <w:color w:val="auto"/>
        </w:rPr>
        <w:t>The Committee may award unrestricted stock, free of any restrictions such as vesting requirements, in such amounts and upon such</w:t>
      </w:r>
      <w:r>
        <w:rPr>
          <w:rFonts w:ascii="Arial" w:cs="Arial" w:eastAsia="Arial" w:hAnsi="Arial"/>
          <w:sz w:val="16"/>
          <w:szCs w:val="16"/>
          <w:b w:val="1"/>
          <w:bCs w:val="1"/>
          <w:color w:val="auto"/>
        </w:rPr>
        <w:t xml:space="preserve"> </w:t>
      </w:r>
      <w:r>
        <w:rPr>
          <w:rFonts w:ascii="Arial" w:cs="Arial" w:eastAsia="Arial" w:hAnsi="Arial"/>
          <w:sz w:val="16"/>
          <w:szCs w:val="16"/>
          <w:color w:val="auto"/>
        </w:rPr>
        <w:t>terms as the Committee may determine.</w:t>
      </w:r>
    </w:p>
    <w:p>
      <w:pPr>
        <w:spacing w:after="0" w:line="99" w:lineRule="exact"/>
        <w:rPr>
          <w:sz w:val="20"/>
          <w:szCs w:val="20"/>
          <w:color w:val="auto"/>
        </w:rPr>
      </w:pPr>
    </w:p>
    <w:p>
      <w:pPr>
        <w:spacing w:after="0"/>
        <w:rPr>
          <w:sz w:val="20"/>
          <w:szCs w:val="20"/>
          <w:color w:val="auto"/>
        </w:rPr>
      </w:pPr>
      <w:r>
        <w:rPr>
          <w:rFonts w:ascii="Arial" w:cs="Arial" w:eastAsia="Arial" w:hAnsi="Arial"/>
          <w:sz w:val="32"/>
          <w:szCs w:val="32"/>
          <w:b w:val="1"/>
          <w:bCs w:val="1"/>
          <w:color w:val="C8102E"/>
        </w:rPr>
        <w:t>Share Usage</w:t>
      </w:r>
    </w:p>
    <w:p>
      <w:pPr>
        <w:spacing w:after="0" w:line="20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We are committed to sound equity compensation practices because we recognize that equity compensation awards dilute stockholder equity. Our equity compensation practices are intended to be competitive and consistent with market practices, and we believe our historical share usage has been responsible and mindful of stockholder interests.</w:t>
      </w:r>
    </w:p>
    <w:p>
      <w:pPr>
        <w:spacing w:after="0" w:line="120" w:lineRule="exact"/>
        <w:rPr>
          <w:sz w:val="20"/>
          <w:szCs w:val="20"/>
          <w:color w:val="auto"/>
        </w:rPr>
      </w:pPr>
    </w:p>
    <w:p>
      <w:pPr>
        <w:jc w:val="both"/>
        <w:spacing w:after="0" w:line="238" w:lineRule="auto"/>
        <w:rPr>
          <w:sz w:val="20"/>
          <w:szCs w:val="20"/>
          <w:color w:val="auto"/>
        </w:rPr>
      </w:pPr>
      <w:r>
        <w:rPr>
          <w:rFonts w:ascii="Arial" w:cs="Arial" w:eastAsia="Arial" w:hAnsi="Arial"/>
          <w:sz w:val="15"/>
          <w:szCs w:val="15"/>
          <w:color w:val="auto"/>
        </w:rPr>
        <w:t>Set forth below is information regarding shares currently outstanding under the 2020 Plan and prior plans. The information set forth below is inclusive of the one-for-three reverse stock split of the Company’s common stock effected on April 4, 2022, as well as the adjustments made to preserve the aggregate intrinsic value of the outstanding awards following the spin-off of ESAB Corporation from the Company. The Company made its annual award grant to employees on March 9, 2026 and those awards are included in the data below. The 2020 Plan is the sole equity compensation plan under which future awards can be made.</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Selected Data as of March 10, 2026:</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7400" w:type="dxa"/>
            <w:vAlign w:val="bottom"/>
            <w:tcBorders>
              <w:top w:val="single" w:sz="8" w:color="auto"/>
              <w:bottom w:val="single" w:sz="8" w:color="EEEEEE"/>
            </w:tcBorders>
            <w:shd w:val="clear" w:color="auto" w:fill="EEEEEE"/>
          </w:tcPr>
          <w:p>
            <w:pPr>
              <w:ind w:left="140"/>
              <w:spacing w:after="0"/>
              <w:rPr>
                <w:sz w:val="20"/>
                <w:szCs w:val="20"/>
                <w:color w:val="auto"/>
              </w:rPr>
            </w:pPr>
            <w:r>
              <w:rPr>
                <w:rFonts w:ascii="Arial" w:cs="Arial" w:eastAsia="Arial" w:hAnsi="Arial"/>
                <w:sz w:val="16"/>
                <w:szCs w:val="16"/>
                <w:color w:val="auto"/>
              </w:rPr>
              <w:t>Stock options outstanding</w:t>
            </w:r>
          </w:p>
        </w:tc>
        <w:tc>
          <w:tcPr>
            <w:tcW w:w="3620" w:type="dxa"/>
            <w:vAlign w:val="bottom"/>
            <w:tcBorders>
              <w:top w:val="single" w:sz="8" w:color="auto"/>
              <w:bottom w:val="single" w:sz="8" w:color="EEEEEE"/>
            </w:tcBorders>
            <w:shd w:val="clear" w:color="auto" w:fill="EEEEEE"/>
          </w:tcPr>
          <w:p>
            <w:pPr>
              <w:jc w:val="center"/>
              <w:ind w:left="2239"/>
              <w:spacing w:after="0"/>
              <w:rPr>
                <w:sz w:val="20"/>
                <w:szCs w:val="20"/>
                <w:color w:val="auto"/>
              </w:rPr>
            </w:pPr>
            <w:r>
              <w:rPr>
                <w:rFonts w:ascii="Arial" w:cs="Arial" w:eastAsia="Arial" w:hAnsi="Arial"/>
                <w:sz w:val="16"/>
                <w:szCs w:val="16"/>
                <w:color w:val="auto"/>
              </w:rPr>
              <w:t>743,870</w:t>
            </w:r>
          </w:p>
        </w:tc>
      </w:tr>
      <w:tr>
        <w:trPr>
          <w:trHeight w:val="228"/>
        </w:trPr>
        <w:tc>
          <w:tcPr>
            <w:tcW w:w="7400" w:type="dxa"/>
            <w:vAlign w:val="bottom"/>
          </w:tcPr>
          <w:p>
            <w:pPr>
              <w:ind w:left="140"/>
              <w:spacing w:after="0"/>
              <w:rPr>
                <w:sz w:val="20"/>
                <w:szCs w:val="20"/>
                <w:color w:val="auto"/>
              </w:rPr>
            </w:pPr>
            <w:r>
              <w:rPr>
                <w:rFonts w:ascii="Arial" w:cs="Arial" w:eastAsia="Arial" w:hAnsi="Arial"/>
                <w:sz w:val="16"/>
                <w:szCs w:val="16"/>
                <w:color w:val="auto"/>
              </w:rPr>
              <w:t>Weighted average exercise price</w:t>
            </w:r>
          </w:p>
        </w:tc>
        <w:tc>
          <w:tcPr>
            <w:tcW w:w="3620" w:type="dxa"/>
            <w:vAlign w:val="bottom"/>
          </w:tcPr>
          <w:p>
            <w:pPr>
              <w:jc w:val="center"/>
              <w:ind w:left="2239"/>
              <w:spacing w:after="0"/>
              <w:rPr>
                <w:sz w:val="20"/>
                <w:szCs w:val="20"/>
                <w:color w:val="auto"/>
              </w:rPr>
            </w:pPr>
            <w:r>
              <w:rPr>
                <w:rFonts w:ascii="Arial" w:cs="Arial" w:eastAsia="Arial" w:hAnsi="Arial"/>
                <w:sz w:val="16"/>
                <w:szCs w:val="16"/>
                <w:color w:val="auto"/>
              </w:rPr>
              <w:t>$65.39</w:t>
            </w:r>
          </w:p>
        </w:tc>
      </w:tr>
      <w:tr>
        <w:trPr>
          <w:trHeight w:val="29"/>
        </w:trPr>
        <w:tc>
          <w:tcPr>
            <w:tcW w:w="7400" w:type="dxa"/>
            <w:vAlign w:val="bottom"/>
          </w:tcPr>
          <w:p>
            <w:pPr>
              <w:spacing w:after="0"/>
              <w:rPr>
                <w:sz w:val="2"/>
                <w:szCs w:val="2"/>
                <w:color w:val="auto"/>
              </w:rPr>
            </w:pPr>
          </w:p>
        </w:tc>
        <w:tc>
          <w:tcPr>
            <w:tcW w:w="3620" w:type="dxa"/>
            <w:vAlign w:val="bottom"/>
          </w:tcPr>
          <w:p>
            <w:pPr>
              <w:spacing w:after="0"/>
              <w:rPr>
                <w:sz w:val="2"/>
                <w:szCs w:val="2"/>
                <w:color w:val="auto"/>
              </w:rPr>
            </w:pPr>
          </w:p>
        </w:tc>
      </w:tr>
      <w:tr>
        <w:trPr>
          <w:trHeight w:val="237"/>
        </w:trPr>
        <w:tc>
          <w:tcPr>
            <w:tcW w:w="7400" w:type="dxa"/>
            <w:vAlign w:val="bottom"/>
            <w:tcBorders>
              <w:bottom w:val="single" w:sz="8" w:color="EEEEEE"/>
            </w:tcBorders>
            <w:shd w:val="clear" w:color="auto" w:fill="EEEEEE"/>
          </w:tcPr>
          <w:p>
            <w:pPr>
              <w:ind w:left="140"/>
              <w:spacing w:after="0"/>
              <w:rPr>
                <w:sz w:val="20"/>
                <w:szCs w:val="20"/>
                <w:color w:val="auto"/>
              </w:rPr>
            </w:pPr>
            <w:r>
              <w:rPr>
                <w:rFonts w:ascii="Arial" w:cs="Arial" w:eastAsia="Arial" w:hAnsi="Arial"/>
                <w:sz w:val="16"/>
                <w:szCs w:val="16"/>
                <w:color w:val="auto"/>
              </w:rPr>
              <w:t>Weighted average remaining contractual life</w:t>
            </w:r>
          </w:p>
        </w:tc>
        <w:tc>
          <w:tcPr>
            <w:tcW w:w="3620" w:type="dxa"/>
            <w:vAlign w:val="bottom"/>
            <w:tcBorders>
              <w:bottom w:val="single" w:sz="8" w:color="EEEEEE"/>
            </w:tcBorders>
            <w:shd w:val="clear" w:color="auto" w:fill="EEEEEE"/>
          </w:tcPr>
          <w:p>
            <w:pPr>
              <w:ind w:left="2600"/>
              <w:spacing w:after="0"/>
              <w:rPr>
                <w:sz w:val="20"/>
                <w:szCs w:val="20"/>
                <w:color w:val="auto"/>
              </w:rPr>
            </w:pPr>
            <w:r>
              <w:rPr>
                <w:rFonts w:ascii="Arial" w:cs="Arial" w:eastAsia="Arial" w:hAnsi="Arial"/>
                <w:sz w:val="16"/>
                <w:szCs w:val="16"/>
                <w:color w:val="auto"/>
              </w:rPr>
              <w:t>2.45 years</w:t>
            </w:r>
          </w:p>
        </w:tc>
      </w:tr>
      <w:tr>
        <w:trPr>
          <w:trHeight w:val="227"/>
        </w:trPr>
        <w:tc>
          <w:tcPr>
            <w:tcW w:w="7400" w:type="dxa"/>
            <w:vAlign w:val="bottom"/>
          </w:tcPr>
          <w:p>
            <w:pPr>
              <w:ind w:left="140"/>
              <w:spacing w:after="0"/>
              <w:rPr>
                <w:sz w:val="20"/>
                <w:szCs w:val="20"/>
                <w:color w:val="auto"/>
              </w:rPr>
            </w:pPr>
            <w:r>
              <w:rPr>
                <w:rFonts w:ascii="Arial" w:cs="Arial" w:eastAsia="Arial" w:hAnsi="Arial"/>
                <w:sz w:val="16"/>
                <w:szCs w:val="16"/>
                <w:color w:val="auto"/>
              </w:rPr>
              <w:t>Restricted stock units outstanding (unvested)</w:t>
            </w:r>
          </w:p>
        </w:tc>
        <w:tc>
          <w:tcPr>
            <w:tcW w:w="3620" w:type="dxa"/>
            <w:vAlign w:val="bottom"/>
          </w:tcPr>
          <w:p>
            <w:pPr>
              <w:jc w:val="center"/>
              <w:ind w:left="2259"/>
              <w:spacing w:after="0"/>
              <w:rPr>
                <w:sz w:val="20"/>
                <w:szCs w:val="20"/>
                <w:color w:val="auto"/>
              </w:rPr>
            </w:pPr>
            <w:r>
              <w:rPr>
                <w:rFonts w:ascii="Arial" w:cs="Arial" w:eastAsia="Arial" w:hAnsi="Arial"/>
                <w:sz w:val="16"/>
                <w:szCs w:val="16"/>
                <w:color w:val="auto"/>
              </w:rPr>
              <w:t>1,970,073</w:t>
            </w:r>
          </w:p>
        </w:tc>
      </w:tr>
      <w:tr>
        <w:trPr>
          <w:trHeight w:val="29"/>
        </w:trPr>
        <w:tc>
          <w:tcPr>
            <w:tcW w:w="7400" w:type="dxa"/>
            <w:vAlign w:val="bottom"/>
          </w:tcPr>
          <w:p>
            <w:pPr>
              <w:spacing w:after="0"/>
              <w:rPr>
                <w:sz w:val="2"/>
                <w:szCs w:val="2"/>
                <w:color w:val="auto"/>
              </w:rPr>
            </w:pPr>
          </w:p>
        </w:tc>
        <w:tc>
          <w:tcPr>
            <w:tcW w:w="3620" w:type="dxa"/>
            <w:vAlign w:val="bottom"/>
          </w:tcPr>
          <w:p>
            <w:pPr>
              <w:spacing w:after="0"/>
              <w:rPr>
                <w:sz w:val="2"/>
                <w:szCs w:val="2"/>
                <w:color w:val="auto"/>
              </w:rPr>
            </w:pPr>
          </w:p>
        </w:tc>
      </w:tr>
      <w:tr>
        <w:trPr>
          <w:trHeight w:val="236"/>
        </w:trPr>
        <w:tc>
          <w:tcPr>
            <w:tcW w:w="7400" w:type="dxa"/>
            <w:vAlign w:val="bottom"/>
            <w:tcBorders>
              <w:bottom w:val="single" w:sz="8" w:color="F2F2F2"/>
            </w:tcBorders>
            <w:shd w:val="clear" w:color="auto" w:fill="F2F2F2"/>
          </w:tcPr>
          <w:p>
            <w:pPr>
              <w:ind w:left="140"/>
              <w:spacing w:after="0"/>
              <w:rPr>
                <w:sz w:val="20"/>
                <w:szCs w:val="20"/>
                <w:color w:val="auto"/>
              </w:rPr>
            </w:pPr>
            <w:r>
              <w:rPr>
                <w:rFonts w:ascii="Arial" w:cs="Arial" w:eastAsia="Arial" w:hAnsi="Arial"/>
                <w:sz w:val="16"/>
                <w:szCs w:val="16"/>
                <w:color w:val="auto"/>
              </w:rPr>
              <w:t>Performance-based restricted stock units outstanding (unvested)</w:t>
            </w:r>
          </w:p>
        </w:tc>
        <w:tc>
          <w:tcPr>
            <w:tcW w:w="3620" w:type="dxa"/>
            <w:vAlign w:val="bottom"/>
            <w:tcBorders>
              <w:bottom w:val="single" w:sz="8" w:color="F2F2F2"/>
            </w:tcBorders>
            <w:shd w:val="clear" w:color="auto" w:fill="F2F2F2"/>
          </w:tcPr>
          <w:p>
            <w:pPr>
              <w:jc w:val="center"/>
              <w:ind w:left="2259"/>
              <w:spacing w:after="0"/>
              <w:rPr>
                <w:sz w:val="20"/>
                <w:szCs w:val="20"/>
                <w:color w:val="auto"/>
              </w:rPr>
            </w:pPr>
            <w:r>
              <w:rPr>
                <w:rFonts w:ascii="Arial" w:cs="Arial" w:eastAsia="Arial" w:hAnsi="Arial"/>
                <w:sz w:val="16"/>
                <w:szCs w:val="16"/>
                <w:color w:val="auto"/>
              </w:rPr>
              <w:t>1,558,056</w:t>
            </w:r>
          </w:p>
        </w:tc>
      </w:tr>
      <w:tr>
        <w:trPr>
          <w:trHeight w:val="228"/>
        </w:trPr>
        <w:tc>
          <w:tcPr>
            <w:tcW w:w="7400" w:type="dxa"/>
            <w:vAlign w:val="bottom"/>
          </w:tcPr>
          <w:p>
            <w:pPr>
              <w:ind w:left="140"/>
              <w:spacing w:after="0"/>
              <w:rPr>
                <w:sz w:val="20"/>
                <w:szCs w:val="20"/>
                <w:color w:val="auto"/>
              </w:rPr>
            </w:pPr>
            <w:r>
              <w:rPr>
                <w:rFonts w:ascii="Arial" w:cs="Arial" w:eastAsia="Arial" w:hAnsi="Arial"/>
                <w:sz w:val="16"/>
                <w:szCs w:val="16"/>
                <w:color w:val="auto"/>
              </w:rPr>
              <w:t>Shares remaining for grant under the 2020 Plan</w:t>
            </w:r>
          </w:p>
        </w:tc>
        <w:tc>
          <w:tcPr>
            <w:tcW w:w="3620" w:type="dxa"/>
            <w:vAlign w:val="bottom"/>
          </w:tcPr>
          <w:p>
            <w:pPr>
              <w:jc w:val="center"/>
              <w:ind w:left="2239"/>
              <w:spacing w:after="0"/>
              <w:rPr>
                <w:sz w:val="20"/>
                <w:szCs w:val="20"/>
                <w:color w:val="auto"/>
              </w:rPr>
            </w:pPr>
            <w:r>
              <w:rPr>
                <w:rFonts w:ascii="Arial" w:cs="Arial" w:eastAsia="Arial" w:hAnsi="Arial"/>
                <w:sz w:val="16"/>
                <w:szCs w:val="16"/>
                <w:color w:val="auto"/>
              </w:rPr>
              <w:t>0</w:t>
            </w:r>
          </w:p>
        </w:tc>
      </w:tr>
      <w:tr>
        <w:trPr>
          <w:trHeight w:val="36"/>
        </w:trPr>
        <w:tc>
          <w:tcPr>
            <w:tcW w:w="7400" w:type="dxa"/>
            <w:vAlign w:val="bottom"/>
            <w:tcBorders>
              <w:bottom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For purposes of evaluating our equity compensation program, stockholders may wish to consider two metrics: historical burn rate and overhang.</w:t>
      </w:r>
    </w:p>
    <w:p>
      <w:pPr>
        <w:spacing w:after="0" w:line="158" w:lineRule="exact"/>
        <w:rPr>
          <w:sz w:val="20"/>
          <w:szCs w:val="20"/>
          <w:color w:val="auto"/>
        </w:rPr>
      </w:pPr>
    </w:p>
    <w:p>
      <w:pPr>
        <w:jc w:val="both"/>
        <w:ind w:left="700" w:right="20" w:hanging="380"/>
        <w:spacing w:after="0" w:line="262" w:lineRule="auto"/>
        <w:tabs>
          <w:tab w:leader="none" w:pos="700" w:val="left"/>
        </w:tabs>
        <w:numPr>
          <w:ilvl w:val="0"/>
          <w:numId w:val="110"/>
        </w:numPr>
        <w:rPr>
          <w:rFonts w:ascii="Times New Roman" w:cs="Times New Roman" w:eastAsia="Times New Roman" w:hAnsi="Times New Roman"/>
          <w:sz w:val="14"/>
          <w:szCs w:val="14"/>
          <w:color w:val="auto"/>
        </w:rPr>
      </w:pPr>
      <w:r>
        <w:rPr>
          <w:rFonts w:ascii="Arial" w:cs="Arial" w:eastAsia="Arial" w:hAnsi="Arial"/>
          <w:sz w:val="14"/>
          <w:szCs w:val="14"/>
          <w:color w:val="auto"/>
        </w:rPr>
        <w:t>Historical burn rate: Our historical burn rate is equal to the number of shares subject to equity awards granted during a period, in proportion to the weighted average number of outstanding shares for such period. The following table sets forth information regarding historical equity awards granted during fiscal years 2025, 2024, 2023, 2022 and 2021, the corresponding burn rate for each fiscal year, and the five-year average burn rate for 2021 through 2025: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C8102E"/>
              </w:rPr>
              <w:t>2025</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C8102E"/>
              </w:rPr>
              <w:t>2024</w:t>
            </w:r>
          </w:p>
        </w:tc>
        <w:tc>
          <w:tcPr>
            <w:tcW w:w="112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C8102E"/>
              </w:rPr>
              <w:t>2023</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C8102E"/>
              </w:rPr>
              <w:t>2022</w:t>
            </w:r>
          </w:p>
        </w:tc>
        <w:tc>
          <w:tcPr>
            <w:tcW w:w="540" w:type="dxa"/>
            <w:vAlign w:val="bottom"/>
          </w:tcPr>
          <w:p>
            <w:pPr>
              <w:spacing w:after="0"/>
              <w:rPr>
                <w:sz w:val="14"/>
                <w:szCs w:val="14"/>
                <w:color w:val="auto"/>
              </w:rPr>
            </w:pPr>
          </w:p>
        </w:tc>
        <w:tc>
          <w:tcPr>
            <w:tcW w:w="4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C8102E"/>
              </w:rPr>
              <w:t>2021</w:t>
            </w:r>
          </w:p>
        </w:tc>
        <w:tc>
          <w:tcPr>
            <w:tcW w:w="0" w:type="dxa"/>
            <w:vAlign w:val="bottom"/>
          </w:tcPr>
          <w:p>
            <w:pPr>
              <w:spacing w:after="0"/>
              <w:rPr>
                <w:sz w:val="1"/>
                <w:szCs w:val="1"/>
                <w:color w:val="auto"/>
              </w:rPr>
            </w:pPr>
          </w:p>
        </w:tc>
      </w:tr>
      <w:tr>
        <w:trPr>
          <w:trHeight w:val="155"/>
        </w:trPr>
        <w:tc>
          <w:tcPr>
            <w:tcW w:w="5520" w:type="dxa"/>
            <w:vAlign w:val="bottom"/>
            <w:tcBorders>
              <w:top w:val="single" w:sz="8" w:color="EDEDEE"/>
            </w:tcBorders>
            <w:gridSpan w:val="2"/>
            <w:shd w:val="clear" w:color="auto" w:fill="EDEDEE"/>
          </w:tcPr>
          <w:p>
            <w:pPr>
              <w:spacing w:after="0" w:line="155" w:lineRule="exact"/>
              <w:rPr>
                <w:sz w:val="20"/>
                <w:szCs w:val="20"/>
                <w:color w:val="auto"/>
              </w:rPr>
            </w:pPr>
            <w:r>
              <w:rPr>
                <w:rFonts w:ascii="Arial" w:cs="Arial" w:eastAsia="Arial" w:hAnsi="Arial"/>
                <w:sz w:val="14"/>
                <w:szCs w:val="14"/>
                <w:color w:val="auto"/>
              </w:rPr>
              <w:t>Weighted average number of shares of common stock outstanding</w:t>
            </w:r>
          </w:p>
        </w:tc>
        <w:tc>
          <w:tcPr>
            <w:tcW w:w="880" w:type="dxa"/>
            <w:vAlign w:val="bottom"/>
            <w:tcBorders>
              <w:top w:val="single" w:sz="8" w:color="auto"/>
            </w:tcBorders>
            <w:shd w:val="clear" w:color="auto" w:fill="EDEDEE"/>
          </w:tcPr>
          <w:p>
            <w:pPr>
              <w:jc w:val="right"/>
              <w:spacing w:after="0" w:line="155" w:lineRule="exact"/>
              <w:rPr>
                <w:sz w:val="20"/>
                <w:szCs w:val="20"/>
                <w:color w:val="auto"/>
              </w:rPr>
            </w:pPr>
            <w:r>
              <w:rPr>
                <w:rFonts w:ascii="Arial" w:cs="Arial" w:eastAsia="Arial" w:hAnsi="Arial"/>
                <w:sz w:val="14"/>
                <w:szCs w:val="14"/>
                <w:color w:val="auto"/>
              </w:rPr>
              <w:t>57,068,626</w:t>
            </w:r>
          </w:p>
        </w:tc>
        <w:tc>
          <w:tcPr>
            <w:tcW w:w="240" w:type="dxa"/>
            <w:vAlign w:val="bottom"/>
            <w:tcBorders>
              <w:top w:val="single" w:sz="8" w:color="EDEDEE"/>
            </w:tcBorders>
            <w:shd w:val="clear" w:color="auto" w:fill="EDEDEE"/>
          </w:tcPr>
          <w:p>
            <w:pPr>
              <w:spacing w:after="0"/>
              <w:rPr>
                <w:sz w:val="13"/>
                <w:szCs w:val="13"/>
                <w:color w:val="auto"/>
              </w:rPr>
            </w:pPr>
          </w:p>
        </w:tc>
        <w:tc>
          <w:tcPr>
            <w:tcW w:w="880" w:type="dxa"/>
            <w:vAlign w:val="bottom"/>
            <w:tcBorders>
              <w:top w:val="single" w:sz="8" w:color="auto"/>
            </w:tcBorders>
            <w:shd w:val="clear" w:color="auto" w:fill="EDEDEE"/>
          </w:tcPr>
          <w:p>
            <w:pPr>
              <w:jc w:val="right"/>
              <w:spacing w:after="0" w:line="155" w:lineRule="exact"/>
              <w:rPr>
                <w:sz w:val="20"/>
                <w:szCs w:val="20"/>
                <w:color w:val="auto"/>
              </w:rPr>
            </w:pPr>
            <w:r>
              <w:rPr>
                <w:rFonts w:ascii="Arial" w:cs="Arial" w:eastAsia="Arial" w:hAnsi="Arial"/>
                <w:sz w:val="14"/>
                <w:szCs w:val="14"/>
                <w:color w:val="auto"/>
              </w:rPr>
              <w:t>55,280,647</w:t>
            </w:r>
          </w:p>
        </w:tc>
        <w:tc>
          <w:tcPr>
            <w:tcW w:w="240" w:type="dxa"/>
            <w:vAlign w:val="bottom"/>
            <w:tcBorders>
              <w:top w:val="single" w:sz="8" w:color="EDEDEE"/>
            </w:tcBorders>
            <w:shd w:val="clear" w:color="auto" w:fill="EDEDEE"/>
          </w:tcPr>
          <w:p>
            <w:pPr>
              <w:spacing w:after="0"/>
              <w:rPr>
                <w:sz w:val="13"/>
                <w:szCs w:val="13"/>
                <w:color w:val="auto"/>
              </w:rPr>
            </w:pPr>
          </w:p>
        </w:tc>
        <w:tc>
          <w:tcPr>
            <w:tcW w:w="880" w:type="dxa"/>
            <w:vAlign w:val="bottom"/>
            <w:tcBorders>
              <w:top w:val="single" w:sz="8" w:color="auto"/>
            </w:tcBorders>
            <w:shd w:val="clear" w:color="auto" w:fill="EDEDEE"/>
          </w:tcPr>
          <w:p>
            <w:pPr>
              <w:jc w:val="right"/>
              <w:spacing w:after="0" w:line="155" w:lineRule="exact"/>
              <w:rPr>
                <w:sz w:val="20"/>
                <w:szCs w:val="20"/>
                <w:color w:val="auto"/>
              </w:rPr>
            </w:pPr>
            <w:r>
              <w:rPr>
                <w:rFonts w:ascii="Arial" w:cs="Arial" w:eastAsia="Arial" w:hAnsi="Arial"/>
                <w:sz w:val="14"/>
                <w:szCs w:val="14"/>
                <w:color w:val="auto"/>
              </w:rPr>
              <w:t>54,494,823</w:t>
            </w:r>
          </w:p>
        </w:tc>
        <w:tc>
          <w:tcPr>
            <w:tcW w:w="240" w:type="dxa"/>
            <w:vAlign w:val="bottom"/>
            <w:tcBorders>
              <w:top w:val="single" w:sz="8" w:color="EDEDEE"/>
            </w:tcBorders>
            <w:shd w:val="clear" w:color="auto" w:fill="EDEDEE"/>
          </w:tcPr>
          <w:p>
            <w:pPr>
              <w:spacing w:after="0"/>
              <w:rPr>
                <w:sz w:val="13"/>
                <w:szCs w:val="13"/>
                <w:color w:val="auto"/>
              </w:rPr>
            </w:pPr>
          </w:p>
        </w:tc>
        <w:tc>
          <w:tcPr>
            <w:tcW w:w="880" w:type="dxa"/>
            <w:vAlign w:val="bottom"/>
            <w:tcBorders>
              <w:top w:val="single" w:sz="8" w:color="auto"/>
            </w:tcBorders>
            <w:shd w:val="clear" w:color="auto" w:fill="EDEDEE"/>
          </w:tcPr>
          <w:p>
            <w:pPr>
              <w:jc w:val="right"/>
              <w:spacing w:after="0" w:line="155" w:lineRule="exact"/>
              <w:rPr>
                <w:sz w:val="20"/>
                <w:szCs w:val="20"/>
                <w:color w:val="auto"/>
              </w:rPr>
            </w:pPr>
            <w:r>
              <w:rPr>
                <w:rFonts w:ascii="Arial" w:cs="Arial" w:eastAsia="Arial" w:hAnsi="Arial"/>
                <w:sz w:val="14"/>
                <w:szCs w:val="14"/>
                <w:color w:val="auto"/>
              </w:rPr>
              <w:t>54,065,420</w:t>
            </w:r>
          </w:p>
        </w:tc>
        <w:tc>
          <w:tcPr>
            <w:tcW w:w="240" w:type="dxa"/>
            <w:vAlign w:val="bottom"/>
            <w:tcBorders>
              <w:top w:val="single" w:sz="8" w:color="EDEDEE"/>
            </w:tcBorders>
            <w:shd w:val="clear" w:color="auto" w:fill="EDEDEE"/>
          </w:tcPr>
          <w:p>
            <w:pPr>
              <w:spacing w:after="0"/>
              <w:rPr>
                <w:sz w:val="13"/>
                <w:szCs w:val="13"/>
                <w:color w:val="auto"/>
              </w:rPr>
            </w:pPr>
          </w:p>
        </w:tc>
        <w:tc>
          <w:tcPr>
            <w:tcW w:w="880" w:type="dxa"/>
            <w:vAlign w:val="bottom"/>
            <w:tcBorders>
              <w:top w:val="single" w:sz="8" w:color="auto"/>
            </w:tcBorders>
            <w:gridSpan w:val="3"/>
            <w:shd w:val="clear" w:color="auto" w:fill="EDEDEE"/>
          </w:tcPr>
          <w:p>
            <w:pPr>
              <w:jc w:val="right"/>
              <w:spacing w:after="0" w:line="155" w:lineRule="exact"/>
              <w:rPr>
                <w:sz w:val="20"/>
                <w:szCs w:val="20"/>
                <w:color w:val="auto"/>
              </w:rPr>
            </w:pPr>
            <w:r>
              <w:rPr>
                <w:rFonts w:ascii="Arial" w:cs="Arial" w:eastAsia="Arial" w:hAnsi="Arial"/>
                <w:sz w:val="14"/>
                <w:szCs w:val="14"/>
                <w:color w:val="auto"/>
              </w:rPr>
              <w:t>51,141,210</w:t>
            </w:r>
          </w:p>
        </w:tc>
        <w:tc>
          <w:tcPr>
            <w:tcW w:w="140" w:type="dxa"/>
            <w:vAlign w:val="bottom"/>
            <w:tcBorders>
              <w:top w:val="single" w:sz="8" w:color="EDEDEE"/>
            </w:tcBorders>
            <w:shd w:val="clear" w:color="auto" w:fill="EDEDE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20" w:type="dxa"/>
            <w:vAlign w:val="bottom"/>
            <w:gridSpan w:val="2"/>
          </w:tcPr>
          <w:p>
            <w:pPr>
              <w:spacing w:after="0"/>
              <w:rPr>
                <w:sz w:val="20"/>
                <w:szCs w:val="20"/>
                <w:color w:val="auto"/>
              </w:rPr>
            </w:pPr>
            <w:r>
              <w:rPr>
                <w:rFonts w:ascii="Arial" w:cs="Arial" w:eastAsia="Arial" w:hAnsi="Arial"/>
                <w:sz w:val="14"/>
                <w:szCs w:val="14"/>
                <w:color w:val="auto"/>
              </w:rPr>
              <w:t>Number of options granted</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0</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0</w:t>
            </w:r>
          </w:p>
        </w:tc>
        <w:tc>
          <w:tcPr>
            <w:tcW w:w="1120" w:type="dxa"/>
            <w:vAlign w:val="bottom"/>
            <w:gridSpan w:val="2"/>
          </w:tcPr>
          <w:p>
            <w:pPr>
              <w:jc w:val="right"/>
              <w:ind w:right="150"/>
              <w:spacing w:after="0"/>
              <w:rPr>
                <w:sz w:val="20"/>
                <w:szCs w:val="20"/>
                <w:color w:val="auto"/>
              </w:rPr>
            </w:pPr>
            <w:r>
              <w:rPr>
                <w:rFonts w:ascii="Arial" w:cs="Arial" w:eastAsia="Arial" w:hAnsi="Arial"/>
                <w:sz w:val="14"/>
                <w:szCs w:val="14"/>
                <w:color w:val="auto"/>
              </w:rPr>
              <w:t>222,707</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154,552</w:t>
            </w:r>
          </w:p>
        </w:tc>
        <w:tc>
          <w:tcPr>
            <w:tcW w:w="1020" w:type="dxa"/>
            <w:vAlign w:val="bottom"/>
            <w:gridSpan w:val="4"/>
          </w:tcPr>
          <w:p>
            <w:pPr>
              <w:jc w:val="right"/>
              <w:ind w:right="140"/>
              <w:spacing w:after="0"/>
              <w:rPr>
                <w:sz w:val="20"/>
                <w:szCs w:val="20"/>
                <w:color w:val="auto"/>
              </w:rPr>
            </w:pPr>
            <w:r>
              <w:rPr>
                <w:rFonts w:ascii="Arial" w:cs="Arial" w:eastAsia="Arial" w:hAnsi="Arial"/>
                <w:sz w:val="14"/>
                <w:szCs w:val="14"/>
                <w:color w:val="auto"/>
              </w:rPr>
              <w:t>282,119</w:t>
            </w:r>
          </w:p>
        </w:tc>
        <w:tc>
          <w:tcPr>
            <w:tcW w:w="0" w:type="dxa"/>
            <w:vAlign w:val="bottom"/>
          </w:tcPr>
          <w:p>
            <w:pPr>
              <w:spacing w:after="0"/>
              <w:rPr>
                <w:sz w:val="1"/>
                <w:szCs w:val="1"/>
                <w:color w:val="auto"/>
              </w:rPr>
            </w:pPr>
          </w:p>
        </w:tc>
      </w:tr>
      <w:tr>
        <w:trPr>
          <w:trHeight w:val="162"/>
        </w:trPr>
        <w:tc>
          <w:tcPr>
            <w:tcW w:w="5520" w:type="dxa"/>
            <w:vAlign w:val="bottom"/>
            <w:gridSpan w:val="2"/>
            <w:shd w:val="clear" w:color="auto" w:fill="EDEDEE"/>
          </w:tcPr>
          <w:p>
            <w:pPr>
              <w:spacing w:after="0"/>
              <w:rPr>
                <w:sz w:val="20"/>
                <w:szCs w:val="20"/>
                <w:color w:val="auto"/>
              </w:rPr>
            </w:pPr>
            <w:r>
              <w:rPr>
                <w:rFonts w:ascii="Arial" w:cs="Arial" w:eastAsia="Arial" w:hAnsi="Arial"/>
                <w:sz w:val="14"/>
                <w:szCs w:val="14"/>
                <w:color w:val="auto"/>
              </w:rPr>
              <w:t>Number of restricted stock units granted</w:t>
            </w:r>
          </w:p>
        </w:tc>
        <w:tc>
          <w:tcPr>
            <w:tcW w:w="1120" w:type="dxa"/>
            <w:vAlign w:val="bottom"/>
            <w:gridSpan w:val="2"/>
            <w:shd w:val="clear" w:color="auto" w:fill="EDEDEE"/>
          </w:tcPr>
          <w:p>
            <w:pPr>
              <w:jc w:val="right"/>
              <w:ind w:right="240"/>
              <w:spacing w:after="0"/>
              <w:rPr>
                <w:sz w:val="20"/>
                <w:szCs w:val="20"/>
                <w:color w:val="auto"/>
              </w:rPr>
            </w:pPr>
            <w:r>
              <w:rPr>
                <w:rFonts w:ascii="Arial" w:cs="Arial" w:eastAsia="Arial" w:hAnsi="Arial"/>
                <w:sz w:val="14"/>
                <w:szCs w:val="14"/>
                <w:color w:val="auto"/>
              </w:rPr>
              <w:t>906,264</w:t>
            </w:r>
          </w:p>
        </w:tc>
        <w:tc>
          <w:tcPr>
            <w:tcW w:w="1120" w:type="dxa"/>
            <w:vAlign w:val="bottom"/>
            <w:gridSpan w:val="2"/>
            <w:shd w:val="clear" w:color="auto" w:fill="EDEDEE"/>
          </w:tcPr>
          <w:p>
            <w:pPr>
              <w:jc w:val="right"/>
              <w:ind w:right="240"/>
              <w:spacing w:after="0"/>
              <w:rPr>
                <w:sz w:val="20"/>
                <w:szCs w:val="20"/>
                <w:color w:val="auto"/>
              </w:rPr>
            </w:pPr>
            <w:r>
              <w:rPr>
                <w:rFonts w:ascii="Arial" w:cs="Arial" w:eastAsia="Arial" w:hAnsi="Arial"/>
                <w:sz w:val="14"/>
                <w:szCs w:val="14"/>
                <w:color w:val="auto"/>
              </w:rPr>
              <w:t>436,100</w:t>
            </w:r>
          </w:p>
        </w:tc>
        <w:tc>
          <w:tcPr>
            <w:tcW w:w="1120" w:type="dxa"/>
            <w:vAlign w:val="bottom"/>
            <w:gridSpan w:val="2"/>
            <w:shd w:val="clear" w:color="auto" w:fill="EDEDEE"/>
          </w:tcPr>
          <w:p>
            <w:pPr>
              <w:jc w:val="right"/>
              <w:ind w:right="150"/>
              <w:spacing w:after="0"/>
              <w:rPr>
                <w:sz w:val="20"/>
                <w:szCs w:val="20"/>
                <w:color w:val="auto"/>
              </w:rPr>
            </w:pPr>
            <w:r>
              <w:rPr>
                <w:rFonts w:ascii="Arial" w:cs="Arial" w:eastAsia="Arial" w:hAnsi="Arial"/>
                <w:sz w:val="14"/>
                <w:szCs w:val="14"/>
                <w:color w:val="auto"/>
              </w:rPr>
              <w:t>303,350</w:t>
            </w:r>
          </w:p>
        </w:tc>
        <w:tc>
          <w:tcPr>
            <w:tcW w:w="1120" w:type="dxa"/>
            <w:vAlign w:val="bottom"/>
            <w:gridSpan w:val="2"/>
            <w:shd w:val="clear" w:color="auto" w:fill="EDEDEE"/>
          </w:tcPr>
          <w:p>
            <w:pPr>
              <w:jc w:val="right"/>
              <w:ind w:right="240"/>
              <w:spacing w:after="0"/>
              <w:rPr>
                <w:sz w:val="20"/>
                <w:szCs w:val="20"/>
                <w:color w:val="auto"/>
              </w:rPr>
            </w:pPr>
            <w:r>
              <w:rPr>
                <w:rFonts w:ascii="Arial" w:cs="Arial" w:eastAsia="Arial" w:hAnsi="Arial"/>
                <w:sz w:val="14"/>
                <w:szCs w:val="14"/>
                <w:color w:val="auto"/>
              </w:rPr>
              <w:t>306,130</w:t>
            </w:r>
          </w:p>
        </w:tc>
        <w:tc>
          <w:tcPr>
            <w:tcW w:w="1020" w:type="dxa"/>
            <w:vAlign w:val="bottom"/>
            <w:gridSpan w:val="4"/>
            <w:shd w:val="clear" w:color="auto" w:fill="EDEDEE"/>
          </w:tcPr>
          <w:p>
            <w:pPr>
              <w:jc w:val="right"/>
              <w:ind w:right="140"/>
              <w:spacing w:after="0"/>
              <w:rPr>
                <w:sz w:val="20"/>
                <w:szCs w:val="20"/>
                <w:color w:val="auto"/>
              </w:rPr>
            </w:pPr>
            <w:r>
              <w:rPr>
                <w:rFonts w:ascii="Arial" w:cs="Arial" w:eastAsia="Arial" w:hAnsi="Arial"/>
                <w:sz w:val="14"/>
                <w:szCs w:val="14"/>
                <w:color w:val="auto"/>
              </w:rPr>
              <w:t>377,545</w:t>
            </w:r>
          </w:p>
        </w:tc>
        <w:tc>
          <w:tcPr>
            <w:tcW w:w="0" w:type="dxa"/>
            <w:vAlign w:val="bottom"/>
          </w:tcPr>
          <w:p>
            <w:pPr>
              <w:spacing w:after="0"/>
              <w:rPr>
                <w:sz w:val="1"/>
                <w:szCs w:val="1"/>
                <w:color w:val="auto"/>
              </w:rPr>
            </w:pPr>
          </w:p>
        </w:tc>
      </w:tr>
      <w:tr>
        <w:trPr>
          <w:trHeight w:val="162"/>
        </w:trPr>
        <w:tc>
          <w:tcPr>
            <w:tcW w:w="5520" w:type="dxa"/>
            <w:vAlign w:val="bottom"/>
            <w:gridSpan w:val="2"/>
          </w:tcPr>
          <w:p>
            <w:pPr>
              <w:spacing w:after="0"/>
              <w:rPr>
                <w:sz w:val="20"/>
                <w:szCs w:val="20"/>
                <w:color w:val="auto"/>
              </w:rPr>
            </w:pPr>
            <w:r>
              <w:rPr>
                <w:rFonts w:ascii="Arial" w:cs="Arial" w:eastAsia="Arial" w:hAnsi="Arial"/>
                <w:sz w:val="14"/>
                <w:szCs w:val="14"/>
                <w:color w:val="auto"/>
              </w:rPr>
              <w:t>Number of performance-based restricted stock units granted</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585,424</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254,626</w:t>
            </w:r>
          </w:p>
        </w:tc>
        <w:tc>
          <w:tcPr>
            <w:tcW w:w="1120" w:type="dxa"/>
            <w:vAlign w:val="bottom"/>
            <w:gridSpan w:val="2"/>
          </w:tcPr>
          <w:p>
            <w:pPr>
              <w:jc w:val="right"/>
              <w:ind w:right="150"/>
              <w:spacing w:after="0"/>
              <w:rPr>
                <w:sz w:val="20"/>
                <w:szCs w:val="20"/>
                <w:color w:val="auto"/>
              </w:rPr>
            </w:pPr>
            <w:r>
              <w:rPr>
                <w:rFonts w:ascii="Arial" w:cs="Arial" w:eastAsia="Arial" w:hAnsi="Arial"/>
                <w:sz w:val="14"/>
                <w:szCs w:val="14"/>
                <w:color w:val="auto"/>
              </w:rPr>
              <w:t>242,704</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95,847</w:t>
            </w:r>
          </w:p>
        </w:tc>
        <w:tc>
          <w:tcPr>
            <w:tcW w:w="1020" w:type="dxa"/>
            <w:vAlign w:val="bottom"/>
            <w:gridSpan w:val="4"/>
          </w:tcPr>
          <w:p>
            <w:pPr>
              <w:jc w:val="right"/>
              <w:ind w:right="140"/>
              <w:spacing w:after="0"/>
              <w:rPr>
                <w:sz w:val="20"/>
                <w:szCs w:val="20"/>
                <w:color w:val="auto"/>
              </w:rPr>
            </w:pPr>
            <w:r>
              <w:rPr>
                <w:rFonts w:ascii="Arial" w:cs="Arial" w:eastAsia="Arial" w:hAnsi="Arial"/>
                <w:sz w:val="14"/>
                <w:szCs w:val="14"/>
                <w:color w:val="auto"/>
              </w:rPr>
              <w:t>96,052</w:t>
            </w:r>
          </w:p>
        </w:tc>
        <w:tc>
          <w:tcPr>
            <w:tcW w:w="0" w:type="dxa"/>
            <w:vAlign w:val="bottom"/>
          </w:tcPr>
          <w:p>
            <w:pPr>
              <w:spacing w:after="0"/>
              <w:rPr>
                <w:sz w:val="1"/>
                <w:szCs w:val="1"/>
                <w:color w:val="auto"/>
              </w:rPr>
            </w:pPr>
          </w:p>
        </w:tc>
      </w:tr>
      <w:tr>
        <w:trPr>
          <w:trHeight w:val="162"/>
        </w:trPr>
        <w:tc>
          <w:tcPr>
            <w:tcW w:w="5520" w:type="dxa"/>
            <w:vAlign w:val="bottom"/>
            <w:gridSpan w:val="2"/>
            <w:shd w:val="clear" w:color="auto" w:fill="EDEDEE"/>
          </w:tcPr>
          <w:p>
            <w:pPr>
              <w:spacing w:after="0"/>
              <w:rPr>
                <w:sz w:val="20"/>
                <w:szCs w:val="20"/>
                <w:color w:val="auto"/>
              </w:rPr>
            </w:pPr>
            <w:r>
              <w:rPr>
                <w:rFonts w:ascii="Arial" w:cs="Arial" w:eastAsia="Arial" w:hAnsi="Arial"/>
                <w:sz w:val="14"/>
                <w:szCs w:val="14"/>
                <w:color w:val="auto"/>
              </w:rPr>
              <w:t>Number of performance-based restricted stock units earned and vested</w:t>
            </w:r>
          </w:p>
        </w:tc>
        <w:tc>
          <w:tcPr>
            <w:tcW w:w="1120" w:type="dxa"/>
            <w:vAlign w:val="bottom"/>
            <w:gridSpan w:val="2"/>
            <w:shd w:val="clear" w:color="auto" w:fill="EDEDEE"/>
          </w:tcPr>
          <w:p>
            <w:pPr>
              <w:jc w:val="right"/>
              <w:ind w:right="240"/>
              <w:spacing w:after="0"/>
              <w:rPr>
                <w:sz w:val="20"/>
                <w:szCs w:val="20"/>
                <w:color w:val="auto"/>
              </w:rPr>
            </w:pPr>
            <w:r>
              <w:rPr>
                <w:rFonts w:ascii="Arial" w:cs="Arial" w:eastAsia="Arial" w:hAnsi="Arial"/>
                <w:sz w:val="14"/>
                <w:szCs w:val="14"/>
                <w:color w:val="auto"/>
              </w:rPr>
              <w:t>95,847</w:t>
            </w:r>
          </w:p>
        </w:tc>
        <w:tc>
          <w:tcPr>
            <w:tcW w:w="1120" w:type="dxa"/>
            <w:vAlign w:val="bottom"/>
            <w:gridSpan w:val="2"/>
            <w:shd w:val="clear" w:color="auto" w:fill="EDEDEE"/>
          </w:tcPr>
          <w:p>
            <w:pPr>
              <w:jc w:val="right"/>
              <w:ind w:right="240"/>
              <w:spacing w:after="0"/>
              <w:rPr>
                <w:sz w:val="20"/>
                <w:szCs w:val="20"/>
                <w:color w:val="auto"/>
              </w:rPr>
            </w:pPr>
            <w:r>
              <w:rPr>
                <w:rFonts w:ascii="Arial" w:cs="Arial" w:eastAsia="Arial" w:hAnsi="Arial"/>
                <w:sz w:val="14"/>
                <w:szCs w:val="14"/>
                <w:color w:val="auto"/>
              </w:rPr>
              <w:t>96,052</w:t>
            </w:r>
          </w:p>
        </w:tc>
        <w:tc>
          <w:tcPr>
            <w:tcW w:w="1120" w:type="dxa"/>
            <w:vAlign w:val="bottom"/>
            <w:gridSpan w:val="2"/>
            <w:shd w:val="clear" w:color="auto" w:fill="EDEDEE"/>
          </w:tcPr>
          <w:p>
            <w:pPr>
              <w:jc w:val="right"/>
              <w:ind w:right="150"/>
              <w:spacing w:after="0"/>
              <w:rPr>
                <w:sz w:val="20"/>
                <w:szCs w:val="20"/>
                <w:color w:val="auto"/>
              </w:rPr>
            </w:pPr>
            <w:r>
              <w:rPr>
                <w:rFonts w:ascii="Arial" w:cs="Arial" w:eastAsia="Arial" w:hAnsi="Arial"/>
                <w:sz w:val="14"/>
                <w:szCs w:val="14"/>
                <w:color w:val="auto"/>
              </w:rPr>
              <w:t>0</w:t>
            </w:r>
          </w:p>
        </w:tc>
        <w:tc>
          <w:tcPr>
            <w:tcW w:w="1120" w:type="dxa"/>
            <w:vAlign w:val="bottom"/>
            <w:gridSpan w:val="2"/>
            <w:shd w:val="clear" w:color="auto" w:fill="EDEDEE"/>
          </w:tcPr>
          <w:p>
            <w:pPr>
              <w:jc w:val="right"/>
              <w:ind w:right="240"/>
              <w:spacing w:after="0"/>
              <w:rPr>
                <w:sz w:val="20"/>
                <w:szCs w:val="20"/>
                <w:color w:val="auto"/>
              </w:rPr>
            </w:pPr>
            <w:r>
              <w:rPr>
                <w:rFonts w:ascii="Arial" w:cs="Arial" w:eastAsia="Arial" w:hAnsi="Arial"/>
                <w:sz w:val="14"/>
                <w:szCs w:val="14"/>
                <w:color w:val="auto"/>
              </w:rPr>
              <w:t>0</w:t>
            </w:r>
          </w:p>
        </w:tc>
        <w:tc>
          <w:tcPr>
            <w:tcW w:w="1020" w:type="dxa"/>
            <w:vAlign w:val="bottom"/>
            <w:gridSpan w:val="4"/>
            <w:shd w:val="clear" w:color="auto" w:fill="EDEDEE"/>
          </w:tcPr>
          <w:p>
            <w:pPr>
              <w:jc w:val="right"/>
              <w:ind w:right="140"/>
              <w:spacing w:after="0"/>
              <w:rPr>
                <w:sz w:val="20"/>
                <w:szCs w:val="20"/>
                <w:color w:val="auto"/>
              </w:rPr>
            </w:pPr>
            <w:r>
              <w:rPr>
                <w:rFonts w:ascii="Arial" w:cs="Arial" w:eastAsia="Arial" w:hAnsi="Arial"/>
                <w:sz w:val="14"/>
                <w:szCs w:val="14"/>
                <w:color w:val="auto"/>
              </w:rPr>
              <w:t>96,052</w:t>
            </w:r>
          </w:p>
        </w:tc>
        <w:tc>
          <w:tcPr>
            <w:tcW w:w="0" w:type="dxa"/>
            <w:vAlign w:val="bottom"/>
          </w:tcPr>
          <w:p>
            <w:pPr>
              <w:spacing w:after="0"/>
              <w:rPr>
                <w:sz w:val="1"/>
                <w:szCs w:val="1"/>
                <w:color w:val="auto"/>
              </w:rPr>
            </w:pPr>
          </w:p>
        </w:tc>
      </w:tr>
      <w:tr>
        <w:trPr>
          <w:trHeight w:val="162"/>
        </w:trPr>
        <w:tc>
          <w:tcPr>
            <w:tcW w:w="5520" w:type="dxa"/>
            <w:vAlign w:val="bottom"/>
            <w:gridSpan w:val="2"/>
          </w:tcPr>
          <w:p>
            <w:pPr>
              <w:spacing w:after="0"/>
              <w:rPr>
                <w:sz w:val="20"/>
                <w:szCs w:val="20"/>
                <w:color w:val="auto"/>
              </w:rPr>
            </w:pPr>
            <w:r>
              <w:rPr>
                <w:rFonts w:ascii="Arial" w:cs="Arial" w:eastAsia="Arial" w:hAnsi="Arial"/>
                <w:sz w:val="14"/>
                <w:szCs w:val="14"/>
                <w:color w:val="auto"/>
              </w:rPr>
              <w:t>Annual burn rate</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2.78%</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1.83%</w:t>
            </w:r>
          </w:p>
        </w:tc>
        <w:tc>
          <w:tcPr>
            <w:tcW w:w="1120" w:type="dxa"/>
            <w:vAlign w:val="bottom"/>
            <w:gridSpan w:val="2"/>
          </w:tcPr>
          <w:p>
            <w:pPr>
              <w:jc w:val="right"/>
              <w:ind w:right="30"/>
              <w:spacing w:after="0"/>
              <w:rPr>
                <w:sz w:val="20"/>
                <w:szCs w:val="20"/>
                <w:color w:val="auto"/>
              </w:rPr>
            </w:pPr>
            <w:r>
              <w:rPr>
                <w:rFonts w:ascii="Arial" w:cs="Arial" w:eastAsia="Arial" w:hAnsi="Arial"/>
                <w:sz w:val="14"/>
                <w:szCs w:val="14"/>
                <w:color w:val="auto"/>
              </w:rPr>
              <w:t>1.41%</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1.03%</w:t>
            </w:r>
          </w:p>
        </w:tc>
        <w:tc>
          <w:tcPr>
            <w:tcW w:w="540" w:type="dxa"/>
            <w:vAlign w:val="bottom"/>
          </w:tcPr>
          <w:p>
            <w:pPr>
              <w:spacing w:after="0"/>
              <w:rPr>
                <w:sz w:val="14"/>
                <w:szCs w:val="14"/>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75"/>
        </w:trPr>
        <w:tc>
          <w:tcPr>
            <w:tcW w:w="5400" w:type="dxa"/>
            <w:vAlign w:val="bottom"/>
            <w:shd w:val="clear" w:color="auto" w:fill="EDEDEE"/>
          </w:tcPr>
          <w:p>
            <w:pPr>
              <w:spacing w:after="0"/>
              <w:rPr>
                <w:sz w:val="20"/>
                <w:szCs w:val="20"/>
                <w:color w:val="auto"/>
              </w:rPr>
            </w:pPr>
            <w:r>
              <w:rPr>
                <w:rFonts w:ascii="Arial" w:cs="Arial" w:eastAsia="Arial" w:hAnsi="Arial"/>
                <w:sz w:val="14"/>
                <w:szCs w:val="14"/>
                <w:color w:val="auto"/>
              </w:rPr>
              <w:t>Five-year average burn rate</w:t>
            </w:r>
          </w:p>
        </w:tc>
        <w:tc>
          <w:tcPr>
            <w:tcW w:w="120" w:type="dxa"/>
            <w:vAlign w:val="bottom"/>
            <w:shd w:val="clear" w:color="auto" w:fill="EDEDEE"/>
          </w:tcPr>
          <w:p>
            <w:pPr>
              <w:spacing w:after="0"/>
              <w:rPr>
                <w:sz w:val="15"/>
                <w:szCs w:val="15"/>
                <w:color w:val="auto"/>
              </w:rPr>
            </w:pPr>
          </w:p>
        </w:tc>
        <w:tc>
          <w:tcPr>
            <w:tcW w:w="1120" w:type="dxa"/>
            <w:vAlign w:val="bottom"/>
            <w:gridSpan w:val="2"/>
            <w:shd w:val="clear" w:color="auto" w:fill="EDEDEE"/>
          </w:tcPr>
          <w:p>
            <w:pPr>
              <w:jc w:val="right"/>
              <w:ind w:right="120"/>
              <w:spacing w:after="0"/>
              <w:rPr>
                <w:sz w:val="20"/>
                <w:szCs w:val="20"/>
                <w:color w:val="auto"/>
              </w:rPr>
            </w:pPr>
            <w:r>
              <w:rPr>
                <w:rFonts w:ascii="Arial" w:cs="Arial" w:eastAsia="Arial" w:hAnsi="Arial"/>
                <w:sz w:val="14"/>
                <w:szCs w:val="14"/>
                <w:color w:val="auto"/>
              </w:rPr>
              <w:t>1.71%</w:t>
            </w:r>
          </w:p>
        </w:tc>
        <w:tc>
          <w:tcPr>
            <w:tcW w:w="1120" w:type="dxa"/>
            <w:vAlign w:val="bottom"/>
            <w:gridSpan w:val="2"/>
            <w:shd w:val="clear" w:color="auto" w:fill="EDEDEE"/>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EDEDEE"/>
          </w:tcPr>
          <w:p>
            <w:pPr>
              <w:jc w:val="right"/>
              <w:ind w:right="15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EDEDEE"/>
          </w:tcPr>
          <w:p>
            <w:pPr>
              <w:jc w:val="right"/>
              <w:ind w:right="120"/>
              <w:spacing w:after="0"/>
              <w:rPr>
                <w:sz w:val="20"/>
                <w:szCs w:val="20"/>
                <w:color w:val="auto"/>
              </w:rPr>
            </w:pPr>
            <w:r>
              <w:rPr>
                <w:rFonts w:ascii="Arial" w:cs="Arial" w:eastAsia="Arial" w:hAnsi="Arial"/>
                <w:sz w:val="14"/>
                <w:szCs w:val="14"/>
                <w:color w:val="auto"/>
              </w:rPr>
              <w:t>1.31%</w:t>
            </w:r>
          </w:p>
        </w:tc>
        <w:tc>
          <w:tcPr>
            <w:tcW w:w="540" w:type="dxa"/>
            <w:vAlign w:val="bottom"/>
            <w:shd w:val="clear" w:color="auto" w:fill="EDEDEE"/>
          </w:tcPr>
          <w:p>
            <w:pPr>
              <w:spacing w:after="0"/>
              <w:rPr>
                <w:sz w:val="15"/>
                <w:szCs w:val="15"/>
                <w:color w:val="auto"/>
              </w:rPr>
            </w:pPr>
          </w:p>
        </w:tc>
        <w:tc>
          <w:tcPr>
            <w:tcW w:w="120" w:type="dxa"/>
            <w:vAlign w:val="bottom"/>
            <w:tcBorders>
              <w:right w:val="single" w:sz="8" w:color="EDEDEE"/>
            </w:tcBorders>
            <w:shd w:val="clear" w:color="auto" w:fill="EDEDEE"/>
          </w:tcPr>
          <w:p>
            <w:pPr>
              <w:spacing w:after="0"/>
              <w:rPr>
                <w:sz w:val="15"/>
                <w:szCs w:val="15"/>
                <w:color w:val="auto"/>
              </w:rPr>
            </w:pPr>
          </w:p>
        </w:tc>
        <w:tc>
          <w:tcPr>
            <w:tcW w:w="360" w:type="dxa"/>
            <w:vAlign w:val="bottom"/>
            <w:gridSpan w:val="2"/>
            <w:shd w:val="clear" w:color="auto" w:fill="EDEDEE"/>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900" w:type="dxa"/>
            <w:vAlign w:val="bottom"/>
            <w:gridSpan w:val="4"/>
            <w:vMerge w:val="restart"/>
          </w:tcPr>
          <w:p>
            <w:pPr>
              <w:spacing w:after="0"/>
              <w:rPr>
                <w:sz w:val="20"/>
                <w:szCs w:val="20"/>
                <w:color w:val="auto"/>
              </w:rPr>
            </w:pPr>
            <w:r>
              <w:rPr>
                <w:rFonts w:ascii="Arial" w:cs="Arial" w:eastAsia="Arial" w:hAnsi="Arial"/>
                <w:sz w:val="18"/>
                <w:szCs w:val="18"/>
                <w:color w:val="auto"/>
                <w:w w:val="99"/>
              </w:rPr>
              <w:t>- 2026 Proxy Statement</w:t>
            </w:r>
          </w:p>
        </w:tc>
        <w:tc>
          <w:tcPr>
            <w:tcW w:w="4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15"/>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900" w:type="dxa"/>
            <w:vAlign w:val="bottom"/>
            <w:gridSpan w:val="4"/>
            <w:vMerge w:val="continue"/>
          </w:tcPr>
          <w:p>
            <w:pPr>
              <w:spacing w:after="0"/>
              <w:rPr>
                <w:sz w:val="24"/>
                <w:szCs w:val="24"/>
                <w:color w:val="auto"/>
              </w:rPr>
            </w:pPr>
          </w:p>
        </w:tc>
        <w:tc>
          <w:tcPr>
            <w:tcW w:w="120" w:type="dxa"/>
            <w:vAlign w:val="bottom"/>
            <w:tcBorders>
              <w:right w:val="single" w:sz="8" w:color="FF0000"/>
            </w:tcBorders>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85"/>
        </w:trPr>
        <w:tc>
          <w:tcPr>
            <w:tcW w:w="5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right w:val="single" w:sz="8" w:color="FF0000"/>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4772025</wp:posOffset>
            </wp:positionH>
            <wp:positionV relativeFrom="paragraph">
              <wp:posOffset>-325120</wp:posOffset>
            </wp:positionV>
            <wp:extent cx="685800" cy="16319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0" cy="163195"/>
                    </a:xfrm>
                    <a:prstGeom prst="rect">
                      <a:avLst/>
                    </a:prstGeom>
                    <a:noFill/>
                  </pic:spPr>
                </pic:pic>
              </a:graphicData>
            </a:graphic>
          </wp:anchor>
        </w:drawing>
      </w:r>
    </w:p>
    <w:p>
      <w:pPr>
        <w:sectPr>
          <w:pgSz w:w="11900" w:h="16838" w:orient="portrait"/>
          <w:cols w:equalWidth="0" w:num="1">
            <w:col w:w="11020"/>
          </w:cols>
          <w:pgMar w:left="440" w:top="625" w:right="439" w:bottom="1440" w:gutter="0" w:footer="0" w:header="0"/>
        </w:sectPr>
      </w:pPr>
    </w:p>
    <w:bookmarkStart w:id="69" w:name="page70"/>
    <w:bookmarkEnd w:id="69"/>
    <w:p>
      <w:pPr>
        <w:jc w:val="both"/>
        <w:ind w:left="640" w:right="20" w:hanging="320"/>
        <w:spacing w:after="0" w:line="233" w:lineRule="auto"/>
        <w:tabs>
          <w:tab w:leader="none" w:pos="640" w:val="left"/>
        </w:tabs>
        <w:numPr>
          <w:ilvl w:val="0"/>
          <w:numId w:val="111"/>
        </w:numPr>
        <w:rPr>
          <w:rFonts w:ascii="Times New Roman" w:cs="Times New Roman" w:eastAsia="Times New Roman" w:hAnsi="Times New Roman"/>
          <w:sz w:val="16"/>
          <w:szCs w:val="16"/>
          <w:color w:val="auto"/>
        </w:rPr>
      </w:pPr>
      <w:r>
        <w:rPr>
          <w:rFonts w:ascii="Arial" w:cs="Arial" w:eastAsia="Arial" w:hAnsi="Arial"/>
          <w:sz w:val="16"/>
          <w:szCs w:val="16"/>
          <w:color w:val="auto"/>
        </w:rPr>
        <w:t>Overhang: Our overhang is the number of shares subject to unvested equity awards outstanding as of March 10, 2026 plus the number of shares available for future grants of equity awards in proportion to our shares outstanding as of that date. As of March 10, 2026, our overhang was 7.45%.</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2020 Plan is not a fungible plan and does not use a fungible share pool.</w:t>
      </w:r>
    </w:p>
    <w:p>
      <w:pPr>
        <w:spacing w:after="0" w:line="140"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More detail regarding the overhang and dilution associated with the current 2020 Plan, the Amendment, and our prior plans is below. The information is as of March 10, 2026. As of that date, there were 57,300,629 shares of our common stock outstanding.</w:t>
      </w:r>
    </w:p>
    <w:p>
      <w:pPr>
        <w:sectPr>
          <w:pgSz w:w="11900" w:h="16838" w:orient="portrait"/>
          <w:cols w:equalWidth="0" w:num="1">
            <w:col w:w="11020"/>
          </w:cols>
          <w:pgMar w:left="440" w:top="625" w:right="439" w:bottom="1440" w:gutter="0" w:footer="0" w:header="0"/>
        </w:sectPr>
      </w:pPr>
    </w:p>
    <w:p>
      <w:pPr>
        <w:spacing w:after="0" w:line="115"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Outstanding full-value awards assuming that the outstanding awards achieve maximum performance under the 2020 Plan and prior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-229870</wp:posOffset>
            </wp:positionV>
            <wp:extent cx="6995160" cy="2489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95160" cy="2489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Number of shares subject to outstanding stock options under the 2020 Plan and prior plans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Total shares subject to outstanding awards under the 2020 Plan and prior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6995160" cy="24003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95160" cy="240030"/>
                    </a:xfrm>
                    <a:prstGeom prst="rect">
                      <a:avLst/>
                    </a:prstGeom>
                    <a:noFill/>
                  </pic:spPr>
                </pic:pic>
              </a:graphicData>
            </a:graphic>
          </wp:anchor>
        </w:drawing>
      </w:r>
    </w:p>
    <w:p>
      <w:pPr>
        <w:spacing w:after="0" w:line="174" w:lineRule="exact"/>
        <w:rPr>
          <w:sz w:val="20"/>
          <w:szCs w:val="20"/>
          <w:color w:val="auto"/>
        </w:rPr>
      </w:pPr>
    </w:p>
    <w:p>
      <w:pPr>
        <w:spacing w:after="0" w:line="221" w:lineRule="auto"/>
        <w:rPr>
          <w:sz w:val="20"/>
          <w:szCs w:val="20"/>
          <w:color w:val="auto"/>
        </w:rPr>
      </w:pPr>
      <w:r>
        <w:rPr>
          <w:rFonts w:ascii="Arial" w:cs="Arial" w:eastAsia="Arial" w:hAnsi="Arial"/>
          <w:sz w:val="16"/>
          <w:szCs w:val="16"/>
          <w:color w:val="auto"/>
        </w:rPr>
        <w:t>Current overhang percentage based on total number of shares subject to outstanding awards under the 2020 Plan and prior plans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New shares being authorized under the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13716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right="2180"/>
        <w:spacing w:after="0" w:line="321" w:lineRule="auto"/>
        <w:rPr>
          <w:sz w:val="20"/>
          <w:szCs w:val="20"/>
          <w:color w:val="auto"/>
        </w:rPr>
      </w:pPr>
      <w:r>
        <w:rPr>
          <w:rFonts w:ascii="Arial" w:cs="Arial" w:eastAsia="Arial" w:hAnsi="Arial"/>
          <w:sz w:val="16"/>
          <w:szCs w:val="16"/>
          <w:color w:val="auto"/>
        </w:rPr>
        <w:t>Potential dilution (of 3,650,000 additional shares) as a percentage of outstanding shares Total potential fully-diluted overhang under the 2020 Plan and prior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6995160" cy="1460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3,524,487 shares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6.15% of our outstanding shares</w:t>
      </w:r>
    </w:p>
    <w:p>
      <w:pPr>
        <w:spacing w:after="0" w:line="15" w:lineRule="exact"/>
        <w:rPr>
          <w:sz w:val="20"/>
          <w:szCs w:val="20"/>
          <w:color w:val="auto"/>
        </w:rPr>
      </w:pPr>
    </w:p>
    <w:p>
      <w:pPr>
        <w:ind w:right="180"/>
        <w:spacing w:after="0" w:line="237" w:lineRule="auto"/>
        <w:rPr>
          <w:sz w:val="20"/>
          <w:szCs w:val="20"/>
          <w:color w:val="auto"/>
        </w:rPr>
      </w:pPr>
      <w:r>
        <w:rPr>
          <w:rFonts w:ascii="Arial" w:cs="Arial" w:eastAsia="Arial" w:hAnsi="Arial"/>
          <w:sz w:val="16"/>
          <w:szCs w:val="16"/>
          <w:color w:val="auto"/>
        </w:rPr>
        <w:t>743,870 shares or 1.3% of our outstanding shares</w:t>
      </w:r>
    </w:p>
    <w:p>
      <w:pPr>
        <w:spacing w:after="0" w:line="3"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auto"/>
        </w:rPr>
        <w:t>4,268,357 shares or 7.45% of our outstanding shares</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7.45%</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3,650,000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6.37%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13.82%</w:t>
      </w:r>
    </w:p>
    <w:p>
      <w:pPr>
        <w:spacing w:after="0" w:line="180" w:lineRule="exact"/>
        <w:rPr>
          <w:sz w:val="20"/>
          <w:szCs w:val="20"/>
          <w:color w:val="auto"/>
        </w:rPr>
      </w:pPr>
    </w:p>
    <w:p>
      <w:pPr>
        <w:sectPr>
          <w:pgSz w:w="11900" w:h="16838" w:orient="portrait"/>
          <w:cols w:equalWidth="0" w:num="2">
            <w:col w:w="8480" w:space="180"/>
            <w:col w:w="2360"/>
          </w:cols>
          <w:pgMar w:left="440" w:top="625" w:right="439" w:bottom="1440" w:gutter="0" w:footer="0" w:header="0"/>
          <w:type w:val="continuous"/>
        </w:sectPr>
      </w:pPr>
    </w:p>
    <w:p>
      <w:pPr>
        <w:jc w:val="both"/>
        <w:ind w:right="20"/>
        <w:spacing w:after="0" w:line="251" w:lineRule="auto"/>
        <w:rPr>
          <w:sz w:val="20"/>
          <w:szCs w:val="20"/>
          <w:color w:val="auto"/>
        </w:rPr>
      </w:pPr>
      <w:r>
        <w:rPr>
          <w:rFonts w:ascii="Arial" w:cs="Arial" w:eastAsia="Arial" w:hAnsi="Arial"/>
          <w:sz w:val="16"/>
          <w:szCs w:val="16"/>
          <w:color w:val="auto"/>
        </w:rPr>
        <w:t>Based on the closing price on the NYSE for our shares of common stock on March 10, 2026 of $23.89 per share, the aggregate market value as of that date of the 3,650,000 additional shares of common stock requested for issuance under the Amendment is $87,198,500.</w:t>
      </w:r>
    </w:p>
    <w:p>
      <w:pPr>
        <w:spacing w:after="0" w:line="101"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If the Amendment is approved, the Company’s total potential dilution from the shares available for issuance under the 2020 Plan would increase from 7.45% as of March 10, 2026 to 13.82%. The Committee has considered this potential dilution level and believes that the resulting dilution levels would be within normal competitive ranges.</w:t>
      </w:r>
    </w:p>
    <w:p>
      <w:pPr>
        <w:spacing w:after="0" w:line="110" w:lineRule="exact"/>
        <w:rPr>
          <w:sz w:val="20"/>
          <w:szCs w:val="20"/>
          <w:color w:val="auto"/>
        </w:rPr>
      </w:pPr>
    </w:p>
    <w:p>
      <w:pPr>
        <w:jc w:val="both"/>
        <w:ind w:right="20"/>
        <w:spacing w:after="0" w:line="216" w:lineRule="auto"/>
        <w:rPr>
          <w:sz w:val="20"/>
          <w:szCs w:val="20"/>
          <w:color w:val="auto"/>
        </w:rPr>
      </w:pPr>
      <w:r>
        <w:rPr>
          <w:rFonts w:ascii="Arial" w:cs="Arial" w:eastAsia="Arial" w:hAnsi="Arial"/>
          <w:sz w:val="16"/>
          <w:szCs w:val="16"/>
          <w:color w:val="auto"/>
        </w:rPr>
        <w:t xml:space="preserve">In determining the number of additional shares to request for approval by our stockholders under the Amendment, our management team worked with advisors and the Committee to evaluate a number of factors including our recent share usage and criteria expected to be utilized by institutional proxy advisory firms in evaluating this proposal. We are also mindful of the ratio of our stock-based compensation to our performance over time. In addition, the Committee also reviewed, among other things, projected future share usage and projected future forfeitures. Subject to assumptions, the Committee currently anticipates that the proposed 3,650,000 additional shares of common stock under the Amendment are expected to satisfy the Company’s equity compensation needs for approximately 2 years. </w:t>
      </w:r>
      <w:r>
        <w:rPr>
          <w:rFonts w:ascii="Arial" w:cs="Arial" w:eastAsia="Arial" w:hAnsi="Arial"/>
          <w:sz w:val="15"/>
          <w:szCs w:val="15"/>
          <w:color w:val="auto"/>
        </w:rPr>
        <w:t>Expectations regarding future share usage could be impacted by a number of factors such as award type mix;</w:t>
      </w:r>
    </w:p>
    <w:p>
      <w:pPr>
        <w:spacing w:after="0" w:line="3" w:lineRule="exact"/>
        <w:rPr>
          <w:sz w:val="20"/>
          <w:szCs w:val="20"/>
          <w:color w:val="auto"/>
        </w:rPr>
      </w:pPr>
    </w:p>
    <w:p>
      <w:pPr>
        <w:jc w:val="both"/>
        <w:spacing w:after="0" w:line="236" w:lineRule="auto"/>
        <w:rPr>
          <w:sz w:val="20"/>
          <w:szCs w:val="20"/>
          <w:color w:val="auto"/>
        </w:rPr>
      </w:pPr>
      <w:r>
        <w:rPr>
          <w:rFonts w:ascii="Arial" w:cs="Arial" w:eastAsia="Arial" w:hAnsi="Arial"/>
          <w:sz w:val="15"/>
          <w:szCs w:val="15"/>
          <w:color w:val="auto"/>
        </w:rPr>
        <w:t>hiring and promotion activity at the executive level; the rate at which shares are returned to the 2020 Plan’s reserve under permitted addbacks; the future performance of our stock price; the consequences of acquiring other companies; and other factors. While we believe that the assumptions we used are reasonable, future share usage may differ from current expectations.</w:t>
      </w:r>
    </w:p>
    <w:p>
      <w:pPr>
        <w:spacing w:after="0" w:line="115"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If the Amendment is approved, we intend to utilize the additional shares authorized under the Amendment to continue our practice of incentivizing key individuals through annual equity grants. Our Committee retains full discretion under the 2020 Plan to determine the number and amount of awards to be granted under the 2020 Plan, subject to the terms of the 2020 Plan, and future benefits that may be received by participants under the 2020 Plan are not determinable at this time.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-118745</wp:posOffset>
            </wp:positionV>
            <wp:extent cx="762635" cy="38608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62635" cy="38608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699516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625" w:right="439" w:bottom="1440" w:gutter="0" w:footer="0" w:header="0"/>
          <w:type w:val="continuous"/>
        </w:sectPr>
      </w:pPr>
    </w:p>
    <w:bookmarkStart w:id="70" w:name="page71"/>
    <w:bookmarkEnd w:id="70"/>
    <w:p>
      <w:pPr>
        <w:jc w:val="both"/>
        <w:ind w:right="20"/>
        <w:spacing w:after="0" w:line="221" w:lineRule="auto"/>
        <w:rPr>
          <w:sz w:val="20"/>
          <w:szCs w:val="20"/>
          <w:color w:val="auto"/>
        </w:rPr>
      </w:pPr>
      <w:r>
        <w:rPr>
          <w:rFonts w:ascii="Arial" w:cs="Arial" w:eastAsia="Arial" w:hAnsi="Arial"/>
          <w:sz w:val="16"/>
          <w:szCs w:val="16"/>
          <w:b w:val="1"/>
          <w:bCs w:val="1"/>
          <w:color w:val="auto"/>
        </w:rPr>
        <w:t xml:space="preserve">Adjustment of Shares Subject to 2020 Plan. </w:t>
      </w:r>
      <w:r>
        <w:rPr>
          <w:rFonts w:ascii="Arial" w:cs="Arial" w:eastAsia="Arial" w:hAnsi="Arial"/>
          <w:sz w:val="16"/>
          <w:szCs w:val="16"/>
          <w:color w:val="auto"/>
        </w:rPr>
        <w:t>In the event of an equity restructuring, including any stock dividend, stock split, spin-off, rights offering, or</w:t>
      </w:r>
      <w:r>
        <w:rPr>
          <w:rFonts w:ascii="Arial" w:cs="Arial" w:eastAsia="Arial" w:hAnsi="Arial"/>
          <w:sz w:val="16"/>
          <w:szCs w:val="16"/>
          <w:b w:val="1"/>
          <w:bCs w:val="1"/>
          <w:color w:val="auto"/>
        </w:rPr>
        <w:t xml:space="preserve"> </w:t>
      </w:r>
      <w:r>
        <w:rPr>
          <w:rFonts w:ascii="Arial" w:cs="Arial" w:eastAsia="Arial" w:hAnsi="Arial"/>
          <w:sz w:val="16"/>
          <w:szCs w:val="16"/>
          <w:color w:val="auto"/>
        </w:rPr>
        <w:t>large nonrecurring cash dividend, the authorization limits regarding the number of shares under this plan, the maximum number of shares of stock that may be issued under Incentive Stock Options and the Maximum amount of stock issued under Awards shall be adjusted proportionately, and the Committee shall make such adjustments to the 2020 Plan and the outstanding awards as it deems necessary and appropriate, in its sole discretion, to prevent dilution or enlargement of benefits or potential benefits. In addition, upon the occurrence or in anticipation of a share combination, merger, consolidate or other corporate transaction, including those in which adjustments are mandatory, the Committee may, in its sole discretion, vest, equitably convert, substitute or otherwise settle outstanding awards.</w:t>
      </w:r>
    </w:p>
    <w:p>
      <w:pPr>
        <w:spacing w:after="0" w:line="110" w:lineRule="exact"/>
        <w:rPr>
          <w:sz w:val="20"/>
          <w:szCs w:val="20"/>
          <w:color w:val="auto"/>
        </w:rPr>
      </w:pPr>
    </w:p>
    <w:p>
      <w:pPr>
        <w:jc w:val="both"/>
        <w:ind w:right="20"/>
        <w:spacing w:after="0" w:line="221" w:lineRule="auto"/>
        <w:rPr>
          <w:sz w:val="20"/>
          <w:szCs w:val="20"/>
          <w:color w:val="auto"/>
        </w:rPr>
      </w:pPr>
      <w:r>
        <w:rPr>
          <w:rFonts w:ascii="Arial" w:cs="Arial" w:eastAsia="Arial" w:hAnsi="Arial"/>
          <w:sz w:val="16"/>
          <w:szCs w:val="16"/>
          <w:b w:val="1"/>
          <w:bCs w:val="1"/>
          <w:color w:val="auto"/>
        </w:rPr>
        <w:t xml:space="preserve">Change in Control. </w:t>
      </w:r>
      <w:r>
        <w:rPr>
          <w:rFonts w:ascii="Arial" w:cs="Arial" w:eastAsia="Arial" w:hAnsi="Arial"/>
          <w:sz w:val="16"/>
          <w:szCs w:val="16"/>
          <w:color w:val="auto"/>
        </w:rPr>
        <w:t>Under the 2020 Plan, a “Change in Control” generally means the occurrence of any of the following events: (1) acquisition of</w:t>
      </w:r>
      <w:r>
        <w:rPr>
          <w:rFonts w:ascii="Arial" w:cs="Arial" w:eastAsia="Arial" w:hAnsi="Arial"/>
          <w:sz w:val="16"/>
          <w:szCs w:val="16"/>
          <w:b w:val="1"/>
          <w:bCs w:val="1"/>
          <w:color w:val="auto"/>
        </w:rPr>
        <w:t xml:space="preserve"> </w:t>
      </w:r>
      <w:r>
        <w:rPr>
          <w:rFonts w:ascii="Arial" w:cs="Arial" w:eastAsia="Arial" w:hAnsi="Arial"/>
          <w:sz w:val="16"/>
          <w:szCs w:val="16"/>
          <w:color w:val="auto"/>
        </w:rPr>
        <w:t>beneficial ownership of more than 50% of (A) the then outstanding shares of common stock of the Company or (B) the combined voting power of the outstanding voting securities entitled to vote in director elections; (2) individuals constituting the Board as of the date of the 2020 Plan ceasing to continue to constitute at least a majority of the Board, unless election or nomination of such director was approved by a vote of at least a majority of the directors constituting the incumbent board; (3) the closing of a reorganization, merger or consolidation or sale of all or substantially all of the assets of the Company or (4) approval by the stockholders of the Company of a complete liquidation of dissolution of the Company. The Committee may specify in an award agreement the treatment of that award in the event of a Change in Control.</w:t>
      </w:r>
    </w:p>
    <w:p>
      <w:pPr>
        <w:spacing w:after="0" w:line="107" w:lineRule="exact"/>
        <w:rPr>
          <w:sz w:val="20"/>
          <w:szCs w:val="20"/>
          <w:color w:val="auto"/>
        </w:rPr>
      </w:pPr>
    </w:p>
    <w:p>
      <w:pPr>
        <w:spacing w:after="0"/>
        <w:rPr>
          <w:sz w:val="20"/>
          <w:szCs w:val="20"/>
          <w:color w:val="auto"/>
        </w:rPr>
      </w:pPr>
      <w:r>
        <w:rPr>
          <w:rFonts w:ascii="Arial" w:cs="Arial" w:eastAsia="Arial" w:hAnsi="Arial"/>
          <w:sz w:val="32"/>
          <w:szCs w:val="32"/>
          <w:b w:val="1"/>
          <w:bCs w:val="1"/>
          <w:color w:val="C8102E"/>
        </w:rPr>
        <w:t>Federal Income Tax Consequences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following summarizes the federal income tax consequences of awards that may be granted under the 2020 Plan. </w:t>
      </w:r>
      <w:r>
        <w:rPr>
          <w:rFonts w:ascii="Arial" w:cs="Arial" w:eastAsia="Arial" w:hAnsi="Arial"/>
          <w:sz w:val="15"/>
          <w:szCs w:val="15"/>
          <w:color w:val="auto"/>
        </w:rPr>
        <w:t>This summary is not intended to be</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exhaustive, does not constitute tax advice and, among other things, does not describe state, local or foreign tax consequences.</w:t>
      </w:r>
    </w:p>
    <w:p>
      <w:pPr>
        <w:spacing w:after="0" w:line="127" w:lineRule="exact"/>
        <w:rPr>
          <w:sz w:val="20"/>
          <w:szCs w:val="20"/>
          <w:color w:val="auto"/>
        </w:rPr>
      </w:pPr>
    </w:p>
    <w:p>
      <w:pPr>
        <w:jc w:val="both"/>
        <w:spacing w:after="0" w:line="222" w:lineRule="auto"/>
        <w:rPr>
          <w:sz w:val="20"/>
          <w:szCs w:val="20"/>
          <w:color w:val="auto"/>
        </w:rPr>
      </w:pPr>
      <w:r>
        <w:rPr>
          <w:rFonts w:ascii="Arial" w:cs="Arial" w:eastAsia="Arial" w:hAnsi="Arial"/>
          <w:sz w:val="16"/>
          <w:szCs w:val="16"/>
          <w:b w:val="1"/>
          <w:bCs w:val="1"/>
          <w:color w:val="auto"/>
        </w:rPr>
        <w:t xml:space="preserve">Incentive Stock Options. </w:t>
      </w:r>
      <w:r>
        <w:rPr>
          <w:rFonts w:ascii="Arial" w:cs="Arial" w:eastAsia="Arial" w:hAnsi="Arial"/>
          <w:sz w:val="16"/>
          <w:szCs w:val="16"/>
          <w:color w:val="auto"/>
        </w:rPr>
        <w:t>An option holder will not realize taxable income upon the grant of an incentive stock option under the 2020 Plan. In addition, an</w:t>
      </w:r>
      <w:r>
        <w:rPr>
          <w:rFonts w:ascii="Arial" w:cs="Arial" w:eastAsia="Arial" w:hAnsi="Arial"/>
          <w:sz w:val="16"/>
          <w:szCs w:val="16"/>
          <w:b w:val="1"/>
          <w:bCs w:val="1"/>
          <w:color w:val="auto"/>
        </w:rPr>
        <w:t xml:space="preserve"> </w:t>
      </w:r>
      <w:r>
        <w:rPr>
          <w:rFonts w:ascii="Arial" w:cs="Arial" w:eastAsia="Arial" w:hAnsi="Arial"/>
          <w:sz w:val="16"/>
          <w:szCs w:val="16"/>
          <w:color w:val="auto"/>
        </w:rPr>
        <w:t>option holder generally will not realize taxable income upon the exercise of an incentive stock option. An option holder’s alternative minimum taxable income, however, will be increased by the amount by which the aggregate fair market value of the shares underlying the option, which is generally determined as of the date of exercise, exceeds the aggregate exercise price of the option. Further, except in the case of an option holder’s death or disability, if an option is exercised more than three months after the option holder’s termination of employment, the option will cease to be treated as an incentive stock option and will be subject to taxation under the rules applicable to non-qualified stock options, as summarized below.</w:t>
      </w:r>
    </w:p>
    <w:p>
      <w:pPr>
        <w:spacing w:after="0" w:line="113" w:lineRule="exact"/>
        <w:rPr>
          <w:sz w:val="20"/>
          <w:szCs w:val="20"/>
          <w:color w:val="auto"/>
        </w:rPr>
      </w:pPr>
    </w:p>
    <w:p>
      <w:pPr>
        <w:jc w:val="both"/>
        <w:ind w:right="20"/>
        <w:spacing w:after="0" w:line="218" w:lineRule="auto"/>
        <w:rPr>
          <w:sz w:val="20"/>
          <w:szCs w:val="20"/>
          <w:color w:val="auto"/>
        </w:rPr>
      </w:pPr>
      <w:r>
        <w:rPr>
          <w:rFonts w:ascii="Arial" w:cs="Arial" w:eastAsia="Arial" w:hAnsi="Arial"/>
          <w:sz w:val="16"/>
          <w:szCs w:val="16"/>
          <w:color w:val="auto"/>
        </w:rPr>
        <w:t>If an option holder sells the option shares acquired upon exercise of an incentive stock option, the tax consequences of the disposition will depend upon whether the disposition is “qualifying” or “disqualifying.” The disposition of the option shares will be a qualifying deposition if it is made at least two years after the date on which the incentive stock option was granted and at least one year after the date on which the incentive stock option was exercised. If the disposition of the option shares is qualifying, any excess of the sale price of the option shares over the exercise price of the option will be treated as long-term capital gain taxable to the option holder at the time of the sale. If the disposition is a disqualifying disposition, the excess of the fair market value of the option shares on the date of disposition over the exercise price will be taxable income to the option holder at the time of the disposition. Of that income, the amount up to the excess of the fair market value of the shares at the time the option was exercised over the exercise price will be ordinary income for income tax purposes and the balance, if any, will be long-term or short-term capital gain, depending upon whether or not the shares were sold more than one year after the option was exercised.</w:t>
      </w:r>
    </w:p>
    <w:p>
      <w:pPr>
        <w:spacing w:after="0" w:line="116"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Unless an option holder engages in a disqualifying disposition, the Company will not be entitled to a deduction with respect to an incentive stock option. If an option holder engages in a disqualifying disposition, the Company will be entitled to a deduction equal to the amount of compensation income taxable to the option holder.</w:t>
      </w:r>
    </w:p>
    <w:p>
      <w:pPr>
        <w:spacing w:after="0" w:line="110" w:lineRule="exact"/>
        <w:rPr>
          <w:sz w:val="20"/>
          <w:szCs w:val="20"/>
          <w:color w:val="auto"/>
        </w:rPr>
      </w:pPr>
    </w:p>
    <w:p>
      <w:pPr>
        <w:jc w:val="both"/>
        <w:ind w:right="20"/>
        <w:spacing w:after="0"/>
        <w:rPr>
          <w:sz w:val="20"/>
          <w:szCs w:val="20"/>
          <w:color w:val="auto"/>
        </w:rPr>
      </w:pPr>
      <w:r>
        <w:rPr>
          <w:rFonts w:ascii="Arial" w:cs="Arial" w:eastAsia="Arial" w:hAnsi="Arial"/>
          <w:sz w:val="16"/>
          <w:szCs w:val="16"/>
          <w:color w:val="auto"/>
        </w:rPr>
        <w:t>If an option holder pays the exercise price of an incentive stock option by tendering shares with a fair market value equal to part or all of the exercise price, the exchange of shares will be treated as a nontaxable exchange, except that this treatment will not apply if the option holder acquired the shares being tendered pursuant to the exercise of an incentive stock option and has not satisfied the special holding period requirements summarized above. The tax basis of the shares tendered to pay the exercise price will be treated as the substituted tax basis for an equivalent number of shares received, and the new shares will be treated as having been held for the same holding period as the holding period that expired with respect to the tendered shares.</w:t>
      </w:r>
    </w:p>
    <w:p>
      <w:pPr>
        <w:spacing w:after="0" w:line="214" w:lineRule="exact"/>
        <w:rPr>
          <w:sz w:val="20"/>
          <w:szCs w:val="20"/>
          <w:color w:val="auto"/>
        </w:rPr>
      </w:pPr>
    </w:p>
    <w:p>
      <w:pPr>
        <w:jc w:val="both"/>
        <w:ind w:right="20"/>
        <w:spacing w:after="0" w:line="225" w:lineRule="auto"/>
        <w:rPr>
          <w:sz w:val="20"/>
          <w:szCs w:val="20"/>
          <w:color w:val="auto"/>
        </w:rPr>
      </w:pPr>
      <w:r>
        <w:rPr>
          <w:rFonts w:ascii="Arial" w:cs="Arial" w:eastAsia="Arial" w:hAnsi="Arial"/>
          <w:sz w:val="16"/>
          <w:szCs w:val="16"/>
          <w:b w:val="1"/>
          <w:bCs w:val="1"/>
          <w:color w:val="auto"/>
        </w:rPr>
        <w:t xml:space="preserve">Non-Qualified Stock Options. </w:t>
      </w:r>
      <w:r>
        <w:rPr>
          <w:rFonts w:ascii="Arial" w:cs="Arial" w:eastAsia="Arial" w:hAnsi="Arial"/>
          <w:sz w:val="16"/>
          <w:szCs w:val="16"/>
          <w:color w:val="auto"/>
        </w:rPr>
        <w:t>An option holder will not realize taxable income upon the grant of a non-qualified stock option. When an option holder</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exercises the option, however, the difference between the exercise price of the option and the fair market value of the shares subject to the option on the date of exercise will constitute compensation income taxable to the option holder. The Company will, subject to any applicable limitations under Internal Revenue Code Section 162(m), generally be entitled to a deduction equal to the amount of compensation income taxable to the option holder if the Company complies with applicable reporting requirements.</w:t>
      </w:r>
    </w:p>
    <w:p>
      <w:pPr>
        <w:spacing w:after="0" w:line="137" w:lineRule="exact"/>
        <w:rPr>
          <w:sz w:val="20"/>
          <w:szCs w:val="20"/>
          <w:color w:val="auto"/>
        </w:rPr>
      </w:pPr>
    </w:p>
    <w:p>
      <w:pPr>
        <w:ind w:left="7520"/>
        <w:spacing w:after="0"/>
        <w:tabs>
          <w:tab w:leader="none" w:pos="10800" w:val="left"/>
        </w:tabs>
        <w:rPr>
          <w:sz w:val="20"/>
          <w:szCs w:val="20"/>
          <w:color w:val="auto"/>
        </w:rPr>
      </w:pPr>
      <w:r>
        <w:rPr>
          <w:sz w:val="1"/>
          <w:szCs w:val="1"/>
          <w:color w:val="auto"/>
        </w:rPr>
        <w:drawing>
          <wp:inline distT="0" distB="0" distL="0" distR="0">
            <wp:extent cx="685800" cy="163195"/>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0" cy="163195"/>
                    </a:xfrm>
                    <a:prstGeom prst="rect">
                      <a:avLst/>
                    </a:prstGeom>
                    <a:noFill/>
                    <a:ln>
                      <a:noFill/>
                    </a:ln>
                  </pic:spPr>
                </pic:pic>
              </a:graphicData>
            </a:graphic>
          </wp:inline>
        </w:drawing>
      </w:r>
      <w:r>
        <w:rPr>
          <w:rFonts w:ascii="Arial" w:cs="Arial" w:eastAsia="Arial" w:hAnsi="Arial"/>
          <w:sz w:val="18"/>
          <w:szCs w:val="18"/>
          <w:color w:val="auto"/>
        </w:rPr>
        <w:t xml:space="preserve"> - 2026 Proxy Statement</w:t>
      </w:r>
      <w:r>
        <w:rPr>
          <w:sz w:val="20"/>
          <w:szCs w:val="20"/>
          <w:color w:val="auto"/>
        </w:rPr>
        <w:tab/>
      </w: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-186690</wp:posOffset>
            </wp:positionV>
            <wp:extent cx="6995160" cy="3257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95160" cy="325755"/>
                    </a:xfrm>
                    <a:prstGeom prst="rect">
                      <a:avLst/>
                    </a:prstGeom>
                    <a:noFill/>
                  </pic:spPr>
                </pic:pic>
              </a:graphicData>
            </a:graphic>
          </wp:anchor>
        </w:drawing>
      </w:r>
    </w:p>
    <w:p>
      <w:pPr>
        <w:sectPr>
          <w:pgSz w:w="11900" w:h="16838" w:orient="portrait"/>
          <w:cols w:equalWidth="0" w:num="1">
            <w:col w:w="11020"/>
          </w:cols>
          <w:pgMar w:left="440" w:top="625" w:right="439" w:bottom="1440" w:gutter="0" w:footer="0" w:header="0"/>
        </w:sectPr>
      </w:pPr>
    </w:p>
    <w:bookmarkStart w:id="71" w:name="page72"/>
    <w:bookmarkEnd w:id="71"/>
    <w:p>
      <w:pPr>
        <w:jc w:val="both"/>
        <w:ind w:right="20"/>
        <w:spacing w:after="0" w:line="221" w:lineRule="auto"/>
        <w:rPr>
          <w:sz w:val="20"/>
          <w:szCs w:val="20"/>
          <w:color w:val="auto"/>
        </w:rPr>
      </w:pPr>
      <w:r>
        <w:rPr>
          <w:rFonts w:ascii="Arial" w:cs="Arial" w:eastAsia="Arial" w:hAnsi="Arial"/>
          <w:sz w:val="16"/>
          <w:szCs w:val="16"/>
          <w:color w:val="auto"/>
        </w:rPr>
        <w:t>If an option holder tenders shares in payment of part or all of the exercise price of a non-qualified stock option, no gain or loss will be recognized with respect to the shares tendered, even if the shares were acquired pursuant to the exercise of an incentive stock option. In such an event, the option holder will be treated as receiving an equivalent number of shares pursuant to the exercise of the option in a nontaxable exchange. The tax basis of the shares tendered will be treated as the substituted tax basis for an equivalent number of shares received, and the shares received will be treated as having been held for the same holding period as the holding period that expired with respect to the tendered shares. The difference between the aggregate exercise price and the aggregate fair market value of the shares received pursuant to the exercise of the option will be taxed as ordinary income, just as if the option holder had paid the exercise price in cash.</w:t>
      </w:r>
    </w:p>
    <w:p>
      <w:pPr>
        <w:spacing w:after="0" w:line="110" w:lineRule="exact"/>
        <w:rPr>
          <w:sz w:val="20"/>
          <w:szCs w:val="20"/>
          <w:color w:val="auto"/>
        </w:rPr>
      </w:pPr>
    </w:p>
    <w:p>
      <w:pPr>
        <w:jc w:val="both"/>
        <w:spacing w:after="0" w:line="219" w:lineRule="auto"/>
        <w:rPr>
          <w:sz w:val="20"/>
          <w:szCs w:val="20"/>
          <w:color w:val="auto"/>
        </w:rPr>
      </w:pPr>
      <w:r>
        <w:rPr>
          <w:rFonts w:ascii="Arial" w:cs="Arial" w:eastAsia="Arial" w:hAnsi="Arial"/>
          <w:sz w:val="16"/>
          <w:szCs w:val="16"/>
          <w:b w:val="1"/>
          <w:bCs w:val="1"/>
          <w:color w:val="auto"/>
        </w:rPr>
        <w:t xml:space="preserve">Restricted Stock. </w:t>
      </w:r>
      <w:r>
        <w:rPr>
          <w:rFonts w:ascii="Arial" w:cs="Arial" w:eastAsia="Arial" w:hAnsi="Arial"/>
          <w:sz w:val="16"/>
          <w:szCs w:val="16"/>
          <w:color w:val="auto"/>
        </w:rPr>
        <w:t>A grantee of restricted stock will not recognize any taxable income for federal income tax purposes in the year of the award if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is subject to restrictions (that is, the restricted stock is nontransferable and subject to a substantial risk of forfeiture). The grantee, however, may elect under Section 83(b) of the Internal Revenue Code to recognize compensation income in the year of the award in an amount equal to the fair market value of the shares on the date of the award, determined without regard to the restrictions. If the grantee does not make such an Internal Revenue Code Section 83(b) election, the fair market value of the shares on the date on which the restrictions lapse will be treated as compensation income to the grantee and will be taxable in the year in which the restrictions lapse. The Company, subject to any applicable limitations under Internal Revenue Code Section 162(m), generally will be entitled to a deduction for compensation paid equal to the amount treated as compensation income to the grantee in the year in which the grantee is taxed on the income.</w:t>
      </w:r>
    </w:p>
    <w:p>
      <w:pPr>
        <w:spacing w:after="0" w:line="115" w:lineRule="exact"/>
        <w:rPr>
          <w:sz w:val="20"/>
          <w:szCs w:val="20"/>
          <w:color w:val="auto"/>
        </w:rPr>
      </w:pPr>
    </w:p>
    <w:p>
      <w:pPr>
        <w:jc w:val="both"/>
        <w:ind w:right="20"/>
        <w:spacing w:after="0" w:line="228" w:lineRule="auto"/>
        <w:rPr>
          <w:sz w:val="20"/>
          <w:szCs w:val="20"/>
          <w:color w:val="auto"/>
        </w:rPr>
      </w:pPr>
      <w:r>
        <w:rPr>
          <w:rFonts w:ascii="Arial" w:cs="Arial" w:eastAsia="Arial" w:hAnsi="Arial"/>
          <w:sz w:val="16"/>
          <w:szCs w:val="16"/>
          <w:b w:val="1"/>
          <w:bCs w:val="1"/>
          <w:color w:val="auto"/>
        </w:rPr>
        <w:t xml:space="preserve">Dividend Equivalents Rights. </w:t>
      </w:r>
      <w:r>
        <w:rPr>
          <w:rFonts w:ascii="Arial" w:cs="Arial" w:eastAsia="Arial" w:hAnsi="Arial"/>
          <w:sz w:val="16"/>
          <w:szCs w:val="16"/>
          <w:color w:val="auto"/>
        </w:rPr>
        <w:t>Grantees under the 2020 Plan who receive awards of dividend equivalent rights will be required to recognize ordinary</w:t>
      </w:r>
      <w:r>
        <w:rPr>
          <w:rFonts w:ascii="Arial" w:cs="Arial" w:eastAsia="Arial" w:hAnsi="Arial"/>
          <w:sz w:val="16"/>
          <w:szCs w:val="16"/>
          <w:b w:val="1"/>
          <w:bCs w:val="1"/>
          <w:color w:val="auto"/>
        </w:rPr>
        <w:t xml:space="preserve"> </w:t>
      </w:r>
      <w:r>
        <w:rPr>
          <w:rFonts w:ascii="Arial" w:cs="Arial" w:eastAsia="Arial" w:hAnsi="Arial"/>
          <w:sz w:val="16"/>
          <w:szCs w:val="16"/>
          <w:color w:val="auto"/>
        </w:rPr>
        <w:t>income in the amount distributed to the grantee pursuant to the award. If the Company complies with applicable reporting requirements of the Internal Revenue Code, it will, subject to any applicable limitations under Internal Revenue Code Section 162(m), generally be entitled to a business expense deduction in the same amount and generally at the same time as the grantee recognizes ordinary income.</w:t>
      </w:r>
    </w:p>
    <w:p>
      <w:pPr>
        <w:spacing w:after="0" w:line="111" w:lineRule="exact"/>
        <w:rPr>
          <w:sz w:val="20"/>
          <w:szCs w:val="20"/>
          <w:color w:val="auto"/>
        </w:rPr>
      </w:pPr>
    </w:p>
    <w:p>
      <w:pPr>
        <w:jc w:val="both"/>
        <w:ind w:right="20"/>
        <w:spacing w:after="0" w:line="225" w:lineRule="auto"/>
        <w:rPr>
          <w:sz w:val="20"/>
          <w:szCs w:val="20"/>
          <w:color w:val="auto"/>
        </w:rPr>
      </w:pPr>
      <w:r>
        <w:rPr>
          <w:rFonts w:ascii="Arial" w:cs="Arial" w:eastAsia="Arial" w:hAnsi="Arial"/>
          <w:sz w:val="16"/>
          <w:szCs w:val="16"/>
          <w:b w:val="1"/>
          <w:bCs w:val="1"/>
          <w:color w:val="auto"/>
        </w:rPr>
        <w:t xml:space="preserve">Restricted Stock Units and Performance Awards. </w:t>
      </w:r>
      <w:r>
        <w:rPr>
          <w:rFonts w:ascii="Arial" w:cs="Arial" w:eastAsia="Arial" w:hAnsi="Arial"/>
          <w:sz w:val="16"/>
          <w:szCs w:val="16"/>
          <w:color w:val="auto"/>
        </w:rPr>
        <w:t>A distribution of common stock or a payment of cash in satisfaction of stock units or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awards will be taxable as ordinary income when the distribution or payment is actually or constructively received by the recipient. The amount taxable as ordinary income is the aggregate fair market value of the common stock determined as of the date it is received or the amount of the cash payment. The Company will, subject to any applicable limitations under Internal Revenue Code Section 162(m), generally be entitled to deduct the amount of such payments when such payments are taxable as compensation to the recipient if the Company complies with applicable reporting requirements.</w:t>
      </w:r>
    </w:p>
    <w:p>
      <w:pPr>
        <w:spacing w:after="0" w:line="110" w:lineRule="exact"/>
        <w:rPr>
          <w:sz w:val="20"/>
          <w:szCs w:val="20"/>
          <w:color w:val="auto"/>
        </w:rPr>
      </w:pPr>
    </w:p>
    <w:p>
      <w:pPr>
        <w:jc w:val="both"/>
        <w:ind w:right="20"/>
        <w:spacing w:after="0" w:line="225" w:lineRule="auto"/>
        <w:rPr>
          <w:sz w:val="20"/>
          <w:szCs w:val="20"/>
          <w:color w:val="auto"/>
        </w:rPr>
      </w:pPr>
      <w:r>
        <w:rPr>
          <w:rFonts w:ascii="Arial" w:cs="Arial" w:eastAsia="Arial" w:hAnsi="Arial"/>
          <w:sz w:val="16"/>
          <w:szCs w:val="16"/>
          <w:b w:val="1"/>
          <w:bCs w:val="1"/>
          <w:color w:val="auto"/>
        </w:rPr>
        <w:t xml:space="preserve">Stock Appreciation Rights. </w:t>
      </w:r>
      <w:r>
        <w:rPr>
          <w:rFonts w:ascii="Arial" w:cs="Arial" w:eastAsia="Arial" w:hAnsi="Arial"/>
          <w:sz w:val="16"/>
          <w:szCs w:val="16"/>
          <w:color w:val="auto"/>
        </w:rPr>
        <w:t>The grant of SARs will not result in taxable income to the participant or a deduction to the Company. Upon exercise of a</w:t>
      </w:r>
      <w:r>
        <w:rPr>
          <w:rFonts w:ascii="Arial" w:cs="Arial" w:eastAsia="Arial" w:hAnsi="Arial"/>
          <w:sz w:val="16"/>
          <w:szCs w:val="16"/>
          <w:b w:val="1"/>
          <w:bCs w:val="1"/>
          <w:color w:val="auto"/>
        </w:rPr>
        <w:t xml:space="preserve"> </w:t>
      </w:r>
      <w:r>
        <w:rPr>
          <w:rFonts w:ascii="Arial" w:cs="Arial" w:eastAsia="Arial" w:hAnsi="Arial"/>
          <w:sz w:val="16"/>
          <w:szCs w:val="16"/>
          <w:color w:val="auto"/>
        </w:rPr>
        <w:t>SAR, the holder will recognize ordinary income in an amount equal to the cash or the fair market value of the common stock received by the holder. The Company will, subject to any applicable limitations under Internal Revenue Code Section 162(m), generally be entitled to a deduction equal to the amount of any compensation income taxable to the grantee, and, as to SARs that are settled in shares of common stock, if the Company complies with applicable reporting requirements.</w:t>
      </w:r>
    </w:p>
    <w:p>
      <w:pPr>
        <w:spacing w:after="0" w:line="110" w:lineRule="exact"/>
        <w:rPr>
          <w:sz w:val="20"/>
          <w:szCs w:val="20"/>
          <w:color w:val="auto"/>
        </w:rPr>
      </w:pPr>
    </w:p>
    <w:p>
      <w:pPr>
        <w:jc w:val="both"/>
        <w:ind w:right="20"/>
        <w:spacing w:after="0" w:line="228" w:lineRule="auto"/>
        <w:rPr>
          <w:sz w:val="20"/>
          <w:szCs w:val="20"/>
          <w:color w:val="auto"/>
        </w:rPr>
      </w:pPr>
      <w:r>
        <w:rPr>
          <w:rFonts w:ascii="Arial" w:cs="Arial" w:eastAsia="Arial" w:hAnsi="Arial"/>
          <w:sz w:val="16"/>
          <w:szCs w:val="16"/>
          <w:b w:val="1"/>
          <w:bCs w:val="1"/>
          <w:color w:val="auto"/>
        </w:rPr>
        <w:t xml:space="preserve">Unrestricted Stock. </w:t>
      </w:r>
      <w:r>
        <w:rPr>
          <w:rFonts w:ascii="Arial" w:cs="Arial" w:eastAsia="Arial" w:hAnsi="Arial"/>
          <w:sz w:val="16"/>
          <w:szCs w:val="16"/>
          <w:color w:val="auto"/>
        </w:rPr>
        <w:t>A holder of shares of unrestricted stock will be required to recognize ordinary income in an amount equal to the fair market value of</w:t>
      </w:r>
      <w:r>
        <w:rPr>
          <w:rFonts w:ascii="Arial" w:cs="Arial" w:eastAsia="Arial" w:hAnsi="Arial"/>
          <w:sz w:val="16"/>
          <w:szCs w:val="16"/>
          <w:b w:val="1"/>
          <w:bCs w:val="1"/>
          <w:color w:val="auto"/>
        </w:rPr>
        <w:t xml:space="preserve"> </w:t>
      </w:r>
      <w:r>
        <w:rPr>
          <w:rFonts w:ascii="Arial" w:cs="Arial" w:eastAsia="Arial" w:hAnsi="Arial"/>
          <w:sz w:val="16"/>
          <w:szCs w:val="16"/>
          <w:color w:val="auto"/>
        </w:rPr>
        <w:t>the shares on the date of the award, reduced by the amount, if any, paid for such shares. The Company will, subject to any applicable limitations under Internal Revenue Code Section 162(m), generally be entitled to deduct the amount of any compensation income taxable to the grantee if it complies with applicable reporting requirements.</w:t>
      </w:r>
    </w:p>
    <w:p>
      <w:pPr>
        <w:spacing w:after="0" w:line="11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Upon the holder’s disposition of shares of unrestricted stock, any gain realized in excess of the amount reported as ordinary income will be reportable by the holder as a capital gain, and any loss will be reportable as a capital loss. Capital gain or loss will be long-term if the holder has held the shares for more than one year. Otherwise, the capital gain or loss will be short-term.</w:t>
      </w:r>
    </w:p>
    <w:p>
      <w:pPr>
        <w:spacing w:after="0" w:line="110" w:lineRule="exact"/>
        <w:rPr>
          <w:sz w:val="20"/>
          <w:szCs w:val="20"/>
          <w:color w:val="auto"/>
        </w:rPr>
      </w:pPr>
    </w:p>
    <w:p>
      <w:pPr>
        <w:jc w:val="both"/>
        <w:ind w:right="20"/>
        <w:spacing w:after="0"/>
        <w:rPr>
          <w:sz w:val="20"/>
          <w:szCs w:val="20"/>
          <w:color w:val="auto"/>
        </w:rPr>
      </w:pPr>
      <w:r>
        <w:rPr>
          <w:rFonts w:ascii="Arial" w:cs="Arial" w:eastAsia="Arial" w:hAnsi="Arial"/>
          <w:sz w:val="16"/>
          <w:szCs w:val="16"/>
          <w:b w:val="1"/>
          <w:bCs w:val="1"/>
          <w:color w:val="auto"/>
        </w:rPr>
        <w:t>Tax Withholding</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of the taxes imposed on awards made under the 2020 Plan may be made by withholding from payments otherwise due and</w:t>
      </w:r>
      <w:r>
        <w:rPr>
          <w:rFonts w:ascii="Arial" w:cs="Arial" w:eastAsia="Arial" w:hAnsi="Arial"/>
          <w:sz w:val="16"/>
          <w:szCs w:val="16"/>
          <w:b w:val="1"/>
          <w:bCs w:val="1"/>
          <w:color w:val="auto"/>
        </w:rPr>
        <w:t xml:space="preserve"> </w:t>
      </w:r>
      <w:r>
        <w:rPr>
          <w:rFonts w:ascii="Arial" w:cs="Arial" w:eastAsia="Arial" w:hAnsi="Arial"/>
          <w:sz w:val="16"/>
          <w:szCs w:val="16"/>
          <w:color w:val="auto"/>
        </w:rPr>
        <w:t>owing to the holder. Subject to the prior approval of the Company, the holder may elect to satisfy such obligations: (1) by causing the Company to withhold shares of common stock otherwise issuable or (2) by delivering to the Company shares of common stock already owned by the holder. The maximum number of shares of common stock that may be withheld from any award to satisfy any applicable withholding requirements cannot exceed such number of shares having a fair market value equal to the statutory amount required by the Company to be withheld and paid with respect to such award.</w:t>
      </w:r>
    </w:p>
    <w:p>
      <w:pPr>
        <w:spacing w:after="0" w:line="214" w:lineRule="exact"/>
        <w:rPr>
          <w:sz w:val="20"/>
          <w:szCs w:val="20"/>
          <w:color w:val="auto"/>
        </w:rPr>
      </w:pPr>
    </w:p>
    <w:p>
      <w:pPr>
        <w:jc w:val="both"/>
        <w:ind w:right="20"/>
        <w:spacing w:after="0" w:line="222" w:lineRule="auto"/>
        <w:rPr>
          <w:sz w:val="20"/>
          <w:szCs w:val="20"/>
          <w:color w:val="auto"/>
        </w:rPr>
      </w:pPr>
      <w:r>
        <w:rPr>
          <w:rFonts w:ascii="Arial" w:cs="Arial" w:eastAsia="Arial" w:hAnsi="Arial"/>
          <w:sz w:val="16"/>
          <w:szCs w:val="16"/>
          <w:b w:val="1"/>
          <w:bCs w:val="1"/>
          <w:color w:val="auto"/>
        </w:rPr>
        <w:t xml:space="preserve">Internal Revenue Section 162(m) Limit. </w:t>
      </w:r>
      <w:r>
        <w:rPr>
          <w:rFonts w:ascii="Arial" w:cs="Arial" w:eastAsia="Arial" w:hAnsi="Arial"/>
          <w:sz w:val="16"/>
          <w:szCs w:val="16"/>
          <w:color w:val="auto"/>
        </w:rPr>
        <w:t>Section 162(m) of the Internal Revenue Code limits public companies to an annual deduction for federal</w:t>
      </w:r>
      <w:r>
        <w:rPr>
          <w:rFonts w:ascii="Arial" w:cs="Arial" w:eastAsia="Arial" w:hAnsi="Arial"/>
          <w:sz w:val="16"/>
          <w:szCs w:val="16"/>
          <w:b w:val="1"/>
          <w:bCs w:val="1"/>
          <w:color w:val="auto"/>
        </w:rPr>
        <w:t xml:space="preserve"> </w:t>
      </w:r>
      <w:r>
        <w:rPr>
          <w:rFonts w:ascii="Arial" w:cs="Arial" w:eastAsia="Arial" w:hAnsi="Arial"/>
          <w:sz w:val="16"/>
          <w:szCs w:val="16"/>
          <w:color w:val="auto"/>
        </w:rPr>
        <w:t>income tax purposes of $1,000,000 for compensation paid to their chief executive officer, chief financial officer, the three most highly compensated executive officers, and for the taxable years beginning after December 31, 2026, the five most highly compensated employees for the taxable year, determined at the end of each year and certain other covered employees who previously fell into any of these categories. Prior to the Tax Cuts and Jobs Act of 2017 (“TCJA”) changes to Section 162(m), performance-based compensation was excluded from such $1,000,000 deduction limitation. The pre-TCJA deductibility for performance-based compensation does not apply to the 2020 Plan.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-118745</wp:posOffset>
            </wp:positionV>
            <wp:extent cx="762635" cy="38608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62635" cy="38608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699516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625" w:right="439" w:bottom="1440" w:gutter="0" w:footer="0" w:header="0"/>
        </w:sectPr>
      </w:pPr>
    </w:p>
    <w:bookmarkStart w:id="72" w:name="page73"/>
    <w:bookmarkEnd w:id="72"/>
    <w:p>
      <w:pPr>
        <w:ind w:left="4"/>
        <w:spacing w:after="0"/>
        <w:rPr>
          <w:sz w:val="20"/>
          <w:szCs w:val="20"/>
          <w:color w:val="auto"/>
        </w:rPr>
      </w:pPr>
      <w:r>
        <w:rPr>
          <w:rFonts w:ascii="Arial" w:cs="Arial" w:eastAsia="Arial" w:hAnsi="Arial"/>
          <w:sz w:val="32"/>
          <w:szCs w:val="32"/>
          <w:b w:val="1"/>
          <w:bCs w:val="1"/>
          <w:color w:val="C8102E"/>
        </w:rPr>
        <w:t>Existing Plan Benefits to Named Executive Officers and Others</w:t>
      </w:r>
    </w:p>
    <w:p>
      <w:pPr>
        <w:spacing w:after="0" w:line="175" w:lineRule="exact"/>
        <w:rPr>
          <w:sz w:val="20"/>
          <w:szCs w:val="20"/>
          <w:color w:val="auto"/>
        </w:rPr>
      </w:pPr>
    </w:p>
    <w:p>
      <w:pPr>
        <w:jc w:val="both"/>
        <w:ind w:left="4" w:right="20"/>
        <w:spacing w:after="0" w:line="228" w:lineRule="auto"/>
        <w:rPr>
          <w:sz w:val="20"/>
          <w:szCs w:val="20"/>
          <w:color w:val="auto"/>
        </w:rPr>
      </w:pPr>
      <w:r>
        <w:rPr>
          <w:rFonts w:ascii="Arial" w:cs="Arial" w:eastAsia="Arial" w:hAnsi="Arial"/>
          <w:sz w:val="16"/>
          <w:szCs w:val="16"/>
          <w:color w:val="auto"/>
        </w:rPr>
        <w:t>Although we cannot currently determine the benefits or number of shares subject to awards that may be granted to participants under the Amended 2020 Plan during the remainder of the 2026 fiscal year or in future periods due to the discretionary nature of the Amended 2020 Plan, we did award our annual equity grants under the 2020 Plan for fiscal year 2026 on March 9. If the Amendment is approved, additional grants of awards under the Amended 2020 Plan will be in the discretion of the Committee and any other committee authorized to grant awards under the Amended 2020 Plan.</w:t>
      </w:r>
    </w:p>
    <w:p>
      <w:pPr>
        <w:spacing w:after="0" w:line="124" w:lineRule="exact"/>
        <w:rPr>
          <w:sz w:val="20"/>
          <w:szCs w:val="20"/>
          <w:color w:val="auto"/>
        </w:rPr>
      </w:pPr>
    </w:p>
    <w:p>
      <w:pPr>
        <w:jc w:val="both"/>
        <w:ind w:left="4" w:right="20"/>
        <w:spacing w:after="0" w:line="255" w:lineRule="auto"/>
        <w:rPr>
          <w:sz w:val="20"/>
          <w:szCs w:val="20"/>
          <w:color w:val="auto"/>
        </w:rPr>
      </w:pPr>
      <w:r>
        <w:rPr>
          <w:rFonts w:ascii="Arial" w:cs="Arial" w:eastAsia="Arial" w:hAnsi="Arial"/>
          <w:sz w:val="16"/>
          <w:szCs w:val="16"/>
          <w:color w:val="auto"/>
        </w:rPr>
        <w:t>The following table sets forth with respect to each named executive officer listed in the Summary Compensation Table on page 41 and each group listed below (i) the number of shares of common stock issuable pursuant to performance units granted under the 2020 Plan, (ii) the number of shares of common stock issuable pursuant to stock options granted under the 2020 Plan, and (iii) the number of shares of common stock issuable pursuant to RSUs awarded under the 2020 Plan, in each case, since the 2020 Plan’s inception on May 21, 2020 through March 10, 2026 (without regard to whether any grants were subsequently forfeited, terminated or canceled). It does not include any grants made during this same period under any other compensation plans.</w:t>
      </w:r>
    </w:p>
    <w:p>
      <w:pPr>
        <w:spacing w:after="0" w:line="350"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3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ind w:right="128"/>
              <w:spacing w:after="0"/>
              <w:rPr>
                <w:sz w:val="20"/>
                <w:szCs w:val="20"/>
                <w:color w:val="auto"/>
              </w:rPr>
            </w:pPr>
            <w:r>
              <w:rPr>
                <w:rFonts w:ascii="Arial" w:cs="Arial" w:eastAsia="Arial" w:hAnsi="Arial"/>
                <w:sz w:val="14"/>
                <w:szCs w:val="14"/>
                <w:b w:val="1"/>
                <w:bCs w:val="1"/>
                <w:color w:val="C80E2D"/>
              </w:rPr>
              <w:t>ALL</w:t>
            </w:r>
          </w:p>
        </w:tc>
        <w:tc>
          <w:tcPr>
            <w:tcW w:w="1260" w:type="dxa"/>
            <w:vAlign w:val="bottom"/>
          </w:tcPr>
          <w:p>
            <w:pPr>
              <w:jc w:val="center"/>
              <w:ind w:right="68"/>
              <w:spacing w:after="0"/>
              <w:rPr>
                <w:sz w:val="20"/>
                <w:szCs w:val="20"/>
                <w:color w:val="auto"/>
              </w:rPr>
            </w:pPr>
            <w:r>
              <w:rPr>
                <w:rFonts w:ascii="Arial" w:cs="Arial" w:eastAsia="Arial" w:hAnsi="Arial"/>
                <w:sz w:val="14"/>
                <w:szCs w:val="14"/>
                <w:b w:val="1"/>
                <w:bCs w:val="1"/>
                <w:color w:val="C80E2D"/>
              </w:rPr>
              <w:t>ALL OTHER</w:t>
            </w: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ind w:right="108"/>
              <w:spacing w:after="0"/>
              <w:rPr>
                <w:sz w:val="20"/>
                <w:szCs w:val="20"/>
                <w:color w:val="auto"/>
              </w:rPr>
            </w:pPr>
            <w:r>
              <w:rPr>
                <w:rFonts w:ascii="Arial" w:cs="Arial" w:eastAsia="Arial" w:hAnsi="Arial"/>
                <w:sz w:val="14"/>
                <w:szCs w:val="14"/>
                <w:b w:val="1"/>
                <w:bCs w:val="1"/>
                <w:color w:val="C80E2D"/>
              </w:rPr>
              <w:t>OTHER</w:t>
            </w:r>
          </w:p>
        </w:tc>
        <w:tc>
          <w:tcPr>
            <w:tcW w:w="1260" w:type="dxa"/>
            <w:vAlign w:val="bottom"/>
          </w:tcPr>
          <w:p>
            <w:pPr>
              <w:jc w:val="center"/>
              <w:ind w:right="68"/>
              <w:spacing w:after="0"/>
              <w:rPr>
                <w:sz w:val="20"/>
                <w:szCs w:val="20"/>
                <w:color w:val="auto"/>
              </w:rPr>
            </w:pPr>
            <w:r>
              <w:rPr>
                <w:rFonts w:ascii="Arial" w:cs="Arial" w:eastAsia="Arial" w:hAnsi="Arial"/>
                <w:sz w:val="14"/>
                <w:szCs w:val="14"/>
                <w:b w:val="1"/>
                <w:bCs w:val="1"/>
                <w:color w:val="C80E2D"/>
              </w:rPr>
              <w:t>OPTION</w:t>
            </w: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ind w:right="108"/>
              <w:spacing w:after="0"/>
              <w:rPr>
                <w:sz w:val="20"/>
                <w:szCs w:val="20"/>
                <w:color w:val="auto"/>
              </w:rPr>
            </w:pPr>
            <w:r>
              <w:rPr>
                <w:rFonts w:ascii="Arial" w:cs="Arial" w:eastAsia="Arial" w:hAnsi="Arial"/>
                <w:sz w:val="14"/>
                <w:szCs w:val="14"/>
                <w:b w:val="1"/>
                <w:bCs w:val="1"/>
                <w:color w:val="C80E2D"/>
              </w:rPr>
              <w:t>STOCK</w:t>
            </w:r>
          </w:p>
        </w:tc>
        <w:tc>
          <w:tcPr>
            <w:tcW w:w="1260" w:type="dxa"/>
            <w:vAlign w:val="bottom"/>
          </w:tcPr>
          <w:p>
            <w:pPr>
              <w:jc w:val="center"/>
              <w:ind w:right="68"/>
              <w:spacing w:after="0"/>
              <w:rPr>
                <w:sz w:val="20"/>
                <w:szCs w:val="20"/>
                <w:color w:val="auto"/>
              </w:rPr>
            </w:pPr>
            <w:r>
              <w:rPr>
                <w:rFonts w:ascii="Arial" w:cs="Arial" w:eastAsia="Arial" w:hAnsi="Arial"/>
                <w:sz w:val="14"/>
                <w:szCs w:val="14"/>
                <w:b w:val="1"/>
                <w:bCs w:val="1"/>
                <w:color w:val="C80E2D"/>
              </w:rPr>
              <w:t>AWARDS:</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C80E2D"/>
              </w:rPr>
              <w:t>EXERCISE</w:t>
            </w: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ind w:right="128"/>
              <w:spacing w:after="0"/>
              <w:rPr>
                <w:sz w:val="20"/>
                <w:szCs w:val="20"/>
                <w:color w:val="auto"/>
              </w:rPr>
            </w:pPr>
            <w:r>
              <w:rPr>
                <w:rFonts w:ascii="Arial" w:cs="Arial" w:eastAsia="Arial" w:hAnsi="Arial"/>
                <w:sz w:val="14"/>
                <w:szCs w:val="14"/>
                <w:b w:val="1"/>
                <w:bCs w:val="1"/>
                <w:color w:val="C80E2D"/>
              </w:rPr>
              <w:t>AWARDS:</w:t>
            </w:r>
          </w:p>
        </w:tc>
        <w:tc>
          <w:tcPr>
            <w:tcW w:w="1260" w:type="dxa"/>
            <w:vAlign w:val="bottom"/>
          </w:tcPr>
          <w:p>
            <w:pPr>
              <w:jc w:val="center"/>
              <w:ind w:right="68"/>
              <w:spacing w:after="0"/>
              <w:rPr>
                <w:sz w:val="20"/>
                <w:szCs w:val="20"/>
                <w:color w:val="auto"/>
              </w:rPr>
            </w:pPr>
            <w:r>
              <w:rPr>
                <w:rFonts w:ascii="Arial" w:cs="Arial" w:eastAsia="Arial" w:hAnsi="Arial"/>
                <w:sz w:val="14"/>
                <w:szCs w:val="14"/>
                <w:b w:val="1"/>
                <w:bCs w:val="1"/>
                <w:color w:val="C80E2D"/>
              </w:rPr>
              <w:t>NUMBER</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C80E2D"/>
              </w:rPr>
              <w:t>OR</w:t>
            </w: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ind w:right="128"/>
              <w:spacing w:after="0"/>
              <w:rPr>
                <w:sz w:val="20"/>
                <w:szCs w:val="20"/>
                <w:color w:val="auto"/>
              </w:rPr>
            </w:pPr>
            <w:r>
              <w:rPr>
                <w:rFonts w:ascii="Arial" w:cs="Arial" w:eastAsia="Arial" w:hAnsi="Arial"/>
                <w:sz w:val="14"/>
                <w:szCs w:val="14"/>
                <w:b w:val="1"/>
                <w:bCs w:val="1"/>
                <w:color w:val="C80E2D"/>
              </w:rPr>
              <w:t>NUMBER</w:t>
            </w:r>
          </w:p>
        </w:tc>
        <w:tc>
          <w:tcPr>
            <w:tcW w:w="1260" w:type="dxa"/>
            <w:vAlign w:val="bottom"/>
          </w:tcPr>
          <w:p>
            <w:pPr>
              <w:jc w:val="center"/>
              <w:ind w:right="68"/>
              <w:spacing w:after="0"/>
              <w:rPr>
                <w:sz w:val="20"/>
                <w:szCs w:val="20"/>
                <w:color w:val="auto"/>
              </w:rPr>
            </w:pPr>
            <w:r>
              <w:rPr>
                <w:rFonts w:ascii="Arial" w:cs="Arial" w:eastAsia="Arial" w:hAnsi="Arial"/>
                <w:sz w:val="14"/>
                <w:szCs w:val="14"/>
                <w:b w:val="1"/>
                <w:bCs w:val="1"/>
                <w:color w:val="C80E2D"/>
              </w:rPr>
              <w:t>OF</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C80E2D"/>
              </w:rPr>
              <w:t>BASE</w:t>
            </w: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4"/>
                <w:szCs w:val="14"/>
                <w:color w:val="auto"/>
              </w:rPr>
            </w:pPr>
          </w:p>
        </w:tc>
        <w:tc>
          <w:tcPr>
            <w:tcW w:w="40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C80E2D"/>
              </w:rPr>
              <w:t>ESTIMATED POSSIBLE PAYOUTS UNDER</w:t>
            </w:r>
          </w:p>
        </w:tc>
        <w:tc>
          <w:tcPr>
            <w:tcW w:w="1200" w:type="dxa"/>
            <w:vAlign w:val="bottom"/>
          </w:tcPr>
          <w:p>
            <w:pPr>
              <w:jc w:val="center"/>
              <w:ind w:right="128"/>
              <w:spacing w:after="0"/>
              <w:rPr>
                <w:sz w:val="20"/>
                <w:szCs w:val="20"/>
                <w:color w:val="auto"/>
              </w:rPr>
            </w:pPr>
            <w:r>
              <w:rPr>
                <w:rFonts w:ascii="Arial" w:cs="Arial" w:eastAsia="Arial" w:hAnsi="Arial"/>
                <w:sz w:val="14"/>
                <w:szCs w:val="14"/>
                <w:b w:val="1"/>
                <w:bCs w:val="1"/>
                <w:color w:val="C80E2D"/>
              </w:rPr>
              <w:t>OF SHARES</w:t>
            </w:r>
          </w:p>
        </w:tc>
        <w:tc>
          <w:tcPr>
            <w:tcW w:w="1260" w:type="dxa"/>
            <w:vAlign w:val="bottom"/>
          </w:tcPr>
          <w:p>
            <w:pPr>
              <w:jc w:val="center"/>
              <w:ind w:right="68"/>
              <w:spacing w:after="0"/>
              <w:rPr>
                <w:sz w:val="20"/>
                <w:szCs w:val="20"/>
                <w:color w:val="auto"/>
              </w:rPr>
            </w:pPr>
            <w:r>
              <w:rPr>
                <w:rFonts w:ascii="Arial" w:cs="Arial" w:eastAsia="Arial" w:hAnsi="Arial"/>
                <w:sz w:val="14"/>
                <w:szCs w:val="14"/>
                <w:b w:val="1"/>
                <w:bCs w:val="1"/>
                <w:color w:val="C80E2D"/>
              </w:rPr>
              <w:t>SECURITIES</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C80E2D"/>
              </w:rPr>
              <w:t>PRICE OF</w:t>
            </w:r>
          </w:p>
        </w:tc>
        <w:tc>
          <w:tcPr>
            <w:tcW w:w="0" w:type="dxa"/>
            <w:vAlign w:val="bottom"/>
          </w:tcPr>
          <w:p>
            <w:pPr>
              <w:spacing w:after="0"/>
              <w:rPr>
                <w:sz w:val="1"/>
                <w:szCs w:val="1"/>
                <w:color w:val="auto"/>
              </w:rPr>
            </w:pPr>
          </w:p>
        </w:tc>
      </w:tr>
      <w:tr>
        <w:trPr>
          <w:trHeight w:val="219"/>
        </w:trPr>
        <w:tc>
          <w:tcPr>
            <w:tcW w:w="3640" w:type="dxa"/>
            <w:vAlign w:val="bottom"/>
          </w:tcPr>
          <w:p>
            <w:pPr>
              <w:spacing w:after="0"/>
              <w:rPr>
                <w:sz w:val="19"/>
                <w:szCs w:val="19"/>
                <w:color w:val="auto"/>
              </w:rPr>
            </w:pPr>
          </w:p>
        </w:tc>
        <w:tc>
          <w:tcPr>
            <w:tcW w:w="3980" w:type="dxa"/>
            <w:vAlign w:val="bottom"/>
            <w:tcBorders>
              <w:bottom w:val="single" w:sz="8" w:color="auto"/>
            </w:tcBorders>
            <w:gridSpan w:val="3"/>
          </w:tcPr>
          <w:p>
            <w:pPr>
              <w:jc w:val="center"/>
              <w:spacing w:after="0" w:line="213" w:lineRule="exact"/>
              <w:rPr>
                <w:sz w:val="20"/>
                <w:szCs w:val="20"/>
                <w:color w:val="auto"/>
              </w:rPr>
            </w:pPr>
            <w:r>
              <w:rPr>
                <w:rFonts w:ascii="Arial" w:cs="Arial" w:eastAsia="Arial" w:hAnsi="Arial"/>
                <w:sz w:val="13"/>
                <w:szCs w:val="13"/>
                <w:b w:val="1"/>
                <w:bCs w:val="1"/>
                <w:color w:val="C80E2D"/>
              </w:rPr>
              <w:t>EQUITY INCENTIVE PLAN AWARDS</w:t>
            </w:r>
            <w:r>
              <w:rPr>
                <w:rFonts w:ascii="Arial" w:cs="Arial" w:eastAsia="Arial" w:hAnsi="Arial"/>
                <w:sz w:val="20"/>
                <w:szCs w:val="20"/>
                <w:b w:val="1"/>
                <w:bCs w:val="1"/>
                <w:color w:val="C80E2D"/>
                <w:vertAlign w:val="superscript"/>
              </w:rPr>
              <w:t>1</w:t>
            </w:r>
            <w:r>
              <w:rPr>
                <w:rFonts w:ascii="Arial" w:cs="Arial" w:eastAsia="Arial" w:hAnsi="Arial"/>
                <w:sz w:val="24"/>
                <w:szCs w:val="24"/>
                <w:b w:val="1"/>
                <w:bCs w:val="1"/>
                <w:color w:val="C80E2D"/>
                <w:vertAlign w:val="superscript"/>
              </w:rPr>
              <w:t>.</w:t>
            </w:r>
          </w:p>
        </w:tc>
        <w:tc>
          <w:tcPr>
            <w:tcW w:w="100" w:type="dxa"/>
            <w:vAlign w:val="bottom"/>
          </w:tcPr>
          <w:p>
            <w:pPr>
              <w:spacing w:after="0"/>
              <w:rPr>
                <w:sz w:val="19"/>
                <w:szCs w:val="19"/>
                <w:color w:val="auto"/>
              </w:rPr>
            </w:pPr>
          </w:p>
        </w:tc>
        <w:tc>
          <w:tcPr>
            <w:tcW w:w="1200" w:type="dxa"/>
            <w:vAlign w:val="bottom"/>
          </w:tcPr>
          <w:p>
            <w:pPr>
              <w:jc w:val="center"/>
              <w:ind w:right="108"/>
              <w:spacing w:after="0"/>
              <w:rPr>
                <w:sz w:val="20"/>
                <w:szCs w:val="20"/>
                <w:color w:val="auto"/>
              </w:rPr>
            </w:pPr>
            <w:r>
              <w:rPr>
                <w:rFonts w:ascii="Arial" w:cs="Arial" w:eastAsia="Arial" w:hAnsi="Arial"/>
                <w:sz w:val="14"/>
                <w:szCs w:val="14"/>
                <w:b w:val="1"/>
                <w:bCs w:val="1"/>
                <w:color w:val="C80E2D"/>
              </w:rPr>
              <w:t>OF STOCK</w:t>
            </w:r>
          </w:p>
        </w:tc>
        <w:tc>
          <w:tcPr>
            <w:tcW w:w="1260" w:type="dxa"/>
            <w:vAlign w:val="bottom"/>
          </w:tcPr>
          <w:p>
            <w:pPr>
              <w:jc w:val="center"/>
              <w:ind w:right="68"/>
              <w:spacing w:after="0"/>
              <w:rPr>
                <w:sz w:val="20"/>
                <w:szCs w:val="20"/>
                <w:color w:val="auto"/>
              </w:rPr>
            </w:pPr>
            <w:r>
              <w:rPr>
                <w:rFonts w:ascii="Arial" w:cs="Arial" w:eastAsia="Arial" w:hAnsi="Arial"/>
                <w:sz w:val="14"/>
                <w:szCs w:val="14"/>
                <w:b w:val="1"/>
                <w:bCs w:val="1"/>
                <w:color w:val="C80E2D"/>
                <w:w w:val="99"/>
              </w:rPr>
              <w:t>UNDERLYING</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C80E2D"/>
              </w:rPr>
              <w:t>OPTION</w:t>
            </w:r>
          </w:p>
        </w:tc>
        <w:tc>
          <w:tcPr>
            <w:tcW w:w="0" w:type="dxa"/>
            <w:vAlign w:val="bottom"/>
          </w:tcPr>
          <w:p>
            <w:pPr>
              <w:spacing w:after="0"/>
              <w:rPr>
                <w:sz w:val="1"/>
                <w:szCs w:val="1"/>
                <w:color w:val="auto"/>
              </w:rPr>
            </w:pPr>
          </w:p>
        </w:tc>
      </w:tr>
      <w:tr>
        <w:trPr>
          <w:trHeight w:val="166"/>
        </w:trPr>
        <w:tc>
          <w:tcPr>
            <w:tcW w:w="3640" w:type="dxa"/>
            <w:vAlign w:val="bottom"/>
          </w:tcPr>
          <w:p>
            <w:pPr>
              <w:spacing w:after="0"/>
              <w:rPr>
                <w:sz w:val="14"/>
                <w:szCs w:val="14"/>
                <w:color w:val="auto"/>
              </w:rPr>
            </w:pPr>
          </w:p>
        </w:tc>
        <w:tc>
          <w:tcPr>
            <w:tcW w:w="1680" w:type="dxa"/>
            <w:vAlign w:val="bottom"/>
          </w:tcPr>
          <w:p>
            <w:pPr>
              <w:jc w:val="right"/>
              <w:ind w:right="388"/>
              <w:spacing w:after="0"/>
              <w:rPr>
                <w:sz w:val="20"/>
                <w:szCs w:val="20"/>
                <w:color w:val="auto"/>
              </w:rPr>
            </w:pPr>
            <w:r>
              <w:rPr>
                <w:rFonts w:ascii="Arial" w:cs="Arial" w:eastAsia="Arial" w:hAnsi="Arial"/>
                <w:sz w:val="14"/>
                <w:szCs w:val="14"/>
                <w:b w:val="1"/>
                <w:bCs w:val="1"/>
                <w:color w:val="C80E2D"/>
              </w:rPr>
              <w:t>THRESHOLD</w:t>
            </w:r>
          </w:p>
        </w:tc>
        <w:tc>
          <w:tcPr>
            <w:tcW w:w="1240" w:type="dxa"/>
            <w:vAlign w:val="bottom"/>
          </w:tcPr>
          <w:p>
            <w:pPr>
              <w:jc w:val="right"/>
              <w:ind w:right="448"/>
              <w:spacing w:after="0"/>
              <w:rPr>
                <w:sz w:val="20"/>
                <w:szCs w:val="20"/>
                <w:color w:val="auto"/>
              </w:rPr>
            </w:pPr>
            <w:r>
              <w:rPr>
                <w:rFonts w:ascii="Arial" w:cs="Arial" w:eastAsia="Arial" w:hAnsi="Arial"/>
                <w:sz w:val="14"/>
                <w:szCs w:val="14"/>
                <w:b w:val="1"/>
                <w:bCs w:val="1"/>
                <w:color w:val="C80E2D"/>
              </w:rPr>
              <w:t>TARGET</w:t>
            </w: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C80E2D"/>
              </w:rPr>
              <w:t>MAX</w:t>
            </w:r>
          </w:p>
        </w:tc>
        <w:tc>
          <w:tcPr>
            <w:tcW w:w="1200" w:type="dxa"/>
            <w:vAlign w:val="bottom"/>
          </w:tcPr>
          <w:p>
            <w:pPr>
              <w:jc w:val="center"/>
              <w:ind w:right="128"/>
              <w:spacing w:after="0" w:line="166" w:lineRule="exact"/>
              <w:rPr>
                <w:sz w:val="20"/>
                <w:szCs w:val="20"/>
                <w:color w:val="auto"/>
              </w:rPr>
            </w:pPr>
            <w:r>
              <w:rPr>
                <w:rFonts w:ascii="Arial" w:cs="Arial" w:eastAsia="Arial" w:hAnsi="Arial"/>
                <w:sz w:val="12"/>
                <w:szCs w:val="12"/>
                <w:b w:val="1"/>
                <w:bCs w:val="1"/>
                <w:color w:val="C80E2D"/>
              </w:rPr>
              <w:t>OR UNITS</w:t>
            </w:r>
            <w:r>
              <w:rPr>
                <w:rFonts w:ascii="Arial" w:cs="Arial" w:eastAsia="Arial" w:hAnsi="Arial"/>
                <w:sz w:val="19"/>
                <w:szCs w:val="19"/>
                <w:b w:val="1"/>
                <w:bCs w:val="1"/>
                <w:color w:val="C80E2D"/>
                <w:vertAlign w:val="superscript"/>
              </w:rPr>
              <w:t>2</w:t>
            </w:r>
          </w:p>
        </w:tc>
        <w:tc>
          <w:tcPr>
            <w:tcW w:w="1260" w:type="dxa"/>
            <w:vAlign w:val="bottom"/>
          </w:tcPr>
          <w:p>
            <w:pPr>
              <w:jc w:val="center"/>
              <w:ind w:right="68"/>
              <w:spacing w:after="0"/>
              <w:rPr>
                <w:sz w:val="20"/>
                <w:szCs w:val="20"/>
                <w:color w:val="auto"/>
              </w:rPr>
            </w:pPr>
            <w:r>
              <w:rPr>
                <w:rFonts w:ascii="Arial" w:cs="Arial" w:eastAsia="Arial" w:hAnsi="Arial"/>
                <w:sz w:val="14"/>
                <w:szCs w:val="14"/>
                <w:b w:val="1"/>
                <w:bCs w:val="1"/>
                <w:color w:val="C80E2D"/>
              </w:rPr>
              <w:t>OPTIONS</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C80E2D"/>
                <w:w w:val="98"/>
              </w:rPr>
              <w:t>AWARDS</w:t>
            </w:r>
          </w:p>
        </w:tc>
        <w:tc>
          <w:tcPr>
            <w:tcW w:w="0" w:type="dxa"/>
            <w:vAlign w:val="bottom"/>
          </w:tcPr>
          <w:p>
            <w:pPr>
              <w:spacing w:after="0"/>
              <w:rPr>
                <w:sz w:val="1"/>
                <w:szCs w:val="1"/>
                <w:color w:val="auto"/>
              </w:rPr>
            </w:pPr>
          </w:p>
        </w:tc>
      </w:tr>
      <w:tr>
        <w:trPr>
          <w:trHeight w:val="171"/>
        </w:trPr>
        <w:tc>
          <w:tcPr>
            <w:tcW w:w="3640" w:type="dxa"/>
            <w:vAlign w:val="bottom"/>
          </w:tcPr>
          <w:p>
            <w:pPr>
              <w:spacing w:after="0"/>
              <w:rPr>
                <w:sz w:val="20"/>
                <w:szCs w:val="20"/>
                <w:color w:val="auto"/>
              </w:rPr>
            </w:pPr>
            <w:r>
              <w:rPr>
                <w:rFonts w:ascii="Arial" w:cs="Arial" w:eastAsia="Arial" w:hAnsi="Arial"/>
                <w:sz w:val="14"/>
                <w:szCs w:val="14"/>
                <w:b w:val="1"/>
                <w:bCs w:val="1"/>
                <w:color w:val="C80E2D"/>
              </w:rPr>
              <w:t>NAME AND POSITION</w:t>
            </w:r>
          </w:p>
        </w:tc>
        <w:tc>
          <w:tcPr>
            <w:tcW w:w="1680" w:type="dxa"/>
            <w:vAlign w:val="bottom"/>
          </w:tcPr>
          <w:p>
            <w:pPr>
              <w:jc w:val="right"/>
              <w:ind w:right="748"/>
              <w:spacing w:after="0"/>
              <w:rPr>
                <w:sz w:val="20"/>
                <w:szCs w:val="20"/>
                <w:color w:val="auto"/>
              </w:rPr>
            </w:pPr>
            <w:r>
              <w:rPr>
                <w:rFonts w:ascii="Arial" w:cs="Arial" w:eastAsia="Arial" w:hAnsi="Arial"/>
                <w:sz w:val="14"/>
                <w:szCs w:val="14"/>
                <w:b w:val="1"/>
                <w:bCs w:val="1"/>
                <w:color w:val="C80E2D"/>
              </w:rPr>
              <w:t>(#)</w:t>
            </w:r>
          </w:p>
        </w:tc>
        <w:tc>
          <w:tcPr>
            <w:tcW w:w="1240" w:type="dxa"/>
            <w:vAlign w:val="bottom"/>
          </w:tcPr>
          <w:p>
            <w:pPr>
              <w:jc w:val="right"/>
              <w:ind w:right="648"/>
              <w:spacing w:after="0"/>
              <w:rPr>
                <w:sz w:val="20"/>
                <w:szCs w:val="20"/>
                <w:color w:val="auto"/>
              </w:rPr>
            </w:pPr>
            <w:r>
              <w:rPr>
                <w:rFonts w:ascii="Arial" w:cs="Arial" w:eastAsia="Arial" w:hAnsi="Arial"/>
                <w:sz w:val="14"/>
                <w:szCs w:val="14"/>
                <w:b w:val="1"/>
                <w:bCs w:val="1"/>
                <w:color w:val="C80E2D"/>
              </w:rPr>
              <w:t>(#)</w:t>
            </w:r>
          </w:p>
        </w:tc>
        <w:tc>
          <w:tcPr>
            <w:tcW w:w="1060" w:type="dxa"/>
            <w:vAlign w:val="bottom"/>
          </w:tcPr>
          <w:p>
            <w:pPr>
              <w:jc w:val="right"/>
              <w:ind w:right="508"/>
              <w:spacing w:after="0"/>
              <w:rPr>
                <w:sz w:val="20"/>
                <w:szCs w:val="20"/>
                <w:color w:val="auto"/>
              </w:rPr>
            </w:pPr>
            <w:r>
              <w:rPr>
                <w:rFonts w:ascii="Arial" w:cs="Arial" w:eastAsia="Arial" w:hAnsi="Arial"/>
                <w:sz w:val="14"/>
                <w:szCs w:val="14"/>
                <w:b w:val="1"/>
                <w:bCs w:val="1"/>
                <w:color w:val="C80E2D"/>
              </w:rPr>
              <w:t>(#)</w:t>
            </w:r>
          </w:p>
        </w:tc>
        <w:tc>
          <w:tcPr>
            <w:tcW w:w="100" w:type="dxa"/>
            <w:vAlign w:val="bottom"/>
          </w:tcPr>
          <w:p>
            <w:pPr>
              <w:spacing w:after="0"/>
              <w:rPr>
                <w:sz w:val="14"/>
                <w:szCs w:val="14"/>
                <w:color w:val="auto"/>
              </w:rPr>
            </w:pPr>
          </w:p>
        </w:tc>
        <w:tc>
          <w:tcPr>
            <w:tcW w:w="1200" w:type="dxa"/>
            <w:vAlign w:val="bottom"/>
          </w:tcPr>
          <w:p>
            <w:pPr>
              <w:jc w:val="center"/>
              <w:ind w:right="148"/>
              <w:spacing w:after="0"/>
              <w:rPr>
                <w:sz w:val="20"/>
                <w:szCs w:val="20"/>
                <w:color w:val="auto"/>
              </w:rPr>
            </w:pPr>
            <w:r>
              <w:rPr>
                <w:rFonts w:ascii="Arial" w:cs="Arial" w:eastAsia="Arial" w:hAnsi="Arial"/>
                <w:sz w:val="14"/>
                <w:szCs w:val="14"/>
                <w:b w:val="1"/>
                <w:bCs w:val="1"/>
                <w:color w:val="C80E2D"/>
              </w:rPr>
              <w:t>(#)</w:t>
            </w:r>
          </w:p>
        </w:tc>
        <w:tc>
          <w:tcPr>
            <w:tcW w:w="1260" w:type="dxa"/>
            <w:vAlign w:val="bottom"/>
          </w:tcPr>
          <w:p>
            <w:pPr>
              <w:jc w:val="center"/>
              <w:ind w:right="68"/>
              <w:spacing w:after="0"/>
              <w:rPr>
                <w:sz w:val="20"/>
                <w:szCs w:val="20"/>
                <w:color w:val="auto"/>
              </w:rPr>
            </w:pPr>
            <w:r>
              <w:rPr>
                <w:rFonts w:ascii="Arial" w:cs="Arial" w:eastAsia="Arial" w:hAnsi="Arial"/>
                <w:sz w:val="14"/>
                <w:szCs w:val="14"/>
                <w:b w:val="1"/>
                <w:bCs w:val="1"/>
                <w:color w:val="C80E2D"/>
                <w:w w:val="93"/>
              </w:rPr>
              <w:t>(#)</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C80E2D"/>
              </w:rPr>
              <w:t>($/SH)</w:t>
            </w:r>
          </w:p>
        </w:tc>
        <w:tc>
          <w:tcPr>
            <w:tcW w:w="0" w:type="dxa"/>
            <w:vAlign w:val="bottom"/>
          </w:tcPr>
          <w:p>
            <w:pPr>
              <w:spacing w:after="0"/>
              <w:rPr>
                <w:sz w:val="1"/>
                <w:szCs w:val="1"/>
                <w:color w:val="auto"/>
              </w:rPr>
            </w:pPr>
          </w:p>
        </w:tc>
      </w:tr>
      <w:tr>
        <w:trPr>
          <w:trHeight w:val="155"/>
        </w:trPr>
        <w:tc>
          <w:tcPr>
            <w:tcW w:w="364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rPr>
              <w:t>Damien McDonald</w:t>
            </w:r>
          </w:p>
        </w:tc>
        <w:tc>
          <w:tcPr>
            <w:tcW w:w="16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40" w:type="dxa"/>
            <w:vAlign w:val="bottom"/>
            <w:vMerge w:val="continue"/>
          </w:tcPr>
          <w:p>
            <w:pPr>
              <w:spacing w:after="0"/>
              <w:rPr>
                <w:sz w:val="14"/>
                <w:szCs w:val="14"/>
                <w:color w:val="auto"/>
              </w:rPr>
            </w:pPr>
          </w:p>
        </w:tc>
        <w:tc>
          <w:tcPr>
            <w:tcW w:w="168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120,110</w:t>
            </w:r>
          </w:p>
        </w:tc>
        <w:tc>
          <w:tcPr>
            <w:tcW w:w="1240" w:type="dxa"/>
            <w:vAlign w:val="bottom"/>
            <w:shd w:val="clear" w:color="auto" w:fill="D9D9D9"/>
          </w:tcPr>
          <w:p>
            <w:pPr>
              <w:jc w:val="right"/>
              <w:ind w:right="188"/>
              <w:spacing w:after="0"/>
              <w:rPr>
                <w:sz w:val="20"/>
                <w:szCs w:val="20"/>
                <w:color w:val="auto"/>
              </w:rPr>
            </w:pPr>
            <w:r>
              <w:rPr>
                <w:rFonts w:ascii="Arial" w:cs="Arial" w:eastAsia="Arial" w:hAnsi="Arial"/>
                <w:sz w:val="14"/>
                <w:szCs w:val="14"/>
                <w:color w:val="auto"/>
              </w:rPr>
              <w:t>240,219</w:t>
            </w:r>
          </w:p>
        </w:tc>
        <w:tc>
          <w:tcPr>
            <w:tcW w:w="1160" w:type="dxa"/>
            <w:vAlign w:val="bottom"/>
            <w:gridSpan w:val="2"/>
            <w:shd w:val="clear" w:color="auto" w:fill="D9D9D9"/>
          </w:tcPr>
          <w:p>
            <w:pPr>
              <w:jc w:val="right"/>
              <w:ind w:right="100"/>
              <w:spacing w:after="0"/>
              <w:rPr>
                <w:sz w:val="20"/>
                <w:szCs w:val="20"/>
                <w:color w:val="auto"/>
              </w:rPr>
            </w:pPr>
            <w:r>
              <w:rPr>
                <w:rFonts w:ascii="Arial" w:cs="Arial" w:eastAsia="Arial" w:hAnsi="Arial"/>
                <w:sz w:val="14"/>
                <w:szCs w:val="14"/>
                <w:color w:val="auto"/>
              </w:rPr>
              <w:t>480,438</w:t>
            </w:r>
          </w:p>
        </w:tc>
        <w:tc>
          <w:tcPr>
            <w:tcW w:w="1200" w:type="dxa"/>
            <w:vAlign w:val="bottom"/>
            <w:shd w:val="clear" w:color="auto" w:fill="D9D9D9"/>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Pr>
          <w:p>
            <w:pPr>
              <w:spacing w:after="0"/>
              <w:rPr>
                <w:sz w:val="20"/>
                <w:szCs w:val="20"/>
                <w:color w:val="auto"/>
              </w:rPr>
            </w:pPr>
            <w:r>
              <w:rPr>
                <w:rFonts w:ascii="Arial" w:cs="Arial" w:eastAsia="Arial" w:hAnsi="Arial"/>
                <w:sz w:val="14"/>
                <w:szCs w:val="14"/>
                <w:color w:val="auto"/>
              </w:rPr>
              <w:t>Chief Executive Officer</w:t>
            </w:r>
          </w:p>
        </w:tc>
        <w:tc>
          <w:tcPr>
            <w:tcW w:w="1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240,219</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4"/>
                <w:szCs w:val="14"/>
                <w:color w:val="auto"/>
              </w:rPr>
            </w:pPr>
          </w:p>
        </w:tc>
        <w:tc>
          <w:tcPr>
            <w:tcW w:w="168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D9D9D9"/>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D9D9D9"/>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shd w:val="clear" w:color="auto" w:fill="D9D9D9"/>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56,179</w:t>
            </w:r>
          </w:p>
        </w:tc>
        <w:tc>
          <w:tcPr>
            <w:tcW w:w="8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76.34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4"/>
                <w:szCs w:val="14"/>
                <w:color w:val="auto"/>
              </w:rPr>
            </w:pPr>
          </w:p>
        </w:tc>
        <w:tc>
          <w:tcPr>
            <w:tcW w:w="1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62,719</w:t>
            </w:r>
          </w:p>
        </w:tc>
        <w:tc>
          <w:tcPr>
            <w:tcW w:w="840" w:type="dxa"/>
            <w:vAlign w:val="bottom"/>
          </w:tcPr>
          <w:p>
            <w:pPr>
              <w:jc w:val="right"/>
              <w:spacing w:after="0"/>
              <w:rPr>
                <w:sz w:val="20"/>
                <w:szCs w:val="20"/>
                <w:color w:val="auto"/>
              </w:rPr>
            </w:pPr>
            <w:r>
              <w:rPr>
                <w:rFonts w:ascii="Arial" w:cs="Arial" w:eastAsia="Arial" w:hAnsi="Arial"/>
                <w:sz w:val="14"/>
                <w:szCs w:val="14"/>
                <w:color w:val="auto"/>
              </w:rPr>
              <w:t>70.88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shd w:val="clear" w:color="auto" w:fill="D9D9D9"/>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D9D9D9"/>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gridSpan w:val="2"/>
            <w:shd w:val="clear" w:color="auto" w:fill="D9D9D9"/>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D9D9D9"/>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66,922</w:t>
            </w:r>
          </w:p>
        </w:tc>
        <w:tc>
          <w:tcPr>
            <w:tcW w:w="8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57.62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line="155" w:lineRule="exact"/>
              <w:rPr>
                <w:sz w:val="20"/>
                <w:szCs w:val="20"/>
                <w:color w:val="auto"/>
              </w:rPr>
            </w:pPr>
            <w:r>
              <w:rPr>
                <w:rFonts w:ascii="Arial" w:cs="Arial" w:eastAsia="Arial" w:hAnsi="Arial"/>
                <w:sz w:val="14"/>
                <w:szCs w:val="14"/>
                <w:b w:val="1"/>
                <w:bCs w:val="1"/>
                <w:color w:val="auto"/>
              </w:rPr>
              <w:t>Matthew Trerotola</w:t>
            </w:r>
          </w:p>
        </w:tc>
        <w:tc>
          <w:tcPr>
            <w:tcW w:w="1680" w:type="dxa"/>
            <w:vAlign w:val="bottom"/>
          </w:tcPr>
          <w:p>
            <w:pPr>
              <w:jc w:val="right"/>
              <w:ind w:right="48"/>
              <w:spacing w:after="0" w:line="155" w:lineRule="exact"/>
              <w:rPr>
                <w:sz w:val="20"/>
                <w:szCs w:val="20"/>
                <w:color w:val="auto"/>
              </w:rPr>
            </w:pPr>
            <w:r>
              <w:rPr>
                <w:rFonts w:ascii="Arial" w:cs="Arial" w:eastAsia="Arial" w:hAnsi="Arial"/>
                <w:sz w:val="14"/>
                <w:szCs w:val="14"/>
                <w:color w:val="auto"/>
              </w:rPr>
              <w:t>79,310</w:t>
            </w:r>
          </w:p>
        </w:tc>
        <w:tc>
          <w:tcPr>
            <w:tcW w:w="1240" w:type="dxa"/>
            <w:vAlign w:val="bottom"/>
          </w:tcPr>
          <w:p>
            <w:pPr>
              <w:jc w:val="right"/>
              <w:ind w:right="188"/>
              <w:spacing w:after="0" w:line="155" w:lineRule="exact"/>
              <w:rPr>
                <w:sz w:val="20"/>
                <w:szCs w:val="20"/>
                <w:color w:val="auto"/>
              </w:rPr>
            </w:pPr>
            <w:r>
              <w:rPr>
                <w:rFonts w:ascii="Arial" w:cs="Arial" w:eastAsia="Arial" w:hAnsi="Arial"/>
                <w:sz w:val="14"/>
                <w:szCs w:val="14"/>
                <w:color w:val="auto"/>
              </w:rPr>
              <w:t>158,619</w:t>
            </w:r>
          </w:p>
        </w:tc>
        <w:tc>
          <w:tcPr>
            <w:tcW w:w="11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317,238</w:t>
            </w:r>
          </w:p>
        </w:tc>
        <w:tc>
          <w:tcPr>
            <w:tcW w:w="1200" w:type="dxa"/>
            <w:vAlign w:val="bottom"/>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2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40" w:type="dxa"/>
            <w:vAlign w:val="bottom"/>
          </w:tcPr>
          <w:p>
            <w:pPr>
              <w:spacing w:after="0"/>
              <w:rPr>
                <w:sz w:val="20"/>
                <w:szCs w:val="20"/>
                <w:color w:val="auto"/>
              </w:rPr>
            </w:pPr>
            <w:r>
              <w:rPr>
                <w:rFonts w:ascii="Arial" w:cs="Arial" w:eastAsia="Arial" w:hAnsi="Arial"/>
                <w:sz w:val="14"/>
                <w:szCs w:val="14"/>
                <w:color w:val="auto"/>
              </w:rPr>
              <w:t>Executive Advisor</w:t>
            </w:r>
          </w:p>
        </w:tc>
        <w:tc>
          <w:tcPr>
            <w:tcW w:w="1680" w:type="dxa"/>
            <w:vAlign w:val="bottom"/>
            <w:shd w:val="clear" w:color="auto" w:fill="D1D1D1"/>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D1D1D1"/>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D1D1D1"/>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shd w:val="clear" w:color="auto" w:fill="D1D1D1"/>
          </w:tcPr>
          <w:p>
            <w:pPr>
              <w:jc w:val="right"/>
              <w:ind w:right="28"/>
              <w:spacing w:after="0"/>
              <w:rPr>
                <w:sz w:val="20"/>
                <w:szCs w:val="20"/>
                <w:color w:val="auto"/>
              </w:rPr>
            </w:pPr>
            <w:r>
              <w:rPr>
                <w:rFonts w:ascii="Arial" w:cs="Arial" w:eastAsia="Arial" w:hAnsi="Arial"/>
                <w:sz w:val="14"/>
                <w:szCs w:val="14"/>
                <w:color w:val="auto"/>
              </w:rPr>
              <w:t>42,121</w:t>
            </w:r>
          </w:p>
        </w:tc>
        <w:tc>
          <w:tcPr>
            <w:tcW w:w="1260" w:type="dxa"/>
            <w:vAlign w:val="bottom"/>
            <w:shd w:val="clear" w:color="auto" w:fill="D1D1D1"/>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D1D1D1"/>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4"/>
                <w:szCs w:val="14"/>
                <w:color w:val="auto"/>
              </w:rPr>
            </w:pPr>
          </w:p>
        </w:tc>
        <w:tc>
          <w:tcPr>
            <w:tcW w:w="1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56,179</w:t>
            </w:r>
          </w:p>
        </w:tc>
        <w:tc>
          <w:tcPr>
            <w:tcW w:w="840" w:type="dxa"/>
            <w:vAlign w:val="bottom"/>
          </w:tcPr>
          <w:p>
            <w:pPr>
              <w:jc w:val="right"/>
              <w:spacing w:after="0"/>
              <w:rPr>
                <w:sz w:val="20"/>
                <w:szCs w:val="20"/>
                <w:color w:val="auto"/>
              </w:rPr>
            </w:pPr>
            <w:r>
              <w:rPr>
                <w:rFonts w:ascii="Arial" w:cs="Arial" w:eastAsia="Arial" w:hAnsi="Arial"/>
                <w:sz w:val="14"/>
                <w:szCs w:val="14"/>
                <w:color w:val="auto"/>
              </w:rPr>
              <w:t>76.34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4"/>
                <w:szCs w:val="14"/>
                <w:color w:val="auto"/>
              </w:rPr>
            </w:pPr>
          </w:p>
        </w:tc>
        <w:tc>
          <w:tcPr>
            <w:tcW w:w="1680" w:type="dxa"/>
            <w:vAlign w:val="bottom"/>
            <w:shd w:val="clear" w:color="auto" w:fill="D1D1D1"/>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D1D1D1"/>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D1D1D1"/>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shd w:val="clear" w:color="auto" w:fill="D1D1D1"/>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D1D1D1"/>
          </w:tcPr>
          <w:p>
            <w:pPr>
              <w:jc w:val="right"/>
              <w:spacing w:after="0"/>
              <w:rPr>
                <w:sz w:val="20"/>
                <w:szCs w:val="20"/>
                <w:color w:val="auto"/>
              </w:rPr>
            </w:pPr>
            <w:r>
              <w:rPr>
                <w:rFonts w:ascii="Arial" w:cs="Arial" w:eastAsia="Arial" w:hAnsi="Arial"/>
                <w:sz w:val="14"/>
                <w:szCs w:val="14"/>
                <w:color w:val="auto"/>
              </w:rPr>
              <w:t>62,719</w:t>
            </w:r>
          </w:p>
        </w:tc>
        <w:tc>
          <w:tcPr>
            <w:tcW w:w="840" w:type="dxa"/>
            <w:vAlign w:val="bottom"/>
            <w:shd w:val="clear" w:color="auto" w:fill="D1D1D1"/>
          </w:tcPr>
          <w:p>
            <w:pPr>
              <w:jc w:val="right"/>
              <w:spacing w:after="0"/>
              <w:rPr>
                <w:sz w:val="20"/>
                <w:szCs w:val="20"/>
                <w:color w:val="auto"/>
              </w:rPr>
            </w:pPr>
            <w:r>
              <w:rPr>
                <w:rFonts w:ascii="Arial" w:cs="Arial" w:eastAsia="Arial" w:hAnsi="Arial"/>
                <w:sz w:val="14"/>
                <w:szCs w:val="14"/>
                <w:color w:val="auto"/>
              </w:rPr>
              <w:t>70.88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66,922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40" w:type="dxa"/>
            <w:vAlign w:val="bottom"/>
          </w:tcPr>
          <w:p>
            <w:pPr>
              <w:spacing w:after="0" w:line="155" w:lineRule="exact"/>
              <w:rPr>
                <w:sz w:val="20"/>
                <w:szCs w:val="20"/>
                <w:color w:val="auto"/>
              </w:rPr>
            </w:pPr>
            <w:r>
              <w:rPr>
                <w:rFonts w:ascii="Arial" w:cs="Arial" w:eastAsia="Arial" w:hAnsi="Arial"/>
                <w:sz w:val="14"/>
                <w:szCs w:val="14"/>
                <w:b w:val="1"/>
                <w:bCs w:val="1"/>
                <w:color w:val="auto"/>
              </w:rPr>
              <w:t>Ben Berry</w:t>
            </w:r>
          </w:p>
        </w:tc>
        <w:tc>
          <w:tcPr>
            <w:tcW w:w="1680" w:type="dxa"/>
            <w:vAlign w:val="bottom"/>
            <w:shd w:val="clear" w:color="auto" w:fill="D1D1D1"/>
          </w:tcPr>
          <w:p>
            <w:pPr>
              <w:jc w:val="right"/>
              <w:ind w:right="48"/>
              <w:spacing w:after="0" w:line="155" w:lineRule="exact"/>
              <w:rPr>
                <w:sz w:val="20"/>
                <w:szCs w:val="20"/>
                <w:color w:val="auto"/>
              </w:rPr>
            </w:pPr>
            <w:r>
              <w:rPr>
                <w:rFonts w:ascii="Arial" w:cs="Arial" w:eastAsia="Arial" w:hAnsi="Arial"/>
                <w:sz w:val="14"/>
                <w:szCs w:val="14"/>
                <w:color w:val="auto"/>
              </w:rPr>
              <w:t>44,323</w:t>
            </w:r>
          </w:p>
        </w:tc>
        <w:tc>
          <w:tcPr>
            <w:tcW w:w="1240" w:type="dxa"/>
            <w:vAlign w:val="bottom"/>
            <w:shd w:val="clear" w:color="auto" w:fill="D1D1D1"/>
          </w:tcPr>
          <w:p>
            <w:pPr>
              <w:jc w:val="right"/>
              <w:ind w:right="188"/>
              <w:spacing w:after="0" w:line="155" w:lineRule="exact"/>
              <w:rPr>
                <w:sz w:val="20"/>
                <w:szCs w:val="20"/>
                <w:color w:val="auto"/>
              </w:rPr>
            </w:pPr>
            <w:r>
              <w:rPr>
                <w:rFonts w:ascii="Arial" w:cs="Arial" w:eastAsia="Arial" w:hAnsi="Arial"/>
                <w:sz w:val="14"/>
                <w:szCs w:val="14"/>
                <w:color w:val="auto"/>
              </w:rPr>
              <w:t>88,645</w:t>
            </w:r>
          </w:p>
        </w:tc>
        <w:tc>
          <w:tcPr>
            <w:tcW w:w="1160" w:type="dxa"/>
            <w:vAlign w:val="bottom"/>
            <w:gridSpan w:val="2"/>
            <w:shd w:val="clear" w:color="auto" w:fill="D1D1D1"/>
          </w:tcPr>
          <w:p>
            <w:pPr>
              <w:jc w:val="right"/>
              <w:ind w:right="100"/>
              <w:spacing w:after="0" w:line="155" w:lineRule="exact"/>
              <w:rPr>
                <w:sz w:val="20"/>
                <w:szCs w:val="20"/>
                <w:color w:val="auto"/>
              </w:rPr>
            </w:pPr>
            <w:r>
              <w:rPr>
                <w:rFonts w:ascii="Arial" w:cs="Arial" w:eastAsia="Arial" w:hAnsi="Arial"/>
                <w:sz w:val="14"/>
                <w:szCs w:val="14"/>
                <w:color w:val="auto"/>
              </w:rPr>
              <w:t>177,290</w:t>
            </w:r>
          </w:p>
        </w:tc>
        <w:tc>
          <w:tcPr>
            <w:tcW w:w="1200" w:type="dxa"/>
            <w:vAlign w:val="bottom"/>
            <w:shd w:val="clear" w:color="auto" w:fill="D1D1D1"/>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260" w:type="dxa"/>
            <w:vAlign w:val="bottom"/>
            <w:shd w:val="clear" w:color="auto" w:fill="D1D1D1"/>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shd w:val="clear" w:color="auto" w:fill="D1D1D1"/>
          </w:tcPr>
          <w:p>
            <w:pPr>
              <w:jc w:val="right"/>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40" w:type="dxa"/>
            <w:vAlign w:val="bottom"/>
          </w:tcPr>
          <w:p>
            <w:pPr>
              <w:spacing w:after="0"/>
              <w:rPr>
                <w:sz w:val="20"/>
                <w:szCs w:val="20"/>
                <w:color w:val="auto"/>
              </w:rPr>
            </w:pPr>
            <w:r>
              <w:rPr>
                <w:rFonts w:ascii="Arial" w:cs="Arial" w:eastAsia="Arial" w:hAnsi="Arial"/>
                <w:sz w:val="14"/>
                <w:szCs w:val="14"/>
                <w:color w:val="auto"/>
              </w:rPr>
              <w:t>Chief Financial Officer</w:t>
            </w:r>
          </w:p>
        </w:tc>
        <w:tc>
          <w:tcPr>
            <w:tcW w:w="1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128,832</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4"/>
                <w:szCs w:val="14"/>
                <w:color w:val="auto"/>
              </w:rPr>
            </w:pPr>
          </w:p>
        </w:tc>
        <w:tc>
          <w:tcPr>
            <w:tcW w:w="1680" w:type="dxa"/>
            <w:vAlign w:val="bottom"/>
            <w:shd w:val="clear" w:color="auto" w:fill="D1D1D1"/>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D1D1D1"/>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D1D1D1"/>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shd w:val="clear" w:color="auto" w:fill="D1D1D1"/>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D1D1D1"/>
          </w:tcPr>
          <w:p>
            <w:pPr>
              <w:jc w:val="right"/>
              <w:spacing w:after="0"/>
              <w:rPr>
                <w:sz w:val="20"/>
                <w:szCs w:val="20"/>
                <w:color w:val="auto"/>
              </w:rPr>
            </w:pPr>
            <w:r>
              <w:rPr>
                <w:rFonts w:ascii="Arial" w:cs="Arial" w:eastAsia="Arial" w:hAnsi="Arial"/>
                <w:sz w:val="14"/>
                <w:szCs w:val="14"/>
                <w:color w:val="auto"/>
              </w:rPr>
              <w:t>4,476</w:t>
            </w:r>
          </w:p>
        </w:tc>
        <w:tc>
          <w:tcPr>
            <w:tcW w:w="840" w:type="dxa"/>
            <w:vAlign w:val="bottom"/>
            <w:shd w:val="clear" w:color="auto" w:fill="D1D1D1"/>
          </w:tcPr>
          <w:p>
            <w:pPr>
              <w:jc w:val="right"/>
              <w:spacing w:after="0"/>
              <w:rPr>
                <w:sz w:val="20"/>
                <w:szCs w:val="20"/>
                <w:color w:val="auto"/>
              </w:rPr>
            </w:pPr>
            <w:r>
              <w:rPr>
                <w:rFonts w:ascii="Arial" w:cs="Arial" w:eastAsia="Arial" w:hAnsi="Arial"/>
                <w:sz w:val="14"/>
                <w:szCs w:val="14"/>
                <w:color w:val="auto"/>
              </w:rPr>
              <w:t>76.34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11,472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line="155" w:lineRule="exact"/>
              <w:rPr>
                <w:sz w:val="20"/>
                <w:szCs w:val="20"/>
                <w:color w:val="auto"/>
              </w:rPr>
            </w:pPr>
            <w:r>
              <w:rPr>
                <w:rFonts w:ascii="Arial" w:cs="Arial" w:eastAsia="Arial" w:hAnsi="Arial"/>
                <w:sz w:val="14"/>
                <w:szCs w:val="14"/>
                <w:b w:val="1"/>
                <w:bCs w:val="1"/>
                <w:color w:val="auto"/>
              </w:rPr>
              <w:t>Daniel Pryor</w:t>
            </w:r>
          </w:p>
        </w:tc>
        <w:tc>
          <w:tcPr>
            <w:tcW w:w="1680" w:type="dxa"/>
            <w:vAlign w:val="bottom"/>
            <w:shd w:val="clear" w:color="auto" w:fill="D1D1D1"/>
          </w:tcPr>
          <w:p>
            <w:pPr>
              <w:jc w:val="right"/>
              <w:ind w:right="48"/>
              <w:spacing w:after="0" w:line="155" w:lineRule="exact"/>
              <w:rPr>
                <w:sz w:val="20"/>
                <w:szCs w:val="20"/>
                <w:color w:val="auto"/>
              </w:rPr>
            </w:pPr>
            <w:r>
              <w:rPr>
                <w:rFonts w:ascii="Arial" w:cs="Arial" w:eastAsia="Arial" w:hAnsi="Arial"/>
                <w:sz w:val="14"/>
                <w:szCs w:val="14"/>
                <w:color w:val="auto"/>
              </w:rPr>
              <w:t>20,129</w:t>
            </w:r>
          </w:p>
        </w:tc>
        <w:tc>
          <w:tcPr>
            <w:tcW w:w="1240" w:type="dxa"/>
            <w:vAlign w:val="bottom"/>
            <w:shd w:val="clear" w:color="auto" w:fill="D1D1D1"/>
          </w:tcPr>
          <w:p>
            <w:pPr>
              <w:jc w:val="right"/>
              <w:ind w:right="188"/>
              <w:spacing w:after="0" w:line="155" w:lineRule="exact"/>
              <w:rPr>
                <w:sz w:val="20"/>
                <w:szCs w:val="20"/>
                <w:color w:val="auto"/>
              </w:rPr>
            </w:pPr>
            <w:r>
              <w:rPr>
                <w:rFonts w:ascii="Arial" w:cs="Arial" w:eastAsia="Arial" w:hAnsi="Arial"/>
                <w:sz w:val="14"/>
                <w:szCs w:val="14"/>
                <w:color w:val="auto"/>
              </w:rPr>
              <w:t>40,258</w:t>
            </w:r>
          </w:p>
        </w:tc>
        <w:tc>
          <w:tcPr>
            <w:tcW w:w="1160" w:type="dxa"/>
            <w:vAlign w:val="bottom"/>
            <w:gridSpan w:val="2"/>
            <w:shd w:val="clear" w:color="auto" w:fill="D1D1D1"/>
          </w:tcPr>
          <w:p>
            <w:pPr>
              <w:jc w:val="right"/>
              <w:ind w:right="100"/>
              <w:spacing w:after="0" w:line="155" w:lineRule="exact"/>
              <w:rPr>
                <w:sz w:val="20"/>
                <w:szCs w:val="20"/>
                <w:color w:val="auto"/>
              </w:rPr>
            </w:pPr>
            <w:r>
              <w:rPr>
                <w:rFonts w:ascii="Arial" w:cs="Arial" w:eastAsia="Arial" w:hAnsi="Arial"/>
                <w:sz w:val="14"/>
                <w:szCs w:val="14"/>
                <w:color w:val="auto"/>
              </w:rPr>
              <w:t>80,516</w:t>
            </w:r>
          </w:p>
        </w:tc>
        <w:tc>
          <w:tcPr>
            <w:tcW w:w="1200" w:type="dxa"/>
            <w:vAlign w:val="bottom"/>
            <w:shd w:val="clear" w:color="auto" w:fill="D1D1D1"/>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260" w:type="dxa"/>
            <w:vAlign w:val="bottom"/>
            <w:shd w:val="clear" w:color="auto" w:fill="D1D1D1"/>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shd w:val="clear" w:color="auto" w:fill="D1D1D1"/>
          </w:tcPr>
          <w:p>
            <w:pPr>
              <w:jc w:val="right"/>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40" w:type="dxa"/>
            <w:vAlign w:val="bottom"/>
          </w:tcPr>
          <w:p>
            <w:pPr>
              <w:spacing w:after="0"/>
              <w:rPr>
                <w:sz w:val="20"/>
                <w:szCs w:val="20"/>
                <w:color w:val="auto"/>
              </w:rPr>
            </w:pPr>
            <w:r>
              <w:rPr>
                <w:rFonts w:ascii="Arial" w:cs="Arial" w:eastAsia="Arial" w:hAnsi="Arial"/>
                <w:sz w:val="14"/>
                <w:szCs w:val="14"/>
                <w:color w:val="auto"/>
              </w:rPr>
              <w:t>EVP, Strategy and Business Development</w:t>
            </w:r>
          </w:p>
        </w:tc>
        <w:tc>
          <w:tcPr>
            <w:tcW w:w="1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21,462</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4"/>
                <w:szCs w:val="14"/>
                <w:color w:val="auto"/>
              </w:rPr>
            </w:pPr>
          </w:p>
        </w:tc>
        <w:tc>
          <w:tcPr>
            <w:tcW w:w="1680" w:type="dxa"/>
            <w:vAlign w:val="bottom"/>
            <w:shd w:val="clear" w:color="auto" w:fill="D1D1D1"/>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D1D1D1"/>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D1D1D1"/>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shd w:val="clear" w:color="auto" w:fill="D1D1D1"/>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D1D1D1"/>
          </w:tcPr>
          <w:p>
            <w:pPr>
              <w:jc w:val="right"/>
              <w:spacing w:after="0"/>
              <w:rPr>
                <w:sz w:val="20"/>
                <w:szCs w:val="20"/>
                <w:color w:val="auto"/>
              </w:rPr>
            </w:pPr>
            <w:r>
              <w:rPr>
                <w:rFonts w:ascii="Arial" w:cs="Arial" w:eastAsia="Arial" w:hAnsi="Arial"/>
                <w:sz w:val="14"/>
                <w:szCs w:val="14"/>
                <w:color w:val="auto"/>
              </w:rPr>
              <w:t>16,763</w:t>
            </w:r>
          </w:p>
        </w:tc>
        <w:tc>
          <w:tcPr>
            <w:tcW w:w="840" w:type="dxa"/>
            <w:vAlign w:val="bottom"/>
            <w:shd w:val="clear" w:color="auto" w:fill="D1D1D1"/>
          </w:tcPr>
          <w:p>
            <w:pPr>
              <w:jc w:val="right"/>
              <w:spacing w:after="0"/>
              <w:rPr>
                <w:sz w:val="20"/>
                <w:szCs w:val="20"/>
                <w:color w:val="auto"/>
              </w:rPr>
            </w:pPr>
            <w:r>
              <w:rPr>
                <w:rFonts w:ascii="Arial" w:cs="Arial" w:eastAsia="Arial" w:hAnsi="Arial"/>
                <w:sz w:val="14"/>
                <w:szCs w:val="14"/>
                <w:color w:val="auto"/>
              </w:rPr>
              <w:t>76.34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4"/>
                <w:szCs w:val="14"/>
                <w:color w:val="auto"/>
              </w:rPr>
            </w:pPr>
          </w:p>
        </w:tc>
        <w:tc>
          <w:tcPr>
            <w:tcW w:w="1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18,254</w:t>
            </w:r>
          </w:p>
        </w:tc>
        <w:tc>
          <w:tcPr>
            <w:tcW w:w="840" w:type="dxa"/>
            <w:vAlign w:val="bottom"/>
          </w:tcPr>
          <w:p>
            <w:pPr>
              <w:jc w:val="right"/>
              <w:spacing w:after="0"/>
              <w:rPr>
                <w:sz w:val="20"/>
                <w:szCs w:val="20"/>
                <w:color w:val="auto"/>
              </w:rPr>
            </w:pPr>
            <w:r>
              <w:rPr>
                <w:rFonts w:ascii="Arial" w:cs="Arial" w:eastAsia="Arial" w:hAnsi="Arial"/>
                <w:sz w:val="14"/>
                <w:szCs w:val="14"/>
                <w:color w:val="auto"/>
              </w:rPr>
              <w:t>70.88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shd w:val="clear" w:color="auto" w:fill="D1D1D1"/>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D1D1D1"/>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gridSpan w:val="2"/>
            <w:shd w:val="clear" w:color="auto" w:fill="D1D1D1"/>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D1D1D1"/>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D1D1D1"/>
          </w:tcPr>
          <w:p>
            <w:pPr>
              <w:jc w:val="right"/>
              <w:spacing w:after="0"/>
              <w:rPr>
                <w:sz w:val="20"/>
                <w:szCs w:val="20"/>
                <w:color w:val="auto"/>
              </w:rPr>
            </w:pPr>
            <w:r>
              <w:rPr>
                <w:rFonts w:ascii="Arial" w:cs="Arial" w:eastAsia="Arial" w:hAnsi="Arial"/>
                <w:sz w:val="14"/>
                <w:szCs w:val="14"/>
                <w:color w:val="auto"/>
              </w:rPr>
              <w:t>18,642</w:t>
            </w:r>
          </w:p>
        </w:tc>
        <w:tc>
          <w:tcPr>
            <w:tcW w:w="840" w:type="dxa"/>
            <w:vAlign w:val="bottom"/>
            <w:tcBorders>
              <w:bottom w:val="single" w:sz="8" w:color="auto"/>
            </w:tcBorders>
            <w:shd w:val="clear" w:color="auto" w:fill="D1D1D1"/>
          </w:tcPr>
          <w:p>
            <w:pPr>
              <w:jc w:val="right"/>
              <w:spacing w:after="0"/>
              <w:rPr>
                <w:sz w:val="20"/>
                <w:szCs w:val="20"/>
                <w:color w:val="auto"/>
              </w:rPr>
            </w:pPr>
            <w:r>
              <w:rPr>
                <w:rFonts w:ascii="Arial" w:cs="Arial" w:eastAsia="Arial" w:hAnsi="Arial"/>
                <w:sz w:val="14"/>
                <w:szCs w:val="14"/>
                <w:color w:val="auto"/>
              </w:rPr>
              <w:t>57.62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40" w:type="dxa"/>
            <w:vAlign w:val="bottom"/>
          </w:tcPr>
          <w:p>
            <w:pPr>
              <w:spacing w:after="0" w:line="155" w:lineRule="exact"/>
              <w:rPr>
                <w:sz w:val="20"/>
                <w:szCs w:val="20"/>
                <w:color w:val="auto"/>
              </w:rPr>
            </w:pPr>
            <w:r>
              <w:rPr>
                <w:rFonts w:ascii="Arial" w:cs="Arial" w:eastAsia="Arial" w:hAnsi="Arial"/>
                <w:sz w:val="14"/>
                <w:szCs w:val="14"/>
                <w:b w:val="1"/>
                <w:bCs w:val="1"/>
                <w:color w:val="auto"/>
              </w:rPr>
              <w:t>Terry D. Ross</w:t>
            </w:r>
          </w:p>
        </w:tc>
        <w:tc>
          <w:tcPr>
            <w:tcW w:w="1680" w:type="dxa"/>
            <w:vAlign w:val="bottom"/>
          </w:tcPr>
          <w:p>
            <w:pPr>
              <w:jc w:val="right"/>
              <w:ind w:right="48"/>
              <w:spacing w:after="0" w:line="155" w:lineRule="exact"/>
              <w:rPr>
                <w:sz w:val="20"/>
                <w:szCs w:val="20"/>
                <w:color w:val="auto"/>
              </w:rPr>
            </w:pPr>
            <w:r>
              <w:rPr>
                <w:rFonts w:ascii="Arial" w:cs="Arial" w:eastAsia="Arial" w:hAnsi="Arial"/>
                <w:sz w:val="14"/>
                <w:szCs w:val="14"/>
                <w:color w:val="auto"/>
              </w:rPr>
              <w:t>30,275</w:t>
            </w:r>
          </w:p>
        </w:tc>
        <w:tc>
          <w:tcPr>
            <w:tcW w:w="1240" w:type="dxa"/>
            <w:vAlign w:val="bottom"/>
          </w:tcPr>
          <w:p>
            <w:pPr>
              <w:jc w:val="right"/>
              <w:ind w:right="188"/>
              <w:spacing w:after="0" w:line="155" w:lineRule="exact"/>
              <w:rPr>
                <w:sz w:val="20"/>
                <w:szCs w:val="20"/>
                <w:color w:val="auto"/>
              </w:rPr>
            </w:pPr>
            <w:r>
              <w:rPr>
                <w:rFonts w:ascii="Arial" w:cs="Arial" w:eastAsia="Arial" w:hAnsi="Arial"/>
                <w:sz w:val="14"/>
                <w:szCs w:val="14"/>
                <w:color w:val="auto"/>
              </w:rPr>
              <w:t>60,550</w:t>
            </w:r>
          </w:p>
        </w:tc>
        <w:tc>
          <w:tcPr>
            <w:tcW w:w="11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121,100</w:t>
            </w:r>
          </w:p>
        </w:tc>
        <w:tc>
          <w:tcPr>
            <w:tcW w:w="1200" w:type="dxa"/>
            <w:vAlign w:val="bottom"/>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2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40" w:type="dxa"/>
            <w:vAlign w:val="bottom"/>
          </w:tcPr>
          <w:p>
            <w:pPr>
              <w:spacing w:after="0"/>
              <w:rPr>
                <w:sz w:val="20"/>
                <w:szCs w:val="20"/>
                <w:color w:val="auto"/>
              </w:rPr>
            </w:pPr>
            <w:r>
              <w:rPr>
                <w:rFonts w:ascii="Arial" w:cs="Arial" w:eastAsia="Arial" w:hAnsi="Arial"/>
                <w:sz w:val="14"/>
                <w:szCs w:val="14"/>
                <w:color w:val="auto"/>
              </w:rPr>
              <w:t>Group President, Prevention &amp; Recovery</w:t>
            </w:r>
          </w:p>
        </w:tc>
        <w:tc>
          <w:tcPr>
            <w:tcW w:w="1680" w:type="dxa"/>
            <w:vAlign w:val="bottom"/>
            <w:shd w:val="clear" w:color="auto" w:fill="D1D1D1"/>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D1D1D1"/>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D1D1D1"/>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shd w:val="clear" w:color="auto" w:fill="D1D1D1"/>
          </w:tcPr>
          <w:p>
            <w:pPr>
              <w:jc w:val="right"/>
              <w:ind w:right="28"/>
              <w:spacing w:after="0"/>
              <w:rPr>
                <w:sz w:val="20"/>
                <w:szCs w:val="20"/>
                <w:color w:val="auto"/>
              </w:rPr>
            </w:pPr>
            <w:r>
              <w:rPr>
                <w:rFonts w:ascii="Arial" w:cs="Arial" w:eastAsia="Arial" w:hAnsi="Arial"/>
                <w:sz w:val="14"/>
                <w:szCs w:val="14"/>
                <w:color w:val="auto"/>
              </w:rPr>
              <w:t>50,380</w:t>
            </w:r>
          </w:p>
        </w:tc>
        <w:tc>
          <w:tcPr>
            <w:tcW w:w="1260" w:type="dxa"/>
            <w:vAlign w:val="bottom"/>
            <w:shd w:val="clear" w:color="auto" w:fill="D1D1D1"/>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D1D1D1"/>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4"/>
                <w:szCs w:val="14"/>
                <w:color w:val="auto"/>
              </w:rPr>
            </w:pPr>
          </w:p>
        </w:tc>
        <w:tc>
          <w:tcPr>
            <w:tcW w:w="1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6,343</w:t>
            </w:r>
          </w:p>
        </w:tc>
        <w:tc>
          <w:tcPr>
            <w:tcW w:w="840" w:type="dxa"/>
            <w:vAlign w:val="bottom"/>
          </w:tcPr>
          <w:p>
            <w:pPr>
              <w:jc w:val="right"/>
              <w:spacing w:after="0"/>
              <w:rPr>
                <w:sz w:val="20"/>
                <w:szCs w:val="20"/>
                <w:color w:val="auto"/>
              </w:rPr>
            </w:pPr>
            <w:r>
              <w:rPr>
                <w:rFonts w:ascii="Arial" w:cs="Arial" w:eastAsia="Arial" w:hAnsi="Arial"/>
                <w:sz w:val="14"/>
                <w:szCs w:val="14"/>
                <w:color w:val="auto"/>
              </w:rPr>
              <w:t>76.34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shd w:val="clear" w:color="auto" w:fill="D1D1D1"/>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D1D1D1"/>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gridSpan w:val="2"/>
            <w:shd w:val="clear" w:color="auto" w:fill="D1D1D1"/>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D1D1D1"/>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D1D1D1"/>
          </w:tcPr>
          <w:p>
            <w:pPr>
              <w:jc w:val="right"/>
              <w:spacing w:after="0"/>
              <w:rPr>
                <w:sz w:val="20"/>
                <w:szCs w:val="20"/>
                <w:color w:val="auto"/>
              </w:rPr>
            </w:pPr>
            <w:r>
              <w:rPr>
                <w:rFonts w:ascii="Arial" w:cs="Arial" w:eastAsia="Arial" w:hAnsi="Arial"/>
                <w:sz w:val="14"/>
                <w:szCs w:val="14"/>
                <w:color w:val="auto"/>
              </w:rPr>
              <w:t>2,677</w:t>
            </w:r>
          </w:p>
        </w:tc>
        <w:tc>
          <w:tcPr>
            <w:tcW w:w="840" w:type="dxa"/>
            <w:vAlign w:val="bottom"/>
            <w:tcBorders>
              <w:bottom w:val="single" w:sz="8" w:color="auto"/>
            </w:tcBorders>
            <w:shd w:val="clear" w:color="auto" w:fill="D1D1D1"/>
          </w:tcPr>
          <w:p>
            <w:pPr>
              <w:jc w:val="right"/>
              <w:spacing w:after="0"/>
              <w:rPr>
                <w:sz w:val="20"/>
                <w:szCs w:val="20"/>
                <w:color w:val="auto"/>
              </w:rPr>
            </w:pPr>
            <w:r>
              <w:rPr>
                <w:rFonts w:ascii="Arial" w:cs="Arial" w:eastAsia="Arial" w:hAnsi="Arial"/>
                <w:sz w:val="14"/>
                <w:szCs w:val="14"/>
                <w:color w:val="auto"/>
              </w:rPr>
              <w:t>57.62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40" w:type="dxa"/>
            <w:vAlign w:val="bottom"/>
          </w:tcPr>
          <w:p>
            <w:pPr>
              <w:spacing w:after="0" w:line="155" w:lineRule="exact"/>
              <w:rPr>
                <w:sz w:val="20"/>
                <w:szCs w:val="20"/>
                <w:color w:val="auto"/>
              </w:rPr>
            </w:pPr>
            <w:r>
              <w:rPr>
                <w:rFonts w:ascii="Arial" w:cs="Arial" w:eastAsia="Arial" w:hAnsi="Arial"/>
                <w:sz w:val="14"/>
                <w:szCs w:val="14"/>
                <w:b w:val="1"/>
                <w:bCs w:val="1"/>
                <w:color w:val="auto"/>
              </w:rPr>
              <w:t>Patricia Lang</w:t>
            </w:r>
          </w:p>
        </w:tc>
        <w:tc>
          <w:tcPr>
            <w:tcW w:w="1680" w:type="dxa"/>
            <w:vAlign w:val="bottom"/>
          </w:tcPr>
          <w:p>
            <w:pPr>
              <w:jc w:val="right"/>
              <w:ind w:right="48"/>
              <w:spacing w:after="0" w:line="155" w:lineRule="exact"/>
              <w:rPr>
                <w:sz w:val="20"/>
                <w:szCs w:val="20"/>
                <w:color w:val="auto"/>
              </w:rPr>
            </w:pPr>
            <w:r>
              <w:rPr>
                <w:rFonts w:ascii="Arial" w:cs="Arial" w:eastAsia="Arial" w:hAnsi="Arial"/>
                <w:sz w:val="14"/>
                <w:szCs w:val="14"/>
                <w:color w:val="auto"/>
              </w:rPr>
              <w:t>8,525</w:t>
            </w:r>
          </w:p>
        </w:tc>
        <w:tc>
          <w:tcPr>
            <w:tcW w:w="1240" w:type="dxa"/>
            <w:vAlign w:val="bottom"/>
          </w:tcPr>
          <w:p>
            <w:pPr>
              <w:jc w:val="right"/>
              <w:ind w:right="188"/>
              <w:spacing w:after="0" w:line="155" w:lineRule="exact"/>
              <w:rPr>
                <w:sz w:val="20"/>
                <w:szCs w:val="20"/>
                <w:color w:val="auto"/>
              </w:rPr>
            </w:pPr>
            <w:r>
              <w:rPr>
                <w:rFonts w:ascii="Arial" w:cs="Arial" w:eastAsia="Arial" w:hAnsi="Arial"/>
                <w:sz w:val="14"/>
                <w:szCs w:val="14"/>
                <w:color w:val="auto"/>
              </w:rPr>
              <w:t>17,050</w:t>
            </w:r>
          </w:p>
        </w:tc>
        <w:tc>
          <w:tcPr>
            <w:tcW w:w="11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34,100</w:t>
            </w:r>
          </w:p>
        </w:tc>
        <w:tc>
          <w:tcPr>
            <w:tcW w:w="1200" w:type="dxa"/>
            <w:vAlign w:val="bottom"/>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2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640" w:type="dxa"/>
            <w:vAlign w:val="bottom"/>
          </w:tcPr>
          <w:p>
            <w:pPr>
              <w:spacing w:after="0" w:line="153" w:lineRule="exact"/>
              <w:rPr>
                <w:sz w:val="20"/>
                <w:szCs w:val="20"/>
                <w:color w:val="auto"/>
              </w:rPr>
            </w:pPr>
            <w:r>
              <w:rPr>
                <w:rFonts w:ascii="Arial" w:cs="Arial" w:eastAsia="Arial" w:hAnsi="Arial"/>
                <w:sz w:val="14"/>
                <w:szCs w:val="14"/>
                <w:color w:val="auto"/>
              </w:rPr>
              <w:t>Senior Vice President and Chief Human Resources</w:t>
            </w:r>
          </w:p>
        </w:tc>
        <w:tc>
          <w:tcPr>
            <w:tcW w:w="1680" w:type="dxa"/>
            <w:vAlign w:val="bottom"/>
            <w:vMerge w:val="restart"/>
            <w:shd w:val="clear" w:color="auto" w:fill="D1D1D1"/>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D1D1D1"/>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gridSpan w:val="2"/>
            <w:vMerge w:val="restart"/>
            <w:shd w:val="clear" w:color="auto" w:fill="D1D1D1"/>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D1D1D1"/>
          </w:tcPr>
          <w:p>
            <w:pPr>
              <w:jc w:val="right"/>
              <w:ind w:right="28"/>
              <w:spacing w:after="0"/>
              <w:rPr>
                <w:sz w:val="20"/>
                <w:szCs w:val="20"/>
                <w:color w:val="auto"/>
              </w:rPr>
            </w:pPr>
            <w:r>
              <w:rPr>
                <w:rFonts w:ascii="Arial" w:cs="Arial" w:eastAsia="Arial" w:hAnsi="Arial"/>
                <w:sz w:val="14"/>
                <w:szCs w:val="14"/>
                <w:color w:val="auto"/>
              </w:rPr>
              <w:t>43,840</w:t>
            </w:r>
          </w:p>
        </w:tc>
        <w:tc>
          <w:tcPr>
            <w:tcW w:w="1260" w:type="dxa"/>
            <w:vAlign w:val="bottom"/>
            <w:vMerge w:val="restart"/>
            <w:shd w:val="clear" w:color="auto" w:fill="D1D1D1"/>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D1D1D1"/>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3640" w:type="dxa"/>
            <w:vAlign w:val="bottom"/>
            <w:vMerge w:val="restart"/>
          </w:tcPr>
          <w:p>
            <w:pPr>
              <w:spacing w:after="0"/>
              <w:rPr>
                <w:sz w:val="20"/>
                <w:szCs w:val="20"/>
                <w:color w:val="auto"/>
              </w:rPr>
            </w:pPr>
            <w:r>
              <w:rPr>
                <w:rFonts w:ascii="Arial" w:cs="Arial" w:eastAsia="Arial" w:hAnsi="Arial"/>
                <w:sz w:val="14"/>
                <w:szCs w:val="14"/>
                <w:color w:val="auto"/>
              </w:rPr>
              <w:t>Officer</w:t>
            </w:r>
          </w:p>
        </w:tc>
        <w:tc>
          <w:tcPr>
            <w:tcW w:w="1680" w:type="dxa"/>
            <w:vAlign w:val="bottom"/>
            <w:vMerge w:val="continue"/>
            <w:shd w:val="clear" w:color="auto" w:fill="D1D1D1"/>
          </w:tcPr>
          <w:p>
            <w:pPr>
              <w:spacing w:after="0"/>
              <w:rPr>
                <w:sz w:val="9"/>
                <w:szCs w:val="9"/>
                <w:color w:val="auto"/>
              </w:rPr>
            </w:pPr>
          </w:p>
        </w:tc>
        <w:tc>
          <w:tcPr>
            <w:tcW w:w="1240" w:type="dxa"/>
            <w:vAlign w:val="bottom"/>
            <w:vMerge w:val="continue"/>
            <w:shd w:val="clear" w:color="auto" w:fill="D1D1D1"/>
          </w:tcPr>
          <w:p>
            <w:pPr>
              <w:spacing w:after="0"/>
              <w:rPr>
                <w:sz w:val="9"/>
                <w:szCs w:val="9"/>
                <w:color w:val="auto"/>
              </w:rPr>
            </w:pPr>
          </w:p>
        </w:tc>
        <w:tc>
          <w:tcPr>
            <w:tcW w:w="1160" w:type="dxa"/>
            <w:vAlign w:val="bottom"/>
            <w:gridSpan w:val="2"/>
            <w:vMerge w:val="continue"/>
            <w:shd w:val="clear" w:color="auto" w:fill="D1D1D1"/>
          </w:tcPr>
          <w:p>
            <w:pPr>
              <w:spacing w:after="0"/>
              <w:rPr>
                <w:sz w:val="9"/>
                <w:szCs w:val="9"/>
                <w:color w:val="auto"/>
              </w:rPr>
            </w:pPr>
          </w:p>
        </w:tc>
        <w:tc>
          <w:tcPr>
            <w:tcW w:w="1200" w:type="dxa"/>
            <w:vAlign w:val="bottom"/>
            <w:vMerge w:val="continue"/>
            <w:shd w:val="clear" w:color="auto" w:fill="D1D1D1"/>
          </w:tcPr>
          <w:p>
            <w:pPr>
              <w:spacing w:after="0"/>
              <w:rPr>
                <w:sz w:val="9"/>
                <w:szCs w:val="9"/>
                <w:color w:val="auto"/>
              </w:rPr>
            </w:pPr>
          </w:p>
        </w:tc>
        <w:tc>
          <w:tcPr>
            <w:tcW w:w="1260" w:type="dxa"/>
            <w:vAlign w:val="bottom"/>
            <w:vMerge w:val="continue"/>
            <w:shd w:val="clear" w:color="auto" w:fill="D1D1D1"/>
          </w:tcPr>
          <w:p>
            <w:pPr>
              <w:spacing w:after="0"/>
              <w:rPr>
                <w:sz w:val="9"/>
                <w:szCs w:val="9"/>
                <w:color w:val="auto"/>
              </w:rPr>
            </w:pPr>
          </w:p>
        </w:tc>
        <w:tc>
          <w:tcPr>
            <w:tcW w:w="840" w:type="dxa"/>
            <w:vAlign w:val="bottom"/>
            <w:vMerge w:val="continue"/>
            <w:shd w:val="clear" w:color="auto" w:fill="D1D1D1"/>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3640" w:type="dxa"/>
            <w:vAlign w:val="bottom"/>
            <w:vMerge w:val="continue"/>
          </w:tcPr>
          <w:p>
            <w:pPr>
              <w:spacing w:after="0"/>
              <w:rPr>
                <w:sz w:val="5"/>
                <w:szCs w:val="5"/>
                <w:color w:val="auto"/>
              </w:rPr>
            </w:pPr>
          </w:p>
        </w:tc>
        <w:tc>
          <w:tcPr>
            <w:tcW w:w="1680" w:type="dxa"/>
            <w:vAlign w:val="bottom"/>
            <w:shd w:val="clear" w:color="auto" w:fill="D1D1D1"/>
          </w:tcPr>
          <w:p>
            <w:pPr>
              <w:spacing w:after="0"/>
              <w:rPr>
                <w:sz w:val="5"/>
                <w:szCs w:val="5"/>
                <w:color w:val="auto"/>
              </w:rPr>
            </w:pPr>
          </w:p>
        </w:tc>
        <w:tc>
          <w:tcPr>
            <w:tcW w:w="1240" w:type="dxa"/>
            <w:vAlign w:val="bottom"/>
            <w:shd w:val="clear" w:color="auto" w:fill="D1D1D1"/>
          </w:tcPr>
          <w:p>
            <w:pPr>
              <w:spacing w:after="0"/>
              <w:rPr>
                <w:sz w:val="5"/>
                <w:szCs w:val="5"/>
                <w:color w:val="auto"/>
              </w:rPr>
            </w:pPr>
          </w:p>
        </w:tc>
        <w:tc>
          <w:tcPr>
            <w:tcW w:w="1060" w:type="dxa"/>
            <w:vAlign w:val="bottom"/>
            <w:shd w:val="clear" w:color="auto" w:fill="D1D1D1"/>
          </w:tcPr>
          <w:p>
            <w:pPr>
              <w:spacing w:after="0"/>
              <w:rPr>
                <w:sz w:val="5"/>
                <w:szCs w:val="5"/>
                <w:color w:val="auto"/>
              </w:rPr>
            </w:pPr>
          </w:p>
        </w:tc>
        <w:tc>
          <w:tcPr>
            <w:tcW w:w="100" w:type="dxa"/>
            <w:vAlign w:val="bottom"/>
            <w:shd w:val="clear" w:color="auto" w:fill="D1D1D1"/>
          </w:tcPr>
          <w:p>
            <w:pPr>
              <w:spacing w:after="0"/>
              <w:rPr>
                <w:sz w:val="5"/>
                <w:szCs w:val="5"/>
                <w:color w:val="auto"/>
              </w:rPr>
            </w:pPr>
          </w:p>
        </w:tc>
        <w:tc>
          <w:tcPr>
            <w:tcW w:w="1200" w:type="dxa"/>
            <w:vAlign w:val="bottom"/>
            <w:shd w:val="clear" w:color="auto" w:fill="D1D1D1"/>
          </w:tcPr>
          <w:p>
            <w:pPr>
              <w:spacing w:after="0"/>
              <w:rPr>
                <w:sz w:val="5"/>
                <w:szCs w:val="5"/>
                <w:color w:val="auto"/>
              </w:rPr>
            </w:pPr>
          </w:p>
        </w:tc>
        <w:tc>
          <w:tcPr>
            <w:tcW w:w="1260" w:type="dxa"/>
            <w:vAlign w:val="bottom"/>
            <w:shd w:val="clear" w:color="auto" w:fill="D1D1D1"/>
          </w:tcPr>
          <w:p>
            <w:pPr>
              <w:spacing w:after="0"/>
              <w:rPr>
                <w:sz w:val="5"/>
                <w:szCs w:val="5"/>
                <w:color w:val="auto"/>
              </w:rPr>
            </w:pPr>
          </w:p>
        </w:tc>
        <w:tc>
          <w:tcPr>
            <w:tcW w:w="840" w:type="dxa"/>
            <w:vAlign w:val="bottom"/>
            <w:shd w:val="clear" w:color="auto" w:fill="D1D1D1"/>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4"/>
                <w:szCs w:val="14"/>
                <w:color w:val="auto"/>
              </w:rPr>
            </w:pPr>
          </w:p>
        </w:tc>
        <w:tc>
          <w:tcPr>
            <w:tcW w:w="1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7,249</w:t>
            </w:r>
          </w:p>
        </w:tc>
        <w:tc>
          <w:tcPr>
            <w:tcW w:w="840" w:type="dxa"/>
            <w:vAlign w:val="bottom"/>
          </w:tcPr>
          <w:p>
            <w:pPr>
              <w:jc w:val="right"/>
              <w:spacing w:after="0"/>
              <w:rPr>
                <w:sz w:val="20"/>
                <w:szCs w:val="20"/>
                <w:color w:val="auto"/>
              </w:rPr>
            </w:pPr>
            <w:r>
              <w:rPr>
                <w:rFonts w:ascii="Arial" w:cs="Arial" w:eastAsia="Arial" w:hAnsi="Arial"/>
                <w:sz w:val="14"/>
                <w:szCs w:val="14"/>
                <w:color w:val="auto"/>
              </w:rPr>
              <w:t>76.34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4"/>
                <w:szCs w:val="14"/>
                <w:color w:val="auto"/>
              </w:rPr>
            </w:pPr>
          </w:p>
        </w:tc>
        <w:tc>
          <w:tcPr>
            <w:tcW w:w="1680" w:type="dxa"/>
            <w:vAlign w:val="bottom"/>
            <w:shd w:val="clear" w:color="auto" w:fill="D1D1D1"/>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D1D1D1"/>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D1D1D1"/>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shd w:val="clear" w:color="auto" w:fill="D1D1D1"/>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D1D1D1"/>
          </w:tcPr>
          <w:p>
            <w:pPr>
              <w:jc w:val="right"/>
              <w:spacing w:after="0"/>
              <w:rPr>
                <w:sz w:val="20"/>
                <w:szCs w:val="20"/>
                <w:color w:val="auto"/>
              </w:rPr>
            </w:pPr>
            <w:r>
              <w:rPr>
                <w:rFonts w:ascii="Arial" w:cs="Arial" w:eastAsia="Arial" w:hAnsi="Arial"/>
                <w:sz w:val="14"/>
                <w:szCs w:val="14"/>
                <w:color w:val="auto"/>
              </w:rPr>
              <w:t>9,360</w:t>
            </w:r>
          </w:p>
        </w:tc>
        <w:tc>
          <w:tcPr>
            <w:tcW w:w="840" w:type="dxa"/>
            <w:vAlign w:val="bottom"/>
            <w:shd w:val="clear" w:color="auto" w:fill="D1D1D1"/>
          </w:tcPr>
          <w:p>
            <w:pPr>
              <w:jc w:val="right"/>
              <w:spacing w:after="0"/>
              <w:rPr>
                <w:sz w:val="20"/>
                <w:szCs w:val="20"/>
                <w:color w:val="auto"/>
              </w:rPr>
            </w:pPr>
            <w:r>
              <w:rPr>
                <w:rFonts w:ascii="Arial" w:cs="Arial" w:eastAsia="Arial" w:hAnsi="Arial"/>
                <w:sz w:val="14"/>
                <w:szCs w:val="14"/>
                <w:color w:val="auto"/>
              </w:rPr>
              <w:t>70.88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9,560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40" w:type="dxa"/>
            <w:vAlign w:val="bottom"/>
          </w:tcPr>
          <w:p>
            <w:pPr>
              <w:spacing w:after="0" w:line="155" w:lineRule="exact"/>
              <w:rPr>
                <w:sz w:val="20"/>
                <w:szCs w:val="20"/>
                <w:color w:val="auto"/>
              </w:rPr>
            </w:pPr>
            <w:r>
              <w:rPr>
                <w:rFonts w:ascii="Arial" w:cs="Arial" w:eastAsia="Arial" w:hAnsi="Arial"/>
                <w:sz w:val="14"/>
                <w:szCs w:val="14"/>
                <w:b w:val="1"/>
                <w:bCs w:val="1"/>
                <w:color w:val="auto"/>
              </w:rPr>
              <w:t>Louis Vogt</w:t>
            </w:r>
          </w:p>
        </w:tc>
        <w:tc>
          <w:tcPr>
            <w:tcW w:w="1680" w:type="dxa"/>
            <w:vAlign w:val="bottom"/>
            <w:shd w:val="clear" w:color="auto" w:fill="D1D1D1"/>
          </w:tcPr>
          <w:p>
            <w:pPr>
              <w:jc w:val="right"/>
              <w:ind w:right="48"/>
              <w:spacing w:after="0" w:line="155" w:lineRule="exact"/>
              <w:rPr>
                <w:sz w:val="20"/>
                <w:szCs w:val="20"/>
                <w:color w:val="auto"/>
              </w:rPr>
            </w:pPr>
            <w:r>
              <w:rPr>
                <w:rFonts w:ascii="Arial" w:cs="Arial" w:eastAsia="Arial" w:hAnsi="Arial"/>
                <w:sz w:val="14"/>
                <w:szCs w:val="14"/>
                <w:color w:val="auto"/>
              </w:rPr>
              <w:t>28,767</w:t>
            </w:r>
          </w:p>
        </w:tc>
        <w:tc>
          <w:tcPr>
            <w:tcW w:w="1240" w:type="dxa"/>
            <w:vAlign w:val="bottom"/>
            <w:shd w:val="clear" w:color="auto" w:fill="D1D1D1"/>
          </w:tcPr>
          <w:p>
            <w:pPr>
              <w:jc w:val="right"/>
              <w:ind w:right="188"/>
              <w:spacing w:after="0" w:line="155" w:lineRule="exact"/>
              <w:rPr>
                <w:sz w:val="20"/>
                <w:szCs w:val="20"/>
                <w:color w:val="auto"/>
              </w:rPr>
            </w:pPr>
            <w:r>
              <w:rPr>
                <w:rFonts w:ascii="Arial" w:cs="Arial" w:eastAsia="Arial" w:hAnsi="Arial"/>
                <w:sz w:val="14"/>
                <w:szCs w:val="14"/>
                <w:color w:val="auto"/>
              </w:rPr>
              <w:t>57,533</w:t>
            </w:r>
          </w:p>
        </w:tc>
        <w:tc>
          <w:tcPr>
            <w:tcW w:w="1160" w:type="dxa"/>
            <w:vAlign w:val="bottom"/>
            <w:gridSpan w:val="2"/>
            <w:shd w:val="clear" w:color="auto" w:fill="D1D1D1"/>
          </w:tcPr>
          <w:p>
            <w:pPr>
              <w:jc w:val="right"/>
              <w:ind w:right="100"/>
              <w:spacing w:after="0" w:line="155" w:lineRule="exact"/>
              <w:rPr>
                <w:sz w:val="20"/>
                <w:szCs w:val="20"/>
                <w:color w:val="auto"/>
              </w:rPr>
            </w:pPr>
            <w:r>
              <w:rPr>
                <w:rFonts w:ascii="Arial" w:cs="Arial" w:eastAsia="Arial" w:hAnsi="Arial"/>
                <w:sz w:val="14"/>
                <w:szCs w:val="14"/>
                <w:color w:val="auto"/>
              </w:rPr>
              <w:t>115,066</w:t>
            </w:r>
          </w:p>
        </w:tc>
        <w:tc>
          <w:tcPr>
            <w:tcW w:w="1200" w:type="dxa"/>
            <w:vAlign w:val="bottom"/>
            <w:shd w:val="clear" w:color="auto" w:fill="D1D1D1"/>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260" w:type="dxa"/>
            <w:vAlign w:val="bottom"/>
            <w:shd w:val="clear" w:color="auto" w:fill="D1D1D1"/>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shd w:val="clear" w:color="auto" w:fill="D1D1D1"/>
          </w:tcPr>
          <w:p>
            <w:pPr>
              <w:jc w:val="right"/>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40" w:type="dxa"/>
            <w:vAlign w:val="bottom"/>
          </w:tcPr>
          <w:p>
            <w:pPr>
              <w:spacing w:after="0"/>
              <w:rPr>
                <w:sz w:val="20"/>
                <w:szCs w:val="20"/>
                <w:color w:val="auto"/>
              </w:rPr>
            </w:pPr>
            <w:r>
              <w:rPr>
                <w:rFonts w:ascii="Arial" w:cs="Arial" w:eastAsia="Arial" w:hAnsi="Arial"/>
                <w:sz w:val="14"/>
                <w:szCs w:val="14"/>
                <w:color w:val="auto"/>
              </w:rPr>
              <w:t>Group President Recon</w:t>
            </w:r>
          </w:p>
        </w:tc>
        <w:tc>
          <w:tcPr>
            <w:tcW w:w="1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48,369</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4"/>
                <w:szCs w:val="14"/>
                <w:color w:val="auto"/>
              </w:rPr>
            </w:pPr>
          </w:p>
        </w:tc>
        <w:tc>
          <w:tcPr>
            <w:tcW w:w="1680" w:type="dxa"/>
            <w:vAlign w:val="bottom"/>
            <w:shd w:val="clear" w:color="auto" w:fill="D1D1D1"/>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D1D1D1"/>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D1D1D1"/>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shd w:val="clear" w:color="auto" w:fill="D1D1D1"/>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D1D1D1"/>
          </w:tcPr>
          <w:p>
            <w:pPr>
              <w:jc w:val="right"/>
              <w:spacing w:after="0"/>
              <w:rPr>
                <w:sz w:val="20"/>
                <w:szCs w:val="20"/>
                <w:color w:val="auto"/>
              </w:rPr>
            </w:pPr>
            <w:r>
              <w:rPr>
                <w:rFonts w:ascii="Arial" w:cs="Arial" w:eastAsia="Arial" w:hAnsi="Arial"/>
                <w:sz w:val="14"/>
                <w:szCs w:val="14"/>
                <w:color w:val="auto"/>
              </w:rPr>
              <w:t>8,064</w:t>
            </w:r>
          </w:p>
        </w:tc>
        <w:tc>
          <w:tcPr>
            <w:tcW w:w="840" w:type="dxa"/>
            <w:vAlign w:val="bottom"/>
            <w:shd w:val="clear" w:color="auto" w:fill="D1D1D1"/>
          </w:tcPr>
          <w:p>
            <w:pPr>
              <w:jc w:val="right"/>
              <w:spacing w:after="0"/>
              <w:rPr>
                <w:sz w:val="20"/>
                <w:szCs w:val="20"/>
                <w:color w:val="auto"/>
              </w:rPr>
            </w:pPr>
            <w:r>
              <w:rPr>
                <w:rFonts w:ascii="Arial" w:cs="Arial" w:eastAsia="Arial" w:hAnsi="Arial"/>
                <w:sz w:val="14"/>
                <w:szCs w:val="14"/>
                <w:color w:val="auto"/>
              </w:rPr>
              <w:t>76.34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40" w:type="dxa"/>
            <w:vAlign w:val="bottom"/>
          </w:tcPr>
          <w:p>
            <w:pPr>
              <w:spacing w:after="0" w:line="155" w:lineRule="exact"/>
              <w:rPr>
                <w:sz w:val="20"/>
                <w:szCs w:val="20"/>
                <w:color w:val="auto"/>
              </w:rPr>
            </w:pPr>
            <w:r>
              <w:rPr>
                <w:rFonts w:ascii="Arial" w:cs="Arial" w:eastAsia="Arial" w:hAnsi="Arial"/>
                <w:sz w:val="14"/>
                <w:szCs w:val="14"/>
                <w:b w:val="1"/>
                <w:bCs w:val="1"/>
                <w:color w:val="auto"/>
              </w:rPr>
              <w:t>All current executive officers as a group</w:t>
            </w:r>
          </w:p>
        </w:tc>
        <w:tc>
          <w:tcPr>
            <w:tcW w:w="1680" w:type="dxa"/>
            <w:vAlign w:val="bottom"/>
            <w:shd w:val="clear" w:color="auto" w:fill="D1D1D1"/>
          </w:tcPr>
          <w:p>
            <w:pPr>
              <w:jc w:val="right"/>
              <w:ind w:right="48"/>
              <w:spacing w:after="0" w:line="155" w:lineRule="exact"/>
              <w:rPr>
                <w:sz w:val="20"/>
                <w:szCs w:val="20"/>
                <w:color w:val="auto"/>
              </w:rPr>
            </w:pPr>
            <w:r>
              <w:rPr>
                <w:rFonts w:ascii="Arial" w:cs="Arial" w:eastAsia="Arial" w:hAnsi="Arial"/>
                <w:sz w:val="14"/>
                <w:szCs w:val="14"/>
                <w:color w:val="auto"/>
              </w:rPr>
              <w:t>331,437</w:t>
            </w:r>
          </w:p>
        </w:tc>
        <w:tc>
          <w:tcPr>
            <w:tcW w:w="1240" w:type="dxa"/>
            <w:vAlign w:val="bottom"/>
            <w:shd w:val="clear" w:color="auto" w:fill="D1D1D1"/>
          </w:tcPr>
          <w:p>
            <w:pPr>
              <w:jc w:val="right"/>
              <w:ind w:right="188"/>
              <w:spacing w:after="0" w:line="155" w:lineRule="exact"/>
              <w:rPr>
                <w:sz w:val="20"/>
                <w:szCs w:val="20"/>
                <w:color w:val="auto"/>
              </w:rPr>
            </w:pPr>
            <w:r>
              <w:rPr>
                <w:rFonts w:ascii="Arial" w:cs="Arial" w:eastAsia="Arial" w:hAnsi="Arial"/>
                <w:sz w:val="14"/>
                <w:szCs w:val="14"/>
                <w:color w:val="auto"/>
              </w:rPr>
              <w:t>662,874</w:t>
            </w:r>
          </w:p>
        </w:tc>
        <w:tc>
          <w:tcPr>
            <w:tcW w:w="1160" w:type="dxa"/>
            <w:vAlign w:val="bottom"/>
            <w:gridSpan w:val="2"/>
            <w:shd w:val="clear" w:color="auto" w:fill="D1D1D1"/>
          </w:tcPr>
          <w:p>
            <w:pPr>
              <w:jc w:val="right"/>
              <w:ind w:right="100"/>
              <w:spacing w:after="0" w:line="155" w:lineRule="exact"/>
              <w:rPr>
                <w:sz w:val="20"/>
                <w:szCs w:val="20"/>
                <w:color w:val="auto"/>
              </w:rPr>
            </w:pPr>
            <w:r>
              <w:rPr>
                <w:rFonts w:ascii="Arial" w:cs="Arial" w:eastAsia="Arial" w:hAnsi="Arial"/>
                <w:sz w:val="14"/>
                <w:szCs w:val="14"/>
                <w:color w:val="auto"/>
              </w:rPr>
              <w:t>1,325,748</w:t>
            </w:r>
          </w:p>
        </w:tc>
        <w:tc>
          <w:tcPr>
            <w:tcW w:w="1200" w:type="dxa"/>
            <w:vAlign w:val="bottom"/>
            <w:shd w:val="clear" w:color="auto" w:fill="D1D1D1"/>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260" w:type="dxa"/>
            <w:vAlign w:val="bottom"/>
            <w:shd w:val="clear" w:color="auto" w:fill="D1D1D1"/>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shd w:val="clear" w:color="auto" w:fill="D1D1D1"/>
          </w:tcPr>
          <w:p>
            <w:pPr>
              <w:jc w:val="right"/>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4"/>
                <w:szCs w:val="14"/>
                <w:color w:val="auto"/>
              </w:rPr>
            </w:pPr>
          </w:p>
        </w:tc>
        <w:tc>
          <w:tcPr>
            <w:tcW w:w="1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575,223</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4"/>
                <w:szCs w:val="14"/>
                <w:color w:val="auto"/>
              </w:rPr>
            </w:pPr>
          </w:p>
        </w:tc>
        <w:tc>
          <w:tcPr>
            <w:tcW w:w="1680" w:type="dxa"/>
            <w:vAlign w:val="bottom"/>
            <w:shd w:val="clear" w:color="auto" w:fill="D1D1D1"/>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D1D1D1"/>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D1D1D1"/>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shd w:val="clear" w:color="auto" w:fill="D1D1D1"/>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D1D1D1"/>
          </w:tcPr>
          <w:p>
            <w:pPr>
              <w:jc w:val="right"/>
              <w:spacing w:after="0"/>
              <w:rPr>
                <w:sz w:val="20"/>
                <w:szCs w:val="20"/>
                <w:color w:val="auto"/>
              </w:rPr>
            </w:pPr>
            <w:r>
              <w:rPr>
                <w:rFonts w:ascii="Arial" w:cs="Arial" w:eastAsia="Arial" w:hAnsi="Arial"/>
                <w:sz w:val="14"/>
                <w:szCs w:val="14"/>
                <w:color w:val="auto"/>
              </w:rPr>
              <w:t>99,074</w:t>
            </w:r>
          </w:p>
        </w:tc>
        <w:tc>
          <w:tcPr>
            <w:tcW w:w="840" w:type="dxa"/>
            <w:vAlign w:val="bottom"/>
            <w:shd w:val="clear" w:color="auto" w:fill="D1D1D1"/>
          </w:tcPr>
          <w:p>
            <w:pPr>
              <w:jc w:val="right"/>
              <w:spacing w:after="0"/>
              <w:rPr>
                <w:sz w:val="20"/>
                <w:szCs w:val="20"/>
                <w:color w:val="auto"/>
              </w:rPr>
            </w:pPr>
            <w:r>
              <w:rPr>
                <w:rFonts w:ascii="Arial" w:cs="Arial" w:eastAsia="Arial" w:hAnsi="Arial"/>
                <w:sz w:val="14"/>
                <w:szCs w:val="14"/>
                <w:color w:val="auto"/>
              </w:rPr>
              <w:t>76.34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4"/>
                <w:szCs w:val="14"/>
                <w:color w:val="auto"/>
              </w:rPr>
            </w:pPr>
          </w:p>
        </w:tc>
        <w:tc>
          <w:tcPr>
            <w:tcW w:w="1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90,333</w:t>
            </w:r>
          </w:p>
        </w:tc>
        <w:tc>
          <w:tcPr>
            <w:tcW w:w="840" w:type="dxa"/>
            <w:vAlign w:val="bottom"/>
          </w:tcPr>
          <w:p>
            <w:pPr>
              <w:jc w:val="right"/>
              <w:spacing w:after="0"/>
              <w:rPr>
                <w:sz w:val="20"/>
                <w:szCs w:val="20"/>
                <w:color w:val="auto"/>
              </w:rPr>
            </w:pPr>
            <w:r>
              <w:rPr>
                <w:rFonts w:ascii="Arial" w:cs="Arial" w:eastAsia="Arial" w:hAnsi="Arial"/>
                <w:sz w:val="14"/>
                <w:szCs w:val="14"/>
                <w:color w:val="auto"/>
              </w:rPr>
              <w:t>70.88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shd w:val="clear" w:color="auto" w:fill="D1D1D1"/>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D1D1D1"/>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gridSpan w:val="2"/>
            <w:shd w:val="clear" w:color="auto" w:fill="D1D1D1"/>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D1D1D1"/>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D1D1D1"/>
          </w:tcPr>
          <w:p>
            <w:pPr>
              <w:jc w:val="right"/>
              <w:spacing w:after="0"/>
              <w:rPr>
                <w:sz w:val="20"/>
                <w:szCs w:val="20"/>
                <w:color w:val="auto"/>
              </w:rPr>
            </w:pPr>
            <w:r>
              <w:rPr>
                <w:rFonts w:ascii="Arial" w:cs="Arial" w:eastAsia="Arial" w:hAnsi="Arial"/>
                <w:sz w:val="14"/>
                <w:szCs w:val="14"/>
                <w:color w:val="auto"/>
              </w:rPr>
              <w:t>112,084</w:t>
            </w:r>
          </w:p>
        </w:tc>
        <w:tc>
          <w:tcPr>
            <w:tcW w:w="840" w:type="dxa"/>
            <w:vAlign w:val="bottom"/>
            <w:tcBorders>
              <w:bottom w:val="single" w:sz="8" w:color="auto"/>
            </w:tcBorders>
            <w:shd w:val="clear" w:color="auto" w:fill="D1D1D1"/>
          </w:tcPr>
          <w:p>
            <w:pPr>
              <w:jc w:val="right"/>
              <w:spacing w:after="0"/>
              <w:rPr>
                <w:sz w:val="20"/>
                <w:szCs w:val="20"/>
                <w:color w:val="auto"/>
              </w:rPr>
            </w:pPr>
            <w:r>
              <w:rPr>
                <w:rFonts w:ascii="Arial" w:cs="Arial" w:eastAsia="Arial" w:hAnsi="Arial"/>
                <w:sz w:val="14"/>
                <w:szCs w:val="14"/>
                <w:color w:val="auto"/>
              </w:rPr>
              <w:t>57.62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40" w:type="dxa"/>
            <w:vAlign w:val="bottom"/>
          </w:tcPr>
          <w:p>
            <w:pPr>
              <w:spacing w:after="0" w:line="155" w:lineRule="exact"/>
              <w:rPr>
                <w:sz w:val="20"/>
                <w:szCs w:val="20"/>
                <w:color w:val="auto"/>
              </w:rPr>
            </w:pPr>
            <w:r>
              <w:rPr>
                <w:rFonts w:ascii="Arial" w:cs="Arial" w:eastAsia="Arial" w:hAnsi="Arial"/>
                <w:sz w:val="14"/>
                <w:szCs w:val="14"/>
                <w:b w:val="1"/>
                <w:bCs w:val="1"/>
                <w:color w:val="auto"/>
              </w:rPr>
              <w:t>All current non-employee directors as a group</w:t>
            </w:r>
          </w:p>
        </w:tc>
        <w:tc>
          <w:tcPr>
            <w:tcW w:w="1680" w:type="dxa"/>
            <w:vAlign w:val="bottom"/>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188"/>
              <w:spacing w:after="0" w:line="155"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line="155" w:lineRule="exact"/>
              <w:rPr>
                <w:sz w:val="20"/>
                <w:szCs w:val="20"/>
                <w:color w:val="auto"/>
              </w:rPr>
            </w:pPr>
            <w:r>
              <w:rPr>
                <w:rFonts w:ascii="Arial" w:cs="Arial" w:eastAsia="Arial" w:hAnsi="Arial"/>
                <w:sz w:val="14"/>
                <w:szCs w:val="14"/>
                <w:color w:val="auto"/>
              </w:rPr>
              <w:t>59,382</w:t>
            </w:r>
          </w:p>
        </w:tc>
        <w:tc>
          <w:tcPr>
            <w:tcW w:w="12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4"/>
                <w:szCs w:val="14"/>
                <w:color w:val="auto"/>
              </w:rPr>
            </w:pPr>
          </w:p>
        </w:tc>
        <w:tc>
          <w:tcPr>
            <w:tcW w:w="1680" w:type="dxa"/>
            <w:vAlign w:val="bottom"/>
            <w:shd w:val="clear" w:color="auto" w:fill="D1D1D1"/>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D1D1D1"/>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D1D1D1"/>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shd w:val="clear" w:color="auto" w:fill="D1D1D1"/>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D1D1D1"/>
          </w:tcPr>
          <w:p>
            <w:pPr>
              <w:jc w:val="right"/>
              <w:spacing w:after="0"/>
              <w:rPr>
                <w:sz w:val="20"/>
                <w:szCs w:val="20"/>
                <w:color w:val="auto"/>
              </w:rPr>
            </w:pPr>
            <w:r>
              <w:rPr>
                <w:rFonts w:ascii="Arial" w:cs="Arial" w:eastAsia="Arial" w:hAnsi="Arial"/>
                <w:sz w:val="14"/>
                <w:szCs w:val="14"/>
                <w:color w:val="auto"/>
              </w:rPr>
              <w:t>516</w:t>
            </w:r>
          </w:p>
        </w:tc>
        <w:tc>
          <w:tcPr>
            <w:tcW w:w="840" w:type="dxa"/>
            <w:vAlign w:val="bottom"/>
            <w:shd w:val="clear" w:color="auto" w:fill="D1D1D1"/>
          </w:tcPr>
          <w:p>
            <w:pPr>
              <w:jc w:val="right"/>
              <w:spacing w:after="0"/>
              <w:rPr>
                <w:sz w:val="20"/>
                <w:szCs w:val="20"/>
                <w:color w:val="auto"/>
              </w:rPr>
            </w:pPr>
            <w:r>
              <w:rPr>
                <w:rFonts w:ascii="Arial" w:cs="Arial" w:eastAsia="Arial" w:hAnsi="Arial"/>
                <w:sz w:val="14"/>
                <w:szCs w:val="14"/>
                <w:color w:val="auto"/>
              </w:rPr>
              <w:t>76.34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4"/>
                <w:szCs w:val="14"/>
                <w:color w:val="auto"/>
              </w:rPr>
            </w:pPr>
          </w:p>
        </w:tc>
        <w:tc>
          <w:tcPr>
            <w:tcW w:w="1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27,712</w:t>
            </w:r>
          </w:p>
        </w:tc>
        <w:tc>
          <w:tcPr>
            <w:tcW w:w="840" w:type="dxa"/>
            <w:vAlign w:val="bottom"/>
          </w:tcPr>
          <w:p>
            <w:pPr>
              <w:jc w:val="right"/>
              <w:spacing w:after="0"/>
              <w:rPr>
                <w:sz w:val="20"/>
                <w:szCs w:val="20"/>
                <w:color w:val="auto"/>
              </w:rPr>
            </w:pPr>
            <w:r>
              <w:rPr>
                <w:rFonts w:ascii="Arial" w:cs="Arial" w:eastAsia="Arial" w:hAnsi="Arial"/>
                <w:sz w:val="14"/>
                <w:szCs w:val="14"/>
                <w:color w:val="auto"/>
              </w:rPr>
              <w:t>67.28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shd w:val="clear" w:color="auto" w:fill="D1D1D1"/>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D1D1D1"/>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gridSpan w:val="2"/>
            <w:shd w:val="clear" w:color="auto" w:fill="D1D1D1"/>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D1D1D1"/>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D1D1D1"/>
          </w:tcPr>
          <w:p>
            <w:pPr>
              <w:jc w:val="right"/>
              <w:spacing w:after="0"/>
              <w:rPr>
                <w:sz w:val="20"/>
                <w:szCs w:val="20"/>
                <w:color w:val="auto"/>
              </w:rPr>
            </w:pPr>
            <w:r>
              <w:rPr>
                <w:rFonts w:ascii="Arial" w:cs="Arial" w:eastAsia="Arial" w:hAnsi="Arial"/>
                <w:sz w:val="14"/>
                <w:szCs w:val="14"/>
                <w:color w:val="auto"/>
              </w:rPr>
              <w:t>33,336</w:t>
            </w:r>
          </w:p>
        </w:tc>
        <w:tc>
          <w:tcPr>
            <w:tcW w:w="840" w:type="dxa"/>
            <w:vAlign w:val="bottom"/>
            <w:tcBorders>
              <w:bottom w:val="single" w:sz="8" w:color="auto"/>
            </w:tcBorders>
            <w:shd w:val="clear" w:color="auto" w:fill="D1D1D1"/>
          </w:tcPr>
          <w:p>
            <w:pPr>
              <w:jc w:val="right"/>
              <w:spacing w:after="0"/>
              <w:rPr>
                <w:sz w:val="20"/>
                <w:szCs w:val="20"/>
                <w:color w:val="auto"/>
              </w:rPr>
            </w:pPr>
            <w:r>
              <w:rPr>
                <w:rFonts w:ascii="Arial" w:cs="Arial" w:eastAsia="Arial" w:hAnsi="Arial"/>
                <w:sz w:val="14"/>
                <w:szCs w:val="14"/>
                <w:color w:val="auto"/>
              </w:rPr>
              <w:t>56.76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640" w:type="dxa"/>
            <w:vAlign w:val="bottom"/>
          </w:tcPr>
          <w:p>
            <w:pPr>
              <w:spacing w:after="0" w:line="147" w:lineRule="exact"/>
              <w:rPr>
                <w:sz w:val="20"/>
                <w:szCs w:val="20"/>
                <w:color w:val="auto"/>
              </w:rPr>
            </w:pPr>
            <w:r>
              <w:rPr>
                <w:rFonts w:ascii="Arial" w:cs="Arial" w:eastAsia="Arial" w:hAnsi="Arial"/>
                <w:sz w:val="14"/>
                <w:szCs w:val="14"/>
                <w:b w:val="1"/>
                <w:bCs w:val="1"/>
                <w:color w:val="auto"/>
              </w:rPr>
              <w:t>All employees, excluding current executive officers,</w:t>
            </w:r>
          </w:p>
        </w:tc>
        <w:tc>
          <w:tcPr>
            <w:tcW w:w="16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40" w:type="dxa"/>
            <w:vAlign w:val="bottom"/>
          </w:tcPr>
          <w:p>
            <w:pPr>
              <w:spacing w:after="0"/>
              <w:rPr>
                <w:sz w:val="20"/>
                <w:szCs w:val="20"/>
                <w:color w:val="auto"/>
              </w:rPr>
            </w:pPr>
            <w:r>
              <w:rPr>
                <w:rFonts w:ascii="Arial" w:cs="Arial" w:eastAsia="Arial" w:hAnsi="Arial"/>
                <w:sz w:val="14"/>
                <w:szCs w:val="14"/>
                <w:b w:val="1"/>
                <w:bCs w:val="1"/>
                <w:color w:val="auto"/>
              </w:rPr>
              <w:t>as a group</w:t>
            </w:r>
          </w:p>
        </w:tc>
        <w:tc>
          <w:tcPr>
            <w:tcW w:w="1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1,391,208</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4"/>
                <w:szCs w:val="14"/>
                <w:color w:val="auto"/>
              </w:rPr>
            </w:pPr>
          </w:p>
        </w:tc>
        <w:tc>
          <w:tcPr>
            <w:tcW w:w="1680" w:type="dxa"/>
            <w:vAlign w:val="bottom"/>
            <w:shd w:val="clear" w:color="auto" w:fill="D1D1D1"/>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D1D1D1"/>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D1D1D1"/>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shd w:val="clear" w:color="auto" w:fill="D1D1D1"/>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D1D1D1"/>
          </w:tcPr>
          <w:p>
            <w:pPr>
              <w:jc w:val="right"/>
              <w:spacing w:after="0"/>
              <w:rPr>
                <w:sz w:val="20"/>
                <w:szCs w:val="20"/>
                <w:color w:val="auto"/>
              </w:rPr>
            </w:pPr>
            <w:r>
              <w:rPr>
                <w:rFonts w:ascii="Arial" w:cs="Arial" w:eastAsia="Arial" w:hAnsi="Arial"/>
                <w:sz w:val="14"/>
                <w:szCs w:val="14"/>
                <w:color w:val="auto"/>
              </w:rPr>
              <w:t>77,261</w:t>
            </w:r>
          </w:p>
        </w:tc>
        <w:tc>
          <w:tcPr>
            <w:tcW w:w="840" w:type="dxa"/>
            <w:vAlign w:val="bottom"/>
            <w:shd w:val="clear" w:color="auto" w:fill="D1D1D1"/>
          </w:tcPr>
          <w:p>
            <w:pPr>
              <w:jc w:val="right"/>
              <w:spacing w:after="0"/>
              <w:rPr>
                <w:sz w:val="20"/>
                <w:szCs w:val="20"/>
                <w:color w:val="auto"/>
              </w:rPr>
            </w:pPr>
            <w:r>
              <w:rPr>
                <w:rFonts w:ascii="Arial" w:cs="Arial" w:eastAsia="Arial" w:hAnsi="Arial"/>
                <w:sz w:val="14"/>
                <w:szCs w:val="14"/>
                <w:color w:val="auto"/>
              </w:rPr>
              <w:t>76.34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4"/>
                <w:szCs w:val="14"/>
                <w:color w:val="auto"/>
              </w:rPr>
            </w:pPr>
          </w:p>
        </w:tc>
        <w:tc>
          <w:tcPr>
            <w:tcW w:w="1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62,719</w:t>
            </w:r>
          </w:p>
        </w:tc>
        <w:tc>
          <w:tcPr>
            <w:tcW w:w="840" w:type="dxa"/>
            <w:vAlign w:val="bottom"/>
          </w:tcPr>
          <w:p>
            <w:pPr>
              <w:jc w:val="right"/>
              <w:spacing w:after="0"/>
              <w:rPr>
                <w:sz w:val="20"/>
                <w:szCs w:val="20"/>
                <w:color w:val="auto"/>
              </w:rPr>
            </w:pPr>
            <w:r>
              <w:rPr>
                <w:rFonts w:ascii="Arial" w:cs="Arial" w:eastAsia="Arial" w:hAnsi="Arial"/>
                <w:sz w:val="14"/>
                <w:szCs w:val="14"/>
                <w:color w:val="auto"/>
              </w:rPr>
              <w:t>70.88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shd w:val="clear" w:color="auto" w:fill="D1D1D1"/>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D1D1D1"/>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gridSpan w:val="2"/>
            <w:shd w:val="clear" w:color="auto" w:fill="D1D1D1"/>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D1D1D1"/>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D1D1D1"/>
          </w:tcPr>
          <w:p>
            <w:pPr>
              <w:jc w:val="right"/>
              <w:spacing w:after="0"/>
              <w:rPr>
                <w:sz w:val="20"/>
                <w:szCs w:val="20"/>
                <w:color w:val="auto"/>
              </w:rPr>
            </w:pPr>
            <w:r>
              <w:rPr>
                <w:rFonts w:ascii="Arial" w:cs="Arial" w:eastAsia="Arial" w:hAnsi="Arial"/>
                <w:sz w:val="14"/>
                <w:szCs w:val="14"/>
                <w:color w:val="auto"/>
              </w:rPr>
              <w:t>88,216</w:t>
            </w:r>
          </w:p>
        </w:tc>
        <w:tc>
          <w:tcPr>
            <w:tcW w:w="840" w:type="dxa"/>
            <w:vAlign w:val="bottom"/>
            <w:tcBorders>
              <w:bottom w:val="single" w:sz="8" w:color="auto"/>
            </w:tcBorders>
            <w:shd w:val="clear" w:color="auto" w:fill="D1D1D1"/>
          </w:tcPr>
          <w:p>
            <w:pPr>
              <w:jc w:val="right"/>
              <w:spacing w:after="0"/>
              <w:rPr>
                <w:sz w:val="20"/>
                <w:szCs w:val="20"/>
                <w:color w:val="auto"/>
              </w:rPr>
            </w:pPr>
            <w:r>
              <w:rPr>
                <w:rFonts w:ascii="Arial" w:cs="Arial" w:eastAsia="Arial" w:hAnsi="Arial"/>
                <w:sz w:val="14"/>
                <w:szCs w:val="14"/>
                <w:color w:val="auto"/>
              </w:rPr>
              <w:t>57.62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24" w:right="20" w:hanging="324"/>
        <w:spacing w:after="0" w:line="193" w:lineRule="auto"/>
        <w:tabs>
          <w:tab w:leader="none" w:pos="324" w:val="left"/>
        </w:tabs>
        <w:numPr>
          <w:ilvl w:val="0"/>
          <w:numId w:val="112"/>
        </w:numPr>
        <w:rPr>
          <w:rFonts w:ascii="Arial" w:cs="Arial" w:eastAsia="Arial" w:hAnsi="Arial"/>
          <w:sz w:val="24"/>
          <w:szCs w:val="24"/>
          <w:color w:val="auto"/>
          <w:vertAlign w:val="superscript"/>
        </w:rPr>
      </w:pPr>
      <w:r>
        <w:rPr>
          <w:rFonts w:ascii="Arial" w:cs="Arial" w:eastAsia="Arial" w:hAnsi="Arial"/>
          <w:sz w:val="14"/>
          <w:szCs w:val="14"/>
          <w:color w:val="auto"/>
        </w:rPr>
        <w:t>These columns present information about performance-based shares awarded during 2024, 2025 and 2026 pursuant to the 2020 Plan. The payout of these performance-based shares will generally be determined based on the achievement of specific metrics calculated over a three-year performance period.</w:t>
      </w:r>
    </w:p>
    <w:p>
      <w:pPr>
        <w:ind w:left="324" w:hanging="324"/>
        <w:spacing w:after="0" w:line="235" w:lineRule="auto"/>
        <w:tabs>
          <w:tab w:leader="none" w:pos="324" w:val="left"/>
        </w:tabs>
        <w:numPr>
          <w:ilvl w:val="0"/>
          <w:numId w:val="113"/>
        </w:numPr>
        <w:rPr>
          <w:rFonts w:ascii="Arial" w:cs="Arial" w:eastAsia="Arial" w:hAnsi="Arial"/>
          <w:sz w:val="24"/>
          <w:szCs w:val="24"/>
          <w:color w:val="auto"/>
          <w:vertAlign w:val="superscript"/>
        </w:rPr>
      </w:pPr>
      <w:r>
        <w:rPr>
          <w:rFonts w:ascii="Arial" w:cs="Arial" w:eastAsia="Arial" w:hAnsi="Arial"/>
          <w:sz w:val="14"/>
          <w:szCs w:val="14"/>
          <w:color w:val="auto"/>
        </w:rPr>
        <w:t>This column presents information about RSUs awards from 2024 to 2026 pursuant to the 2020 Plan.</w:t>
      </w:r>
    </w:p>
    <w:p>
      <w:pPr>
        <w:spacing w:after="0" w:line="90" w:lineRule="exact"/>
        <w:rPr>
          <w:sz w:val="20"/>
          <w:szCs w:val="20"/>
          <w:color w:val="auto"/>
        </w:rPr>
      </w:pPr>
    </w:p>
    <w:p>
      <w:pPr>
        <w:ind w:left="7524"/>
        <w:spacing w:after="0"/>
        <w:tabs>
          <w:tab w:leader="none" w:pos="10804" w:val="left"/>
        </w:tabs>
        <w:rPr>
          <w:sz w:val="20"/>
          <w:szCs w:val="20"/>
          <w:color w:val="auto"/>
        </w:rPr>
      </w:pPr>
      <w:r>
        <w:rPr>
          <w:sz w:val="1"/>
          <w:szCs w:val="1"/>
          <w:color w:val="auto"/>
        </w:rPr>
        <w:drawing>
          <wp:inline distT="0" distB="0" distL="0" distR="0">
            <wp:extent cx="685800" cy="162560"/>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0" cy="162560"/>
                    </a:xfrm>
                    <a:prstGeom prst="rect">
                      <a:avLst/>
                    </a:prstGeom>
                    <a:noFill/>
                    <a:ln>
                      <a:noFill/>
                    </a:ln>
                  </pic:spPr>
                </pic:pic>
              </a:graphicData>
            </a:graphic>
          </wp:inline>
        </w:drawing>
      </w:r>
      <w:r>
        <w:rPr>
          <w:rFonts w:ascii="Arial" w:cs="Arial" w:eastAsia="Arial" w:hAnsi="Arial"/>
          <w:sz w:val="18"/>
          <w:szCs w:val="18"/>
          <w:color w:val="auto"/>
        </w:rPr>
        <w:t xml:space="preserve"> - 2026 Proxy Statement</w:t>
      </w:r>
      <w:r>
        <w:rPr>
          <w:sz w:val="20"/>
          <w:szCs w:val="20"/>
          <w:color w:val="auto"/>
        </w:rPr>
        <w:tab/>
      </w: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-186690</wp:posOffset>
            </wp:positionV>
            <wp:extent cx="6995160" cy="3257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95160" cy="325755"/>
                    </a:xfrm>
                    <a:prstGeom prst="rect">
                      <a:avLst/>
                    </a:prstGeom>
                    <a:noFill/>
                  </pic:spPr>
                </pic:pic>
              </a:graphicData>
            </a:graphic>
          </wp:anchor>
        </w:drawing>
      </w:r>
    </w:p>
    <w:p>
      <w:pPr>
        <w:sectPr>
          <w:pgSz w:w="11900" w:h="16838" w:orient="portrait"/>
          <w:cols w:equalWidth="0" w:num="1">
            <w:col w:w="11024"/>
          </w:cols>
          <w:pgMar w:left="436" w:top="622" w:right="439" w:bottom="1440" w:gutter="0" w:footer="0" w:header="0"/>
        </w:sectPr>
      </w:pPr>
    </w:p>
    <w:bookmarkStart w:id="73" w:name="page74"/>
    <w:bookmarkEnd w:id="73"/>
    <w:p>
      <w:pPr>
        <w:spacing w:after="0"/>
        <w:rPr>
          <w:sz w:val="20"/>
          <w:szCs w:val="20"/>
          <w:color w:val="auto"/>
        </w:rPr>
      </w:pPr>
      <w:r>
        <w:rPr>
          <w:rFonts w:ascii="Arial" w:cs="Arial" w:eastAsia="Arial" w:hAnsi="Arial"/>
          <w:sz w:val="32"/>
          <w:szCs w:val="32"/>
          <w:b w:val="1"/>
          <w:bCs w:val="1"/>
          <w:color w:val="C8102E"/>
        </w:rPr>
        <w:t>Registration with the SEC</w:t>
      </w:r>
    </w:p>
    <w:p>
      <w:pPr>
        <w:spacing w:after="0" w:line="175"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We intend to file a Registration Statement on Form S-8 relating to the issuance of additional shares of common stock under the Amendment with the SEC pursuant to the Securities Act of 1933 as soon as practicable after approval of the Amendment by our stockholders.</w:t>
      </w:r>
    </w:p>
    <w:p>
      <w:pPr>
        <w:spacing w:after="0" w:line="99" w:lineRule="exact"/>
        <w:rPr>
          <w:sz w:val="20"/>
          <w:szCs w:val="20"/>
          <w:color w:val="auto"/>
        </w:rPr>
      </w:pPr>
    </w:p>
    <w:p>
      <w:pPr>
        <w:spacing w:after="0"/>
        <w:rPr>
          <w:sz w:val="20"/>
          <w:szCs w:val="20"/>
          <w:color w:val="auto"/>
        </w:rPr>
      </w:pPr>
      <w:r>
        <w:rPr>
          <w:rFonts w:ascii="Arial" w:cs="Arial" w:eastAsia="Arial" w:hAnsi="Arial"/>
          <w:sz w:val="32"/>
          <w:szCs w:val="32"/>
          <w:b w:val="1"/>
          <w:bCs w:val="1"/>
          <w:color w:val="C8102E"/>
        </w:rPr>
        <w:t>Equity Compensation Plan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See page 57 of this Proxy Statement for Enovis Corporation’s equity compensation plan information as of December 31, 2025.</w:t>
      </w:r>
    </w:p>
    <w:p>
      <w:pPr>
        <w:spacing w:after="0" w:line="137" w:lineRule="exact"/>
        <w:rPr>
          <w:sz w:val="20"/>
          <w:szCs w:val="20"/>
          <w:color w:val="auto"/>
        </w:rPr>
      </w:pPr>
    </w:p>
    <w:p>
      <w:pPr>
        <w:ind w:right="460"/>
        <w:spacing w:after="0" w:line="298" w:lineRule="auto"/>
        <w:rPr>
          <w:sz w:val="20"/>
          <w:szCs w:val="20"/>
          <w:color w:val="auto"/>
        </w:rPr>
      </w:pPr>
      <w:r>
        <w:rPr>
          <w:rFonts w:ascii="Arial" w:cs="Arial" w:eastAsia="Arial" w:hAnsi="Arial"/>
          <w:sz w:val="32"/>
          <w:szCs w:val="32"/>
          <w:b w:val="1"/>
          <w:bCs w:val="1"/>
          <w:color w:val="C8102E"/>
        </w:rPr>
        <w:t>Why You Should Approve the Amendment to the Enovis Corporation 2020 Omnibus Incentive Plan</w:t>
      </w:r>
    </w:p>
    <w:p>
      <w:pPr>
        <w:spacing w:after="0" w:line="7"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Board recommends that our stockholders approve the Amendment because appropriate equity incentives are important to attract and retain high quality officer and employees, to link compensation to Company performance, to encourage employee and director ownership in our Company, and to align the interests of participants to those of our stockholders. The approval of the Amendment will enable us to continue to provide such incentives.</w:t>
      </w:r>
    </w:p>
    <w:p>
      <w:pPr>
        <w:spacing w:after="0" w:line="107" w:lineRule="exact"/>
        <w:rPr>
          <w:sz w:val="20"/>
          <w:szCs w:val="20"/>
          <w:color w:val="auto"/>
        </w:rPr>
      </w:pPr>
    </w:p>
    <w:p>
      <w:pPr>
        <w:spacing w:after="0"/>
        <w:rPr>
          <w:sz w:val="20"/>
          <w:szCs w:val="20"/>
          <w:color w:val="auto"/>
        </w:rPr>
      </w:pPr>
      <w:r>
        <w:rPr>
          <w:rFonts w:ascii="Arial" w:cs="Arial" w:eastAsia="Arial" w:hAnsi="Arial"/>
          <w:sz w:val="32"/>
          <w:szCs w:val="32"/>
          <w:b w:val="1"/>
          <w:bCs w:val="1"/>
          <w:color w:val="C8102E"/>
        </w:rPr>
        <w:t>Vote Required</w:t>
      </w:r>
    </w:p>
    <w:p>
      <w:pPr>
        <w:spacing w:after="0" w:line="202"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The affirmative vote of the holders of a majority of the shares present in person or represented by proxy at the Annual Meeting and entitled to vote is required to approve the Amendment.</w:t>
      </w:r>
    </w:p>
    <w:p>
      <w:pPr>
        <w:spacing w:after="0" w:line="126" w:lineRule="exact"/>
        <w:rPr>
          <w:sz w:val="20"/>
          <w:szCs w:val="20"/>
          <w:color w:val="auto"/>
        </w:rPr>
      </w:pPr>
    </w:p>
    <w:p>
      <w:pPr>
        <w:spacing w:after="0"/>
        <w:rPr>
          <w:sz w:val="20"/>
          <w:szCs w:val="20"/>
          <w:color w:val="auto"/>
        </w:rPr>
      </w:pPr>
      <w:r>
        <w:rPr>
          <w:rFonts w:ascii="Arial" w:cs="Arial" w:eastAsia="Arial" w:hAnsi="Arial"/>
          <w:sz w:val="32"/>
          <w:szCs w:val="32"/>
          <w:b w:val="1"/>
          <w:bCs w:val="1"/>
          <w:color w:val="C8102E"/>
        </w:rPr>
        <w:t>Board Recommendation</w:t>
      </w:r>
    </w:p>
    <w:p>
      <w:pPr>
        <w:spacing w:after="0" w:line="229" w:lineRule="exact"/>
        <w:rPr>
          <w:sz w:val="20"/>
          <w:szCs w:val="20"/>
          <w:color w:val="auto"/>
        </w:rPr>
      </w:pPr>
    </w:p>
    <w:p>
      <w:pPr>
        <w:ind w:left="120" w:right="120"/>
        <w:spacing w:after="0" w:line="251" w:lineRule="auto"/>
        <w:rPr>
          <w:sz w:val="20"/>
          <w:szCs w:val="20"/>
          <w:color w:val="auto"/>
        </w:rPr>
      </w:pPr>
      <w:r>
        <w:rPr>
          <w:rFonts w:ascii="Arial" w:cs="Arial" w:eastAsia="Arial" w:hAnsi="Arial"/>
          <w:sz w:val="16"/>
          <w:szCs w:val="16"/>
          <w:color w:val="auto"/>
        </w:rPr>
        <w:t xml:space="preserve">The Board unanimously recommends that you vote </w:t>
      </w:r>
      <w:r>
        <w:rPr>
          <w:rFonts w:ascii="Arial" w:cs="Arial" w:eastAsia="Arial" w:hAnsi="Arial"/>
          <w:sz w:val="16"/>
          <w:szCs w:val="16"/>
          <w:b w:val="1"/>
          <w:bCs w:val="1"/>
          <w:color w:val="FF0000"/>
        </w:rPr>
        <w:t>FOR</w:t>
      </w:r>
      <w:r>
        <w:rPr>
          <w:rFonts w:ascii="Arial" w:cs="Arial" w:eastAsia="Arial" w:hAnsi="Arial"/>
          <w:sz w:val="16"/>
          <w:szCs w:val="16"/>
          <w:color w:val="auto"/>
        </w:rPr>
        <w:t xml:space="preserve"> Proposal 4, which is approval of the Amendment to the Enovis Corporation 2020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-243205</wp:posOffset>
            </wp:positionV>
            <wp:extent cx="6995160" cy="2311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95160" cy="231140"/>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-118745</wp:posOffset>
            </wp:positionV>
            <wp:extent cx="762635" cy="38608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62635" cy="38608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699516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622" w:right="439" w:bottom="1440" w:gutter="0" w:footer="0" w:header="0"/>
        </w:sectPr>
      </w:pPr>
    </w:p>
    <w:bookmarkStart w:id="74" w:name="page75"/>
    <w:bookmarkEnd w:id="74"/>
    <w:p>
      <w:pPr>
        <w:ind w:left="644" w:hanging="644"/>
        <w:spacing w:after="0"/>
        <w:tabs>
          <w:tab w:leader="none" w:pos="644" w:val="left"/>
        </w:tabs>
        <w:numPr>
          <w:ilvl w:val="0"/>
          <w:numId w:val="114"/>
        </w:numPr>
        <w:rPr>
          <w:rFonts w:ascii="MS PGothic" w:cs="MS PGothic" w:eastAsia="MS PGothic" w:hAnsi="MS PGothic"/>
          <w:sz w:val="47"/>
          <w:szCs w:val="47"/>
          <w:color w:val="C8102E"/>
        </w:rPr>
      </w:pPr>
      <w:r>
        <w:rPr>
          <w:rFonts w:ascii="Arial" w:cs="Arial" w:eastAsia="Arial" w:hAnsi="Arial"/>
          <w:sz w:val="47"/>
          <w:szCs w:val="47"/>
          <w:color w:val="auto"/>
        </w:rPr>
        <w:t>BENEFICIAL OWNERSHIP OF OUR COMMON</w:t>
      </w:r>
    </w:p>
    <w:p>
      <w:pPr>
        <w:ind w:left="644"/>
        <w:spacing w:after="0"/>
        <w:rPr>
          <w:sz w:val="20"/>
          <w:szCs w:val="20"/>
          <w:color w:val="auto"/>
        </w:rPr>
      </w:pPr>
      <w:r>
        <w:rPr>
          <w:rFonts w:ascii="Arial" w:cs="Arial" w:eastAsia="Arial" w:hAnsi="Arial"/>
          <w:sz w:val="47"/>
          <w:szCs w:val="47"/>
          <w:color w:val="auto"/>
        </w:rPr>
        <w:t>STOCK</w:t>
      </w:r>
    </w:p>
    <w:p>
      <w:pPr>
        <w:spacing w:after="0" w:line="85" w:lineRule="exact"/>
        <w:rPr>
          <w:sz w:val="20"/>
          <w:szCs w:val="20"/>
          <w:color w:val="auto"/>
        </w:rPr>
      </w:pPr>
    </w:p>
    <w:p>
      <w:pPr>
        <w:jc w:val="both"/>
        <w:ind w:left="4"/>
        <w:spacing w:after="0" w:line="222" w:lineRule="auto"/>
        <w:rPr>
          <w:sz w:val="20"/>
          <w:szCs w:val="20"/>
          <w:color w:val="auto"/>
        </w:rPr>
      </w:pPr>
      <w:r>
        <w:rPr>
          <w:rFonts w:ascii="Arial" w:cs="Arial" w:eastAsia="Arial" w:hAnsi="Arial"/>
          <w:sz w:val="16"/>
          <w:szCs w:val="16"/>
          <w:color w:val="auto"/>
        </w:rPr>
        <w:t>The following table sets forth certain information as of March 10, 2026 (unless otherwise specified), with respect to the beneficial ownership of our common stock by each person who is known to own beneficially more than 5% of the outstanding shares of common stock, each person currently serving as a director, each nominee for director, each named executive officer (as listed below), and all directors and executive officers as a group. The information in the table and the related notes for 5% holders is based on statements filed by the respective beneficial owners with the SEC pursuant to Sections 13(d) and 13(g) under the Exchange Act. Unless otherwise indicated, to our knowledge, each person has sole dispositive and voting power over the shares in the table.</w:t>
      </w:r>
    </w:p>
    <w:p>
      <w:pPr>
        <w:spacing w:after="0" w:line="145"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6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2"/>
          </w:tcPr>
          <w:p>
            <w:pPr>
              <w:jc w:val="right"/>
              <w:ind w:right="1080"/>
              <w:spacing w:after="0"/>
              <w:rPr>
                <w:sz w:val="20"/>
                <w:szCs w:val="20"/>
                <w:color w:val="auto"/>
              </w:rPr>
            </w:pPr>
            <w:r>
              <w:rPr>
                <w:rFonts w:ascii="Arial" w:cs="Arial" w:eastAsia="Arial" w:hAnsi="Arial"/>
                <w:sz w:val="14"/>
                <w:szCs w:val="14"/>
                <w:b w:val="1"/>
                <w:bCs w:val="1"/>
                <w:color w:val="C8102E"/>
              </w:rPr>
              <w:t>Shares</w:t>
            </w:r>
          </w:p>
        </w:tc>
        <w:tc>
          <w:tcPr>
            <w:tcW w:w="18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1"/>
        </w:trPr>
        <w:tc>
          <w:tcPr>
            <w:tcW w:w="6760" w:type="dxa"/>
            <w:vAlign w:val="bottom"/>
            <w:gridSpan w:val="2"/>
          </w:tcPr>
          <w:p>
            <w:pPr>
              <w:spacing w:after="0"/>
              <w:rPr>
                <w:sz w:val="20"/>
                <w:szCs w:val="20"/>
                <w:color w:val="auto"/>
              </w:rPr>
            </w:pPr>
            <w:r>
              <w:rPr>
                <w:rFonts w:ascii="Arial" w:cs="Arial" w:eastAsia="Arial" w:hAnsi="Arial"/>
                <w:sz w:val="14"/>
                <w:szCs w:val="14"/>
                <w:b w:val="1"/>
                <w:bCs w:val="1"/>
                <w:color w:val="C8102E"/>
              </w:rPr>
              <w:t>Beneficial Owner</w:t>
            </w:r>
          </w:p>
        </w:tc>
        <w:tc>
          <w:tcPr>
            <w:tcW w:w="22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C8102E"/>
              </w:rPr>
              <w:t>Beneficially Owned</w:t>
            </w:r>
          </w:p>
        </w:tc>
        <w:tc>
          <w:tcPr>
            <w:tcW w:w="2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C8102E"/>
              </w:rPr>
              <w:t>Percent of Class</w:t>
            </w:r>
          </w:p>
        </w:tc>
      </w:tr>
      <w:tr>
        <w:trPr>
          <w:trHeight w:val="183"/>
        </w:trPr>
        <w:tc>
          <w:tcPr>
            <w:tcW w:w="6540" w:type="dxa"/>
            <w:vAlign w:val="bottom"/>
            <w:tcBorders>
              <w:top w:val="single" w:sz="8" w:color="auto"/>
            </w:tcBorders>
            <w:shd w:val="clear" w:color="auto" w:fill="EDEDEE"/>
          </w:tcPr>
          <w:p>
            <w:pPr>
              <w:spacing w:after="0" w:line="183" w:lineRule="exact"/>
              <w:rPr>
                <w:sz w:val="20"/>
                <w:szCs w:val="20"/>
                <w:color w:val="auto"/>
              </w:rPr>
            </w:pPr>
            <w:r>
              <w:rPr>
                <w:rFonts w:ascii="Arial" w:cs="Arial" w:eastAsia="Arial" w:hAnsi="Arial"/>
                <w:sz w:val="13"/>
                <w:szCs w:val="13"/>
                <w:b w:val="1"/>
                <w:bCs w:val="1"/>
                <w:color w:val="auto"/>
              </w:rPr>
              <w:t>5% Holders</w:t>
            </w:r>
            <w:r>
              <w:rPr>
                <w:rFonts w:ascii="Arial" w:cs="Arial" w:eastAsia="Arial" w:hAnsi="Arial"/>
                <w:sz w:val="21"/>
                <w:szCs w:val="21"/>
                <w:b w:val="1"/>
                <w:bCs w:val="1"/>
                <w:color w:val="auto"/>
                <w:vertAlign w:val="superscript"/>
              </w:rPr>
              <w:t>(1)</w:t>
            </w:r>
          </w:p>
        </w:tc>
        <w:tc>
          <w:tcPr>
            <w:tcW w:w="220" w:type="dxa"/>
            <w:vAlign w:val="bottom"/>
            <w:tcBorders>
              <w:top w:val="single" w:sz="8" w:color="EDEDEE"/>
            </w:tcBorders>
            <w:shd w:val="clear" w:color="auto" w:fill="EDEDEE"/>
          </w:tcPr>
          <w:p>
            <w:pPr>
              <w:spacing w:after="0"/>
              <w:rPr>
                <w:sz w:val="15"/>
                <w:szCs w:val="15"/>
                <w:color w:val="auto"/>
              </w:rPr>
            </w:pPr>
          </w:p>
        </w:tc>
        <w:tc>
          <w:tcPr>
            <w:tcW w:w="1860" w:type="dxa"/>
            <w:vAlign w:val="bottom"/>
            <w:tcBorders>
              <w:top w:val="single" w:sz="8" w:color="auto"/>
            </w:tcBorders>
            <w:shd w:val="clear" w:color="auto" w:fill="EDEDEE"/>
          </w:tcPr>
          <w:p>
            <w:pPr>
              <w:spacing w:after="0"/>
              <w:rPr>
                <w:sz w:val="15"/>
                <w:szCs w:val="15"/>
                <w:color w:val="auto"/>
              </w:rPr>
            </w:pPr>
          </w:p>
        </w:tc>
        <w:tc>
          <w:tcPr>
            <w:tcW w:w="400" w:type="dxa"/>
            <w:vAlign w:val="bottom"/>
            <w:tcBorders>
              <w:top w:val="single" w:sz="8" w:color="EDEDEE"/>
            </w:tcBorders>
            <w:shd w:val="clear" w:color="auto" w:fill="EDEDEE"/>
          </w:tcPr>
          <w:p>
            <w:pPr>
              <w:spacing w:after="0"/>
              <w:rPr>
                <w:sz w:val="15"/>
                <w:szCs w:val="15"/>
                <w:color w:val="auto"/>
              </w:rPr>
            </w:pPr>
          </w:p>
        </w:tc>
        <w:tc>
          <w:tcPr>
            <w:tcW w:w="1860" w:type="dxa"/>
            <w:vAlign w:val="bottom"/>
            <w:tcBorders>
              <w:top w:val="single" w:sz="8" w:color="auto"/>
            </w:tcBorders>
            <w:shd w:val="clear" w:color="auto" w:fill="EDEDEE"/>
          </w:tcPr>
          <w:p>
            <w:pPr>
              <w:spacing w:after="0"/>
              <w:rPr>
                <w:sz w:val="15"/>
                <w:szCs w:val="15"/>
                <w:color w:val="auto"/>
              </w:rPr>
            </w:pPr>
          </w:p>
        </w:tc>
        <w:tc>
          <w:tcPr>
            <w:tcW w:w="140" w:type="dxa"/>
            <w:vAlign w:val="bottom"/>
            <w:tcBorders>
              <w:top w:val="single" w:sz="8" w:color="EDEDEE"/>
            </w:tcBorders>
            <w:shd w:val="clear" w:color="auto" w:fill="EDEDEE"/>
          </w:tcPr>
          <w:p>
            <w:pPr>
              <w:spacing w:after="0"/>
              <w:rPr>
                <w:sz w:val="15"/>
                <w:szCs w:val="15"/>
                <w:color w:val="auto"/>
              </w:rPr>
            </w:pPr>
          </w:p>
        </w:tc>
      </w:tr>
      <w:tr>
        <w:trPr>
          <w:trHeight w:val="176"/>
        </w:trPr>
        <w:tc>
          <w:tcPr>
            <w:tcW w:w="6760" w:type="dxa"/>
            <w:vAlign w:val="bottom"/>
            <w:gridSpan w:val="2"/>
          </w:tcPr>
          <w:p>
            <w:pPr>
              <w:ind w:left="180"/>
              <w:spacing w:after="0"/>
              <w:rPr>
                <w:sz w:val="20"/>
                <w:szCs w:val="20"/>
                <w:color w:val="auto"/>
              </w:rPr>
            </w:pPr>
            <w:r>
              <w:rPr>
                <w:rFonts w:ascii="Arial" w:cs="Arial" w:eastAsia="Arial" w:hAnsi="Arial"/>
                <w:sz w:val="14"/>
                <w:szCs w:val="14"/>
                <w:color w:val="auto"/>
              </w:rPr>
              <w:t>BlackRock, Inc.</w:t>
            </w:r>
          </w:p>
        </w:tc>
        <w:tc>
          <w:tcPr>
            <w:tcW w:w="2260" w:type="dxa"/>
            <w:vAlign w:val="bottom"/>
            <w:gridSpan w:val="2"/>
          </w:tcPr>
          <w:p>
            <w:pPr>
              <w:jc w:val="right"/>
              <w:ind w:right="260"/>
              <w:spacing w:after="0" w:line="176" w:lineRule="exact"/>
              <w:rPr>
                <w:sz w:val="20"/>
                <w:szCs w:val="20"/>
                <w:color w:val="auto"/>
              </w:rPr>
            </w:pPr>
            <w:r>
              <w:rPr>
                <w:rFonts w:ascii="Arial" w:cs="Arial" w:eastAsia="Arial" w:hAnsi="Arial"/>
                <w:sz w:val="14"/>
                <w:szCs w:val="14"/>
                <w:color w:val="auto"/>
              </w:rPr>
              <w:t>8,511,597</w:t>
            </w:r>
            <w:r>
              <w:rPr>
                <w:rFonts w:ascii="Arial" w:cs="Arial" w:eastAsia="Arial" w:hAnsi="Arial"/>
                <w:sz w:val="20"/>
                <w:szCs w:val="20"/>
                <w:color w:val="auto"/>
                <w:vertAlign w:val="superscript"/>
              </w:rPr>
              <w:t>(2)</w:t>
            </w:r>
          </w:p>
        </w:tc>
        <w:tc>
          <w:tcPr>
            <w:tcW w:w="2000" w:type="dxa"/>
            <w:vAlign w:val="bottom"/>
            <w:gridSpan w:val="2"/>
          </w:tcPr>
          <w:p>
            <w:pPr>
              <w:jc w:val="right"/>
              <w:ind w:right="20"/>
              <w:spacing w:after="0"/>
              <w:rPr>
                <w:sz w:val="20"/>
                <w:szCs w:val="20"/>
                <w:color w:val="auto"/>
              </w:rPr>
            </w:pPr>
            <w:r>
              <w:rPr>
                <w:rFonts w:ascii="Arial" w:cs="Arial" w:eastAsia="Arial" w:hAnsi="Arial"/>
                <w:sz w:val="14"/>
                <w:szCs w:val="14"/>
                <w:color w:val="auto"/>
              </w:rPr>
              <w:t>14.9%</w:t>
            </w:r>
          </w:p>
        </w:tc>
      </w:tr>
      <w:tr>
        <w:trPr>
          <w:trHeight w:val="175"/>
        </w:trPr>
        <w:tc>
          <w:tcPr>
            <w:tcW w:w="6760" w:type="dxa"/>
            <w:vAlign w:val="bottom"/>
            <w:gridSpan w:val="2"/>
            <w:shd w:val="clear" w:color="auto" w:fill="EDEDEE"/>
          </w:tcPr>
          <w:p>
            <w:pPr>
              <w:ind w:left="180"/>
              <w:spacing w:after="0"/>
              <w:rPr>
                <w:sz w:val="20"/>
                <w:szCs w:val="20"/>
                <w:color w:val="auto"/>
              </w:rPr>
            </w:pPr>
            <w:r>
              <w:rPr>
                <w:rFonts w:ascii="Arial" w:cs="Arial" w:eastAsia="Arial" w:hAnsi="Arial"/>
                <w:sz w:val="14"/>
                <w:szCs w:val="14"/>
                <w:color w:val="auto"/>
              </w:rPr>
              <w:t>American Century Investment Management, Inc.</w:t>
            </w:r>
          </w:p>
        </w:tc>
        <w:tc>
          <w:tcPr>
            <w:tcW w:w="2260" w:type="dxa"/>
            <w:vAlign w:val="bottom"/>
            <w:gridSpan w:val="2"/>
            <w:shd w:val="clear" w:color="auto" w:fill="EDEDEE"/>
          </w:tcPr>
          <w:p>
            <w:pPr>
              <w:jc w:val="right"/>
              <w:ind w:right="260"/>
              <w:spacing w:after="0" w:line="176" w:lineRule="exact"/>
              <w:rPr>
                <w:sz w:val="20"/>
                <w:szCs w:val="20"/>
                <w:color w:val="auto"/>
              </w:rPr>
            </w:pPr>
            <w:r>
              <w:rPr>
                <w:rFonts w:ascii="Arial" w:cs="Arial" w:eastAsia="Arial" w:hAnsi="Arial"/>
                <w:sz w:val="14"/>
                <w:szCs w:val="14"/>
                <w:color w:val="auto"/>
              </w:rPr>
              <w:t>4,737,327</w:t>
            </w:r>
            <w:r>
              <w:rPr>
                <w:rFonts w:ascii="Arial" w:cs="Arial" w:eastAsia="Arial" w:hAnsi="Arial"/>
                <w:sz w:val="20"/>
                <w:szCs w:val="20"/>
                <w:color w:val="auto"/>
                <w:vertAlign w:val="superscript"/>
              </w:rPr>
              <w:t>(3)</w:t>
            </w:r>
          </w:p>
        </w:tc>
        <w:tc>
          <w:tcPr>
            <w:tcW w:w="2000" w:type="dxa"/>
            <w:vAlign w:val="bottom"/>
            <w:gridSpan w:val="2"/>
            <w:shd w:val="clear" w:color="auto" w:fill="EDEDEE"/>
          </w:tcPr>
          <w:p>
            <w:pPr>
              <w:jc w:val="right"/>
              <w:ind w:right="20"/>
              <w:spacing w:after="0"/>
              <w:rPr>
                <w:sz w:val="20"/>
                <w:szCs w:val="20"/>
                <w:color w:val="auto"/>
              </w:rPr>
            </w:pPr>
            <w:r>
              <w:rPr>
                <w:rFonts w:ascii="Arial" w:cs="Arial" w:eastAsia="Arial" w:hAnsi="Arial"/>
                <w:sz w:val="14"/>
                <w:szCs w:val="14"/>
                <w:color w:val="auto"/>
              </w:rPr>
              <w:t>8.3%</w:t>
            </w:r>
          </w:p>
        </w:tc>
      </w:tr>
      <w:tr>
        <w:trPr>
          <w:trHeight w:val="176"/>
        </w:trPr>
        <w:tc>
          <w:tcPr>
            <w:tcW w:w="6760" w:type="dxa"/>
            <w:vAlign w:val="bottom"/>
            <w:gridSpan w:val="2"/>
          </w:tcPr>
          <w:p>
            <w:pPr>
              <w:spacing w:after="0" w:line="176" w:lineRule="exact"/>
              <w:rPr>
                <w:sz w:val="20"/>
                <w:szCs w:val="20"/>
                <w:color w:val="auto"/>
              </w:rPr>
            </w:pPr>
            <w:r>
              <w:rPr>
                <w:rFonts w:ascii="Arial" w:cs="Arial" w:eastAsia="Arial" w:hAnsi="Arial"/>
                <w:sz w:val="14"/>
                <w:szCs w:val="14"/>
                <w:b w:val="1"/>
                <w:bCs w:val="1"/>
                <w:color w:val="auto"/>
              </w:rPr>
              <w:t>Directors</w:t>
            </w:r>
            <w:r>
              <w:rPr>
                <w:rFonts w:ascii="Arial" w:cs="Arial" w:eastAsia="Arial" w:hAnsi="Arial"/>
                <w:sz w:val="20"/>
                <w:szCs w:val="20"/>
                <w:b w:val="1"/>
                <w:bCs w:val="1"/>
                <w:color w:val="auto"/>
                <w:vertAlign w:val="superscript"/>
              </w:rPr>
              <w:t>(4)</w:t>
            </w:r>
          </w:p>
        </w:tc>
        <w:tc>
          <w:tcPr>
            <w:tcW w:w="1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62"/>
        </w:trPr>
        <w:tc>
          <w:tcPr>
            <w:tcW w:w="6760" w:type="dxa"/>
            <w:vAlign w:val="bottom"/>
            <w:gridSpan w:val="2"/>
            <w:shd w:val="clear" w:color="auto" w:fill="EDEDEE"/>
          </w:tcPr>
          <w:p>
            <w:pPr>
              <w:ind w:left="180"/>
              <w:spacing w:after="0"/>
              <w:rPr>
                <w:sz w:val="20"/>
                <w:szCs w:val="20"/>
                <w:color w:val="auto"/>
              </w:rPr>
            </w:pPr>
            <w:r>
              <w:rPr>
                <w:rFonts w:ascii="Arial" w:cs="Arial" w:eastAsia="Arial" w:hAnsi="Arial"/>
                <w:sz w:val="14"/>
                <w:szCs w:val="14"/>
                <w:color w:val="auto"/>
              </w:rPr>
              <w:t>Barbara W. Bodem</w:t>
            </w:r>
          </w:p>
        </w:tc>
        <w:tc>
          <w:tcPr>
            <w:tcW w:w="2260" w:type="dxa"/>
            <w:vAlign w:val="bottom"/>
            <w:gridSpan w:val="2"/>
            <w:shd w:val="clear" w:color="auto" w:fill="EDEDEE"/>
          </w:tcPr>
          <w:p>
            <w:pPr>
              <w:jc w:val="right"/>
              <w:ind w:right="400"/>
              <w:spacing w:after="0"/>
              <w:rPr>
                <w:sz w:val="20"/>
                <w:szCs w:val="20"/>
                <w:color w:val="auto"/>
              </w:rPr>
            </w:pPr>
            <w:r>
              <w:rPr>
                <w:rFonts w:ascii="Arial" w:cs="Arial" w:eastAsia="Arial" w:hAnsi="Arial"/>
                <w:sz w:val="14"/>
                <w:szCs w:val="14"/>
                <w:color w:val="auto"/>
              </w:rPr>
              <w:t>15,888</w:t>
            </w:r>
          </w:p>
        </w:tc>
        <w:tc>
          <w:tcPr>
            <w:tcW w:w="2000" w:type="dxa"/>
            <w:vAlign w:val="bottom"/>
            <w:gridSpan w:val="2"/>
            <w:shd w:val="clear" w:color="auto" w:fill="EDEDEE"/>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6760" w:type="dxa"/>
            <w:vAlign w:val="bottom"/>
            <w:gridSpan w:val="2"/>
          </w:tcPr>
          <w:p>
            <w:pPr>
              <w:ind w:left="180"/>
              <w:spacing w:after="0"/>
              <w:rPr>
                <w:sz w:val="20"/>
                <w:szCs w:val="20"/>
                <w:color w:val="auto"/>
              </w:rPr>
            </w:pPr>
            <w:r>
              <w:rPr>
                <w:rFonts w:ascii="Arial" w:cs="Arial" w:eastAsia="Arial" w:hAnsi="Arial"/>
                <w:sz w:val="14"/>
                <w:szCs w:val="14"/>
                <w:color w:val="auto"/>
              </w:rPr>
              <w:t>Liam J. Kelly</w:t>
            </w:r>
          </w:p>
        </w:tc>
        <w:tc>
          <w:tcPr>
            <w:tcW w:w="2260" w:type="dxa"/>
            <w:vAlign w:val="bottom"/>
            <w:gridSpan w:val="2"/>
          </w:tcPr>
          <w:p>
            <w:pPr>
              <w:jc w:val="right"/>
              <w:ind w:right="400"/>
              <w:spacing w:after="0"/>
              <w:rPr>
                <w:sz w:val="20"/>
                <w:szCs w:val="20"/>
                <w:color w:val="auto"/>
              </w:rPr>
            </w:pPr>
            <w:r>
              <w:rPr>
                <w:rFonts w:ascii="Arial" w:cs="Arial" w:eastAsia="Arial" w:hAnsi="Arial"/>
                <w:sz w:val="14"/>
                <w:szCs w:val="14"/>
                <w:color w:val="auto"/>
              </w:rPr>
              <w:t>25,190</w:t>
            </w:r>
          </w:p>
        </w:tc>
        <w:tc>
          <w:tcPr>
            <w:tcW w:w="2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6760" w:type="dxa"/>
            <w:vAlign w:val="bottom"/>
            <w:gridSpan w:val="2"/>
            <w:shd w:val="clear" w:color="auto" w:fill="EDEDEE"/>
          </w:tcPr>
          <w:p>
            <w:pPr>
              <w:ind w:left="180"/>
              <w:spacing w:after="0"/>
              <w:rPr>
                <w:sz w:val="20"/>
                <w:szCs w:val="20"/>
                <w:color w:val="auto"/>
              </w:rPr>
            </w:pPr>
            <w:r>
              <w:rPr>
                <w:rFonts w:ascii="Arial" w:cs="Arial" w:eastAsia="Arial" w:hAnsi="Arial"/>
                <w:sz w:val="14"/>
                <w:szCs w:val="14"/>
                <w:color w:val="auto"/>
              </w:rPr>
              <w:t>Angela S. Lalor</w:t>
            </w:r>
          </w:p>
        </w:tc>
        <w:tc>
          <w:tcPr>
            <w:tcW w:w="2260" w:type="dxa"/>
            <w:vAlign w:val="bottom"/>
            <w:gridSpan w:val="2"/>
            <w:shd w:val="clear" w:color="auto" w:fill="EDEDEE"/>
          </w:tcPr>
          <w:p>
            <w:pPr>
              <w:jc w:val="right"/>
              <w:ind w:right="400"/>
              <w:spacing w:after="0"/>
              <w:rPr>
                <w:sz w:val="20"/>
                <w:szCs w:val="20"/>
                <w:color w:val="auto"/>
              </w:rPr>
            </w:pPr>
            <w:r>
              <w:rPr>
                <w:rFonts w:ascii="Arial" w:cs="Arial" w:eastAsia="Arial" w:hAnsi="Arial"/>
                <w:sz w:val="14"/>
                <w:szCs w:val="14"/>
                <w:color w:val="auto"/>
              </w:rPr>
              <w:t>23,173</w:t>
            </w:r>
          </w:p>
        </w:tc>
        <w:tc>
          <w:tcPr>
            <w:tcW w:w="2000" w:type="dxa"/>
            <w:vAlign w:val="bottom"/>
            <w:gridSpan w:val="2"/>
            <w:shd w:val="clear" w:color="auto" w:fill="EDEDEE"/>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6760" w:type="dxa"/>
            <w:vAlign w:val="bottom"/>
            <w:gridSpan w:val="2"/>
          </w:tcPr>
          <w:p>
            <w:pPr>
              <w:ind w:left="180"/>
              <w:spacing w:after="0"/>
              <w:rPr>
                <w:sz w:val="20"/>
                <w:szCs w:val="20"/>
                <w:color w:val="auto"/>
              </w:rPr>
            </w:pPr>
            <w:r>
              <w:rPr>
                <w:rFonts w:ascii="Arial" w:cs="Arial" w:eastAsia="Arial" w:hAnsi="Arial"/>
                <w:sz w:val="14"/>
                <w:szCs w:val="14"/>
                <w:color w:val="auto"/>
              </w:rPr>
              <w:t>Philip A. Okala</w:t>
            </w:r>
          </w:p>
        </w:tc>
        <w:tc>
          <w:tcPr>
            <w:tcW w:w="2260" w:type="dxa"/>
            <w:vAlign w:val="bottom"/>
            <w:gridSpan w:val="2"/>
          </w:tcPr>
          <w:p>
            <w:pPr>
              <w:jc w:val="right"/>
              <w:ind w:right="400"/>
              <w:spacing w:after="0"/>
              <w:rPr>
                <w:sz w:val="20"/>
                <w:szCs w:val="20"/>
                <w:color w:val="auto"/>
              </w:rPr>
            </w:pPr>
            <w:r>
              <w:rPr>
                <w:rFonts w:ascii="Arial" w:cs="Arial" w:eastAsia="Arial" w:hAnsi="Arial"/>
                <w:sz w:val="14"/>
                <w:szCs w:val="14"/>
                <w:color w:val="auto"/>
              </w:rPr>
              <w:t>16,008</w:t>
            </w:r>
          </w:p>
        </w:tc>
        <w:tc>
          <w:tcPr>
            <w:tcW w:w="2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6760" w:type="dxa"/>
            <w:vAlign w:val="bottom"/>
            <w:gridSpan w:val="2"/>
            <w:shd w:val="clear" w:color="auto" w:fill="EDEDEE"/>
          </w:tcPr>
          <w:p>
            <w:pPr>
              <w:ind w:left="180"/>
              <w:spacing w:after="0"/>
              <w:rPr>
                <w:sz w:val="20"/>
                <w:szCs w:val="20"/>
                <w:color w:val="auto"/>
              </w:rPr>
            </w:pPr>
            <w:r>
              <w:rPr>
                <w:rFonts w:ascii="Arial" w:cs="Arial" w:eastAsia="Arial" w:hAnsi="Arial"/>
                <w:sz w:val="14"/>
                <w:szCs w:val="14"/>
                <w:color w:val="auto"/>
              </w:rPr>
              <w:t>Christine Ortiz</w:t>
            </w:r>
          </w:p>
        </w:tc>
        <w:tc>
          <w:tcPr>
            <w:tcW w:w="2260" w:type="dxa"/>
            <w:vAlign w:val="bottom"/>
            <w:gridSpan w:val="2"/>
            <w:shd w:val="clear" w:color="auto" w:fill="EDEDEE"/>
          </w:tcPr>
          <w:p>
            <w:pPr>
              <w:jc w:val="right"/>
              <w:ind w:right="400"/>
              <w:spacing w:after="0"/>
              <w:rPr>
                <w:sz w:val="20"/>
                <w:szCs w:val="20"/>
                <w:color w:val="auto"/>
              </w:rPr>
            </w:pPr>
            <w:r>
              <w:rPr>
                <w:rFonts w:ascii="Arial" w:cs="Arial" w:eastAsia="Arial" w:hAnsi="Arial"/>
                <w:sz w:val="14"/>
                <w:szCs w:val="14"/>
                <w:color w:val="auto"/>
              </w:rPr>
              <w:t>15,888</w:t>
            </w:r>
          </w:p>
        </w:tc>
        <w:tc>
          <w:tcPr>
            <w:tcW w:w="2000" w:type="dxa"/>
            <w:vAlign w:val="bottom"/>
            <w:gridSpan w:val="2"/>
            <w:shd w:val="clear" w:color="auto" w:fill="EDEDEE"/>
          </w:tcPr>
          <w:p>
            <w:pPr>
              <w:jc w:val="right"/>
              <w:ind w:right="140"/>
              <w:spacing w:after="0"/>
              <w:rPr>
                <w:sz w:val="20"/>
                <w:szCs w:val="20"/>
                <w:color w:val="auto"/>
              </w:rPr>
            </w:pPr>
            <w:r>
              <w:rPr>
                <w:rFonts w:ascii="Arial" w:cs="Arial" w:eastAsia="Arial" w:hAnsi="Arial"/>
                <w:sz w:val="14"/>
                <w:szCs w:val="14"/>
                <w:color w:val="auto"/>
              </w:rPr>
              <w:t>*</w:t>
            </w:r>
          </w:p>
        </w:tc>
      </w:tr>
      <w:tr>
        <w:trPr>
          <w:trHeight w:val="175"/>
        </w:trPr>
        <w:tc>
          <w:tcPr>
            <w:tcW w:w="6760" w:type="dxa"/>
            <w:vAlign w:val="bottom"/>
            <w:gridSpan w:val="2"/>
          </w:tcPr>
          <w:p>
            <w:pPr>
              <w:ind w:left="180"/>
              <w:spacing w:after="0"/>
              <w:rPr>
                <w:sz w:val="20"/>
                <w:szCs w:val="20"/>
                <w:color w:val="auto"/>
              </w:rPr>
            </w:pPr>
            <w:r>
              <w:rPr>
                <w:rFonts w:ascii="Arial" w:cs="Arial" w:eastAsia="Arial" w:hAnsi="Arial"/>
                <w:sz w:val="14"/>
                <w:szCs w:val="14"/>
                <w:color w:val="auto"/>
              </w:rPr>
              <w:t>A. Clayton Perfall</w:t>
            </w:r>
          </w:p>
        </w:tc>
        <w:tc>
          <w:tcPr>
            <w:tcW w:w="2260" w:type="dxa"/>
            <w:vAlign w:val="bottom"/>
            <w:gridSpan w:val="2"/>
          </w:tcPr>
          <w:p>
            <w:pPr>
              <w:jc w:val="right"/>
              <w:ind w:right="260"/>
              <w:spacing w:after="0" w:line="176" w:lineRule="exact"/>
              <w:rPr>
                <w:sz w:val="20"/>
                <w:szCs w:val="20"/>
                <w:color w:val="auto"/>
              </w:rPr>
            </w:pPr>
            <w:r>
              <w:rPr>
                <w:rFonts w:ascii="Arial" w:cs="Arial" w:eastAsia="Arial" w:hAnsi="Arial"/>
                <w:sz w:val="14"/>
                <w:szCs w:val="14"/>
                <w:color w:val="auto"/>
              </w:rPr>
              <w:t>55,910</w:t>
            </w:r>
            <w:r>
              <w:rPr>
                <w:rFonts w:ascii="Arial" w:cs="Arial" w:eastAsia="Arial" w:hAnsi="Arial"/>
                <w:sz w:val="20"/>
                <w:szCs w:val="20"/>
                <w:color w:val="auto"/>
                <w:vertAlign w:val="superscript"/>
              </w:rPr>
              <w:t>(5)</w:t>
            </w:r>
          </w:p>
        </w:tc>
        <w:tc>
          <w:tcPr>
            <w:tcW w:w="2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6760" w:type="dxa"/>
            <w:vAlign w:val="bottom"/>
            <w:gridSpan w:val="2"/>
            <w:shd w:val="clear" w:color="auto" w:fill="EDEDEE"/>
          </w:tcPr>
          <w:p>
            <w:pPr>
              <w:ind w:left="180"/>
              <w:spacing w:after="0"/>
              <w:rPr>
                <w:sz w:val="20"/>
                <w:szCs w:val="20"/>
                <w:color w:val="auto"/>
              </w:rPr>
            </w:pPr>
            <w:r>
              <w:rPr>
                <w:rFonts w:ascii="Arial" w:cs="Arial" w:eastAsia="Arial" w:hAnsi="Arial"/>
                <w:sz w:val="14"/>
                <w:szCs w:val="14"/>
                <w:color w:val="auto"/>
              </w:rPr>
              <w:t>Rajiv Vinnakota</w:t>
            </w:r>
          </w:p>
        </w:tc>
        <w:tc>
          <w:tcPr>
            <w:tcW w:w="2260" w:type="dxa"/>
            <w:vAlign w:val="bottom"/>
            <w:gridSpan w:val="2"/>
            <w:shd w:val="clear" w:color="auto" w:fill="EDEDEE"/>
          </w:tcPr>
          <w:p>
            <w:pPr>
              <w:jc w:val="right"/>
              <w:ind w:right="400"/>
              <w:spacing w:after="0"/>
              <w:rPr>
                <w:sz w:val="20"/>
                <w:szCs w:val="20"/>
                <w:color w:val="auto"/>
              </w:rPr>
            </w:pPr>
            <w:r>
              <w:rPr>
                <w:rFonts w:ascii="Arial" w:cs="Arial" w:eastAsia="Arial" w:hAnsi="Arial"/>
                <w:sz w:val="14"/>
                <w:szCs w:val="14"/>
                <w:color w:val="auto"/>
              </w:rPr>
              <w:t>29,520</w:t>
            </w:r>
          </w:p>
        </w:tc>
        <w:tc>
          <w:tcPr>
            <w:tcW w:w="2000" w:type="dxa"/>
            <w:vAlign w:val="bottom"/>
            <w:gridSpan w:val="2"/>
            <w:shd w:val="clear" w:color="auto" w:fill="EDEDEE"/>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6760" w:type="dxa"/>
            <w:vAlign w:val="bottom"/>
            <w:gridSpan w:val="2"/>
          </w:tcPr>
          <w:p>
            <w:pPr>
              <w:ind w:left="180"/>
              <w:spacing w:after="0"/>
              <w:rPr>
                <w:sz w:val="20"/>
                <w:szCs w:val="20"/>
                <w:color w:val="auto"/>
              </w:rPr>
            </w:pPr>
            <w:r>
              <w:rPr>
                <w:rFonts w:ascii="Arial" w:cs="Arial" w:eastAsia="Arial" w:hAnsi="Arial"/>
                <w:sz w:val="14"/>
                <w:szCs w:val="14"/>
                <w:color w:val="auto"/>
              </w:rPr>
              <w:t>Sharon Wienbar</w:t>
            </w:r>
          </w:p>
        </w:tc>
        <w:tc>
          <w:tcPr>
            <w:tcW w:w="2260" w:type="dxa"/>
            <w:vAlign w:val="bottom"/>
            <w:gridSpan w:val="2"/>
          </w:tcPr>
          <w:p>
            <w:pPr>
              <w:jc w:val="right"/>
              <w:ind w:right="400"/>
              <w:spacing w:after="0"/>
              <w:rPr>
                <w:sz w:val="20"/>
                <w:szCs w:val="20"/>
                <w:color w:val="auto"/>
              </w:rPr>
            </w:pPr>
            <w:r>
              <w:rPr>
                <w:rFonts w:ascii="Arial" w:cs="Arial" w:eastAsia="Arial" w:hAnsi="Arial"/>
                <w:sz w:val="14"/>
                <w:szCs w:val="14"/>
                <w:color w:val="auto"/>
              </w:rPr>
              <w:t>47,782</w:t>
            </w:r>
          </w:p>
        </w:tc>
        <w:tc>
          <w:tcPr>
            <w:tcW w:w="2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6760" w:type="dxa"/>
            <w:vAlign w:val="bottom"/>
            <w:gridSpan w:val="2"/>
            <w:shd w:val="clear" w:color="auto" w:fill="EDEDEE"/>
          </w:tcPr>
          <w:p>
            <w:pPr>
              <w:ind w:left="180"/>
              <w:spacing w:after="0"/>
              <w:rPr>
                <w:sz w:val="20"/>
                <w:szCs w:val="20"/>
                <w:color w:val="auto"/>
              </w:rPr>
            </w:pPr>
            <w:r>
              <w:rPr>
                <w:rFonts w:ascii="Arial" w:cs="Arial" w:eastAsia="Arial" w:hAnsi="Arial"/>
                <w:sz w:val="14"/>
                <w:szCs w:val="14"/>
                <w:color w:val="auto"/>
              </w:rPr>
              <w:t>Brady Shirley</w:t>
            </w:r>
          </w:p>
        </w:tc>
        <w:tc>
          <w:tcPr>
            <w:tcW w:w="2260" w:type="dxa"/>
            <w:vAlign w:val="bottom"/>
            <w:gridSpan w:val="2"/>
            <w:shd w:val="clear" w:color="auto" w:fill="EDEDEE"/>
          </w:tcPr>
          <w:p>
            <w:pPr>
              <w:jc w:val="right"/>
              <w:ind w:right="400"/>
              <w:spacing w:after="0"/>
              <w:rPr>
                <w:sz w:val="20"/>
                <w:szCs w:val="20"/>
                <w:color w:val="auto"/>
              </w:rPr>
            </w:pPr>
            <w:r>
              <w:rPr>
                <w:rFonts w:ascii="Arial" w:cs="Arial" w:eastAsia="Arial" w:hAnsi="Arial"/>
                <w:sz w:val="14"/>
                <w:szCs w:val="14"/>
                <w:color w:val="auto"/>
              </w:rPr>
              <w:t>205,056</w:t>
            </w:r>
          </w:p>
        </w:tc>
        <w:tc>
          <w:tcPr>
            <w:tcW w:w="2000" w:type="dxa"/>
            <w:vAlign w:val="bottom"/>
            <w:gridSpan w:val="2"/>
            <w:shd w:val="clear" w:color="auto" w:fill="EDEDEE"/>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6760" w:type="dxa"/>
            <w:vAlign w:val="bottom"/>
            <w:gridSpan w:val="2"/>
          </w:tcPr>
          <w:p>
            <w:pPr>
              <w:spacing w:after="0"/>
              <w:rPr>
                <w:sz w:val="20"/>
                <w:szCs w:val="20"/>
                <w:color w:val="auto"/>
              </w:rPr>
            </w:pPr>
            <w:r>
              <w:rPr>
                <w:rFonts w:ascii="Arial" w:cs="Arial" w:eastAsia="Arial" w:hAnsi="Arial"/>
                <w:sz w:val="14"/>
                <w:szCs w:val="14"/>
                <w:b w:val="1"/>
                <w:bCs w:val="1"/>
                <w:color w:val="auto"/>
              </w:rPr>
              <w:t>Named Executive Officer and Director</w:t>
            </w:r>
          </w:p>
        </w:tc>
        <w:tc>
          <w:tcPr>
            <w:tcW w:w="1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6760" w:type="dxa"/>
            <w:vAlign w:val="bottom"/>
            <w:gridSpan w:val="2"/>
            <w:shd w:val="clear" w:color="auto" w:fill="EDEDEE"/>
          </w:tcPr>
          <w:p>
            <w:pPr>
              <w:ind w:left="180"/>
              <w:spacing w:after="0"/>
              <w:rPr>
                <w:sz w:val="20"/>
                <w:szCs w:val="20"/>
                <w:color w:val="auto"/>
              </w:rPr>
            </w:pPr>
            <w:r>
              <w:rPr>
                <w:rFonts w:ascii="Arial" w:cs="Arial" w:eastAsia="Arial" w:hAnsi="Arial"/>
                <w:sz w:val="14"/>
                <w:szCs w:val="14"/>
                <w:color w:val="auto"/>
              </w:rPr>
              <w:t>Damien McDonald</w:t>
            </w:r>
          </w:p>
        </w:tc>
        <w:tc>
          <w:tcPr>
            <w:tcW w:w="2260" w:type="dxa"/>
            <w:vAlign w:val="bottom"/>
            <w:gridSpan w:val="2"/>
            <w:shd w:val="clear" w:color="auto" w:fill="EDEDEE"/>
          </w:tcPr>
          <w:p>
            <w:pPr>
              <w:jc w:val="right"/>
              <w:ind w:right="400"/>
              <w:spacing w:after="0"/>
              <w:rPr>
                <w:sz w:val="20"/>
                <w:szCs w:val="20"/>
                <w:color w:val="auto"/>
              </w:rPr>
            </w:pPr>
            <w:r>
              <w:rPr>
                <w:rFonts w:ascii="Arial" w:cs="Arial" w:eastAsia="Arial" w:hAnsi="Arial"/>
                <w:sz w:val="14"/>
                <w:szCs w:val="14"/>
                <w:color w:val="auto"/>
              </w:rPr>
              <w:t>6,457</w:t>
            </w:r>
          </w:p>
        </w:tc>
        <w:tc>
          <w:tcPr>
            <w:tcW w:w="2000" w:type="dxa"/>
            <w:vAlign w:val="bottom"/>
            <w:gridSpan w:val="2"/>
            <w:shd w:val="clear" w:color="auto" w:fill="EDEDEE"/>
          </w:tcPr>
          <w:p>
            <w:pPr>
              <w:jc w:val="right"/>
              <w:ind w:right="140"/>
              <w:spacing w:after="0"/>
              <w:rPr>
                <w:sz w:val="20"/>
                <w:szCs w:val="20"/>
                <w:color w:val="auto"/>
              </w:rPr>
            </w:pPr>
            <w:r>
              <w:rPr>
                <w:rFonts w:ascii="Arial" w:cs="Arial" w:eastAsia="Arial" w:hAnsi="Arial"/>
                <w:sz w:val="14"/>
                <w:szCs w:val="14"/>
                <w:color w:val="auto"/>
              </w:rPr>
              <w:t>*</w:t>
            </w:r>
          </w:p>
        </w:tc>
      </w:tr>
      <w:tr>
        <w:trPr>
          <w:trHeight w:val="189"/>
        </w:trPr>
        <w:tc>
          <w:tcPr>
            <w:tcW w:w="6760" w:type="dxa"/>
            <w:vAlign w:val="bottom"/>
            <w:gridSpan w:val="2"/>
          </w:tcPr>
          <w:p>
            <w:pPr>
              <w:spacing w:after="0" w:line="189" w:lineRule="exact"/>
              <w:rPr>
                <w:sz w:val="20"/>
                <w:szCs w:val="20"/>
                <w:color w:val="auto"/>
              </w:rPr>
            </w:pPr>
            <w:r>
              <w:rPr>
                <w:rFonts w:ascii="Arial" w:cs="Arial" w:eastAsia="Arial" w:hAnsi="Arial"/>
                <w:sz w:val="13"/>
                <w:szCs w:val="13"/>
                <w:b w:val="1"/>
                <w:bCs w:val="1"/>
                <w:color w:val="auto"/>
              </w:rPr>
              <w:t>Named Executive Officers</w:t>
            </w:r>
            <w:r>
              <w:rPr>
                <w:rFonts w:ascii="Arial" w:cs="Arial" w:eastAsia="Arial" w:hAnsi="Arial"/>
                <w:sz w:val="21"/>
                <w:szCs w:val="21"/>
                <w:b w:val="1"/>
                <w:bCs w:val="1"/>
                <w:color w:val="auto"/>
                <w:vertAlign w:val="superscript"/>
              </w:rPr>
              <w:t>(6)</w:t>
            </w:r>
          </w:p>
        </w:tc>
        <w:tc>
          <w:tcPr>
            <w:tcW w:w="1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62"/>
        </w:trPr>
        <w:tc>
          <w:tcPr>
            <w:tcW w:w="6760" w:type="dxa"/>
            <w:vAlign w:val="bottom"/>
            <w:gridSpan w:val="2"/>
            <w:shd w:val="clear" w:color="auto" w:fill="EDEDEE"/>
          </w:tcPr>
          <w:p>
            <w:pPr>
              <w:ind w:left="180"/>
              <w:spacing w:after="0"/>
              <w:rPr>
                <w:sz w:val="20"/>
                <w:szCs w:val="20"/>
                <w:color w:val="auto"/>
              </w:rPr>
            </w:pPr>
            <w:r>
              <w:rPr>
                <w:rFonts w:ascii="Arial" w:cs="Arial" w:eastAsia="Arial" w:hAnsi="Arial"/>
                <w:sz w:val="14"/>
                <w:szCs w:val="14"/>
                <w:color w:val="auto"/>
              </w:rPr>
              <w:t>Matthew L. Trerotola</w:t>
            </w:r>
          </w:p>
        </w:tc>
        <w:tc>
          <w:tcPr>
            <w:tcW w:w="2260" w:type="dxa"/>
            <w:vAlign w:val="bottom"/>
            <w:gridSpan w:val="2"/>
            <w:shd w:val="clear" w:color="auto" w:fill="EDEDEE"/>
          </w:tcPr>
          <w:p>
            <w:pPr>
              <w:jc w:val="right"/>
              <w:ind w:right="400"/>
              <w:spacing w:after="0"/>
              <w:rPr>
                <w:sz w:val="20"/>
                <w:szCs w:val="20"/>
                <w:color w:val="auto"/>
              </w:rPr>
            </w:pPr>
            <w:r>
              <w:rPr>
                <w:rFonts w:ascii="Arial" w:cs="Arial" w:eastAsia="Arial" w:hAnsi="Arial"/>
                <w:sz w:val="14"/>
                <w:szCs w:val="14"/>
                <w:color w:val="auto"/>
              </w:rPr>
              <w:t>702,081</w:t>
            </w:r>
          </w:p>
        </w:tc>
        <w:tc>
          <w:tcPr>
            <w:tcW w:w="2000" w:type="dxa"/>
            <w:vAlign w:val="bottom"/>
            <w:gridSpan w:val="2"/>
            <w:shd w:val="clear" w:color="auto" w:fill="EDEDEE"/>
          </w:tcPr>
          <w:p>
            <w:pPr>
              <w:jc w:val="right"/>
              <w:ind w:right="20"/>
              <w:spacing w:after="0"/>
              <w:rPr>
                <w:sz w:val="20"/>
                <w:szCs w:val="20"/>
                <w:color w:val="auto"/>
              </w:rPr>
            </w:pPr>
            <w:r>
              <w:rPr>
                <w:rFonts w:ascii="Arial" w:cs="Arial" w:eastAsia="Arial" w:hAnsi="Arial"/>
                <w:sz w:val="14"/>
                <w:szCs w:val="14"/>
                <w:color w:val="auto"/>
              </w:rPr>
              <w:t>1.2%</w:t>
            </w:r>
          </w:p>
        </w:tc>
      </w:tr>
      <w:tr>
        <w:trPr>
          <w:trHeight w:val="162"/>
        </w:trPr>
        <w:tc>
          <w:tcPr>
            <w:tcW w:w="6760" w:type="dxa"/>
            <w:vAlign w:val="bottom"/>
            <w:gridSpan w:val="2"/>
          </w:tcPr>
          <w:p>
            <w:pPr>
              <w:ind w:left="180"/>
              <w:spacing w:after="0"/>
              <w:rPr>
                <w:sz w:val="20"/>
                <w:szCs w:val="20"/>
                <w:color w:val="auto"/>
              </w:rPr>
            </w:pPr>
            <w:r>
              <w:rPr>
                <w:rFonts w:ascii="Arial" w:cs="Arial" w:eastAsia="Arial" w:hAnsi="Arial"/>
                <w:sz w:val="14"/>
                <w:szCs w:val="14"/>
                <w:color w:val="auto"/>
              </w:rPr>
              <w:t>Phillip “Ben” Berry</w:t>
            </w:r>
          </w:p>
        </w:tc>
        <w:tc>
          <w:tcPr>
            <w:tcW w:w="2260" w:type="dxa"/>
            <w:vAlign w:val="bottom"/>
            <w:gridSpan w:val="2"/>
          </w:tcPr>
          <w:p>
            <w:pPr>
              <w:jc w:val="right"/>
              <w:ind w:right="400"/>
              <w:spacing w:after="0"/>
              <w:rPr>
                <w:sz w:val="20"/>
                <w:szCs w:val="20"/>
                <w:color w:val="auto"/>
              </w:rPr>
            </w:pPr>
            <w:r>
              <w:rPr>
                <w:rFonts w:ascii="Arial" w:cs="Arial" w:eastAsia="Arial" w:hAnsi="Arial"/>
                <w:sz w:val="14"/>
                <w:szCs w:val="14"/>
                <w:color w:val="auto"/>
              </w:rPr>
              <w:t>58,842</w:t>
            </w:r>
          </w:p>
        </w:tc>
        <w:tc>
          <w:tcPr>
            <w:tcW w:w="2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6760" w:type="dxa"/>
            <w:vAlign w:val="bottom"/>
            <w:gridSpan w:val="2"/>
            <w:shd w:val="clear" w:color="auto" w:fill="EDEDEE"/>
          </w:tcPr>
          <w:p>
            <w:pPr>
              <w:ind w:left="180"/>
              <w:spacing w:after="0"/>
              <w:rPr>
                <w:sz w:val="20"/>
                <w:szCs w:val="20"/>
                <w:color w:val="auto"/>
              </w:rPr>
            </w:pPr>
            <w:r>
              <w:rPr>
                <w:rFonts w:ascii="Arial" w:cs="Arial" w:eastAsia="Arial" w:hAnsi="Arial"/>
                <w:sz w:val="14"/>
                <w:szCs w:val="14"/>
                <w:color w:val="auto"/>
              </w:rPr>
              <w:t>Patricia A. Lang</w:t>
            </w:r>
          </w:p>
        </w:tc>
        <w:tc>
          <w:tcPr>
            <w:tcW w:w="2260" w:type="dxa"/>
            <w:vAlign w:val="bottom"/>
            <w:gridSpan w:val="2"/>
            <w:shd w:val="clear" w:color="auto" w:fill="EDEDEE"/>
          </w:tcPr>
          <w:p>
            <w:pPr>
              <w:jc w:val="right"/>
              <w:ind w:right="400"/>
              <w:spacing w:after="0"/>
              <w:rPr>
                <w:sz w:val="20"/>
                <w:szCs w:val="20"/>
                <w:color w:val="auto"/>
              </w:rPr>
            </w:pPr>
            <w:r>
              <w:rPr>
                <w:rFonts w:ascii="Arial" w:cs="Arial" w:eastAsia="Arial" w:hAnsi="Arial"/>
                <w:sz w:val="14"/>
                <w:szCs w:val="14"/>
                <w:color w:val="auto"/>
              </w:rPr>
              <w:t>79,725</w:t>
            </w:r>
          </w:p>
        </w:tc>
        <w:tc>
          <w:tcPr>
            <w:tcW w:w="2000" w:type="dxa"/>
            <w:vAlign w:val="bottom"/>
            <w:gridSpan w:val="2"/>
            <w:shd w:val="clear" w:color="auto" w:fill="EDEDEE"/>
          </w:tcPr>
          <w:p>
            <w:pPr>
              <w:jc w:val="right"/>
              <w:ind w:right="140"/>
              <w:spacing w:after="0"/>
              <w:rPr>
                <w:sz w:val="20"/>
                <w:szCs w:val="20"/>
                <w:color w:val="auto"/>
              </w:rPr>
            </w:pPr>
            <w:r>
              <w:rPr>
                <w:rFonts w:ascii="Arial" w:cs="Arial" w:eastAsia="Arial" w:hAnsi="Arial"/>
                <w:sz w:val="14"/>
                <w:szCs w:val="14"/>
                <w:color w:val="auto"/>
              </w:rPr>
              <w:t>*</w:t>
            </w:r>
          </w:p>
        </w:tc>
      </w:tr>
      <w:tr>
        <w:trPr>
          <w:trHeight w:val="175"/>
        </w:trPr>
        <w:tc>
          <w:tcPr>
            <w:tcW w:w="6760" w:type="dxa"/>
            <w:vAlign w:val="bottom"/>
            <w:gridSpan w:val="2"/>
          </w:tcPr>
          <w:p>
            <w:pPr>
              <w:ind w:left="180"/>
              <w:spacing w:after="0"/>
              <w:rPr>
                <w:sz w:val="20"/>
                <w:szCs w:val="20"/>
                <w:color w:val="auto"/>
              </w:rPr>
            </w:pPr>
            <w:r>
              <w:rPr>
                <w:rFonts w:ascii="Arial" w:cs="Arial" w:eastAsia="Arial" w:hAnsi="Arial"/>
                <w:sz w:val="14"/>
                <w:szCs w:val="14"/>
                <w:color w:val="auto"/>
              </w:rPr>
              <w:t>Daniel A. Pryor</w:t>
            </w:r>
          </w:p>
        </w:tc>
        <w:tc>
          <w:tcPr>
            <w:tcW w:w="2260" w:type="dxa"/>
            <w:vAlign w:val="bottom"/>
            <w:gridSpan w:val="2"/>
          </w:tcPr>
          <w:p>
            <w:pPr>
              <w:jc w:val="right"/>
              <w:ind w:right="260"/>
              <w:spacing w:after="0" w:line="176" w:lineRule="exact"/>
              <w:rPr>
                <w:sz w:val="20"/>
                <w:szCs w:val="20"/>
                <w:color w:val="auto"/>
              </w:rPr>
            </w:pPr>
            <w:r>
              <w:rPr>
                <w:rFonts w:ascii="Arial" w:cs="Arial" w:eastAsia="Arial" w:hAnsi="Arial"/>
                <w:sz w:val="14"/>
                <w:szCs w:val="14"/>
                <w:color w:val="auto"/>
              </w:rPr>
              <w:t>265,681</w:t>
            </w:r>
            <w:r>
              <w:rPr>
                <w:rFonts w:ascii="Arial" w:cs="Arial" w:eastAsia="Arial" w:hAnsi="Arial"/>
                <w:sz w:val="20"/>
                <w:szCs w:val="20"/>
                <w:color w:val="auto"/>
                <w:vertAlign w:val="superscript"/>
              </w:rPr>
              <w:t>(7)</w:t>
            </w:r>
          </w:p>
        </w:tc>
        <w:tc>
          <w:tcPr>
            <w:tcW w:w="2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76"/>
        </w:trPr>
        <w:tc>
          <w:tcPr>
            <w:tcW w:w="6760" w:type="dxa"/>
            <w:vAlign w:val="bottom"/>
            <w:gridSpan w:val="2"/>
            <w:shd w:val="clear" w:color="auto" w:fill="EDEDEE"/>
          </w:tcPr>
          <w:p>
            <w:pPr>
              <w:ind w:left="180"/>
              <w:spacing w:after="0"/>
              <w:rPr>
                <w:sz w:val="20"/>
                <w:szCs w:val="20"/>
                <w:color w:val="auto"/>
              </w:rPr>
            </w:pPr>
            <w:r>
              <w:rPr>
                <w:rFonts w:ascii="Arial" w:cs="Arial" w:eastAsia="Arial" w:hAnsi="Arial"/>
                <w:sz w:val="14"/>
                <w:szCs w:val="14"/>
                <w:color w:val="auto"/>
              </w:rPr>
              <w:t>Terry Ross</w:t>
            </w:r>
          </w:p>
        </w:tc>
        <w:tc>
          <w:tcPr>
            <w:tcW w:w="2260" w:type="dxa"/>
            <w:vAlign w:val="bottom"/>
            <w:gridSpan w:val="2"/>
            <w:shd w:val="clear" w:color="auto" w:fill="EDEDEE"/>
          </w:tcPr>
          <w:p>
            <w:pPr>
              <w:jc w:val="right"/>
              <w:ind w:right="400"/>
              <w:spacing w:after="0"/>
              <w:rPr>
                <w:sz w:val="20"/>
                <w:szCs w:val="20"/>
                <w:color w:val="auto"/>
              </w:rPr>
            </w:pPr>
            <w:r>
              <w:rPr>
                <w:rFonts w:ascii="Arial" w:cs="Arial" w:eastAsia="Arial" w:hAnsi="Arial"/>
                <w:sz w:val="14"/>
                <w:szCs w:val="14"/>
                <w:color w:val="auto"/>
              </w:rPr>
              <w:t>37,290</w:t>
            </w:r>
          </w:p>
        </w:tc>
        <w:tc>
          <w:tcPr>
            <w:tcW w:w="2000" w:type="dxa"/>
            <w:vAlign w:val="bottom"/>
            <w:gridSpan w:val="2"/>
            <w:shd w:val="clear" w:color="auto" w:fill="EDEDEE"/>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6760" w:type="dxa"/>
            <w:vAlign w:val="bottom"/>
            <w:gridSpan w:val="2"/>
          </w:tcPr>
          <w:p>
            <w:pPr>
              <w:ind w:left="180"/>
              <w:spacing w:after="0"/>
              <w:rPr>
                <w:sz w:val="20"/>
                <w:szCs w:val="20"/>
                <w:color w:val="auto"/>
              </w:rPr>
            </w:pPr>
            <w:r>
              <w:rPr>
                <w:rFonts w:ascii="Arial" w:cs="Arial" w:eastAsia="Arial" w:hAnsi="Arial"/>
                <w:sz w:val="14"/>
                <w:szCs w:val="14"/>
                <w:color w:val="auto"/>
              </w:rPr>
              <w:t>Louis Vogt</w:t>
            </w:r>
          </w:p>
        </w:tc>
        <w:tc>
          <w:tcPr>
            <w:tcW w:w="2260" w:type="dxa"/>
            <w:vAlign w:val="bottom"/>
            <w:gridSpan w:val="2"/>
          </w:tcPr>
          <w:p>
            <w:pPr>
              <w:jc w:val="right"/>
              <w:ind w:right="400"/>
              <w:spacing w:after="0"/>
              <w:rPr>
                <w:sz w:val="20"/>
                <w:szCs w:val="20"/>
                <w:color w:val="auto"/>
              </w:rPr>
            </w:pPr>
            <w:r>
              <w:rPr>
                <w:rFonts w:ascii="Arial" w:cs="Arial" w:eastAsia="Arial" w:hAnsi="Arial"/>
                <w:sz w:val="14"/>
                <w:szCs w:val="14"/>
                <w:color w:val="auto"/>
              </w:rPr>
              <w:t>31,381</w:t>
            </w:r>
          </w:p>
        </w:tc>
        <w:tc>
          <w:tcPr>
            <w:tcW w:w="2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6540" w:type="dxa"/>
            <w:vAlign w:val="bottom"/>
            <w:shd w:val="clear" w:color="auto" w:fill="EDEDEE"/>
          </w:tcPr>
          <w:p>
            <w:pPr>
              <w:spacing w:after="0"/>
              <w:rPr>
                <w:sz w:val="14"/>
                <w:szCs w:val="14"/>
                <w:color w:val="auto"/>
              </w:rPr>
            </w:pPr>
          </w:p>
        </w:tc>
        <w:tc>
          <w:tcPr>
            <w:tcW w:w="220" w:type="dxa"/>
            <w:vAlign w:val="bottom"/>
            <w:shd w:val="clear" w:color="auto" w:fill="EDEDEE"/>
          </w:tcPr>
          <w:p>
            <w:pPr>
              <w:spacing w:after="0"/>
              <w:rPr>
                <w:sz w:val="14"/>
                <w:szCs w:val="14"/>
                <w:color w:val="auto"/>
              </w:rPr>
            </w:pPr>
          </w:p>
        </w:tc>
        <w:tc>
          <w:tcPr>
            <w:tcW w:w="1860" w:type="dxa"/>
            <w:vAlign w:val="bottom"/>
            <w:shd w:val="clear" w:color="auto" w:fill="EDEDEE"/>
          </w:tcPr>
          <w:p>
            <w:pPr>
              <w:spacing w:after="0"/>
              <w:rPr>
                <w:sz w:val="14"/>
                <w:szCs w:val="14"/>
                <w:color w:val="auto"/>
              </w:rPr>
            </w:pPr>
          </w:p>
        </w:tc>
        <w:tc>
          <w:tcPr>
            <w:tcW w:w="400" w:type="dxa"/>
            <w:vAlign w:val="bottom"/>
            <w:shd w:val="clear" w:color="auto" w:fill="EDEDEE"/>
          </w:tcPr>
          <w:p>
            <w:pPr>
              <w:spacing w:after="0"/>
              <w:rPr>
                <w:sz w:val="14"/>
                <w:szCs w:val="14"/>
                <w:color w:val="auto"/>
              </w:rPr>
            </w:pPr>
          </w:p>
        </w:tc>
        <w:tc>
          <w:tcPr>
            <w:tcW w:w="1860" w:type="dxa"/>
            <w:vAlign w:val="bottom"/>
            <w:shd w:val="clear" w:color="auto" w:fill="EDEDEE"/>
          </w:tcPr>
          <w:p>
            <w:pPr>
              <w:spacing w:after="0"/>
              <w:rPr>
                <w:sz w:val="14"/>
                <w:szCs w:val="14"/>
                <w:color w:val="auto"/>
              </w:rPr>
            </w:pPr>
          </w:p>
        </w:tc>
        <w:tc>
          <w:tcPr>
            <w:tcW w:w="140" w:type="dxa"/>
            <w:vAlign w:val="bottom"/>
            <w:shd w:val="clear" w:color="auto" w:fill="EDEDEE"/>
          </w:tcPr>
          <w:p>
            <w:pPr>
              <w:spacing w:after="0"/>
              <w:rPr>
                <w:sz w:val="14"/>
                <w:szCs w:val="14"/>
                <w:color w:val="auto"/>
              </w:rPr>
            </w:pPr>
          </w:p>
        </w:tc>
      </w:tr>
      <w:tr>
        <w:trPr>
          <w:trHeight w:val="279"/>
        </w:trPr>
        <w:tc>
          <w:tcPr>
            <w:tcW w:w="6760" w:type="dxa"/>
            <w:vAlign w:val="bottom"/>
            <w:gridSpan w:val="2"/>
          </w:tcPr>
          <w:p>
            <w:pPr>
              <w:spacing w:after="0"/>
              <w:rPr>
                <w:sz w:val="20"/>
                <w:szCs w:val="20"/>
                <w:color w:val="auto"/>
              </w:rPr>
            </w:pPr>
            <w:r>
              <w:rPr>
                <w:rFonts w:ascii="Arial" w:cs="Arial" w:eastAsia="Arial" w:hAnsi="Arial"/>
                <w:sz w:val="14"/>
                <w:szCs w:val="14"/>
                <w:b w:val="1"/>
                <w:bCs w:val="1"/>
                <w:color w:val="auto"/>
              </w:rPr>
              <w:t>All of our directors and executive officers as a group (18 persons)</w:t>
            </w:r>
          </w:p>
        </w:tc>
        <w:tc>
          <w:tcPr>
            <w:tcW w:w="2260" w:type="dxa"/>
            <w:vAlign w:val="bottom"/>
            <w:gridSpan w:val="2"/>
          </w:tcPr>
          <w:p>
            <w:pPr>
              <w:jc w:val="right"/>
              <w:ind w:right="260"/>
              <w:spacing w:after="0"/>
              <w:rPr>
                <w:sz w:val="20"/>
                <w:szCs w:val="20"/>
                <w:color w:val="auto"/>
              </w:rPr>
            </w:pPr>
            <w:r>
              <w:rPr>
                <w:rFonts w:ascii="Arial" w:cs="Arial" w:eastAsia="Arial" w:hAnsi="Arial"/>
                <w:sz w:val="14"/>
                <w:szCs w:val="14"/>
                <w:color w:val="auto"/>
              </w:rPr>
              <w:t>1,681,896</w:t>
            </w:r>
            <w:r>
              <w:rPr>
                <w:rFonts w:ascii="Arial" w:cs="Arial" w:eastAsia="Arial" w:hAnsi="Arial"/>
                <w:sz w:val="20"/>
                <w:szCs w:val="20"/>
                <w:color w:val="auto"/>
                <w:vertAlign w:val="superscript"/>
              </w:rPr>
              <w:t>(6)</w:t>
            </w:r>
          </w:p>
        </w:tc>
        <w:tc>
          <w:tcPr>
            <w:tcW w:w="2000" w:type="dxa"/>
            <w:vAlign w:val="bottom"/>
            <w:gridSpan w:val="2"/>
          </w:tcPr>
          <w:p>
            <w:pPr>
              <w:jc w:val="right"/>
              <w:ind w:right="20"/>
              <w:spacing w:after="0"/>
              <w:rPr>
                <w:sz w:val="20"/>
                <w:szCs w:val="20"/>
                <w:color w:val="auto"/>
              </w:rPr>
            </w:pPr>
            <w:r>
              <w:rPr>
                <w:rFonts w:ascii="Arial" w:cs="Arial" w:eastAsia="Arial" w:hAnsi="Arial"/>
                <w:sz w:val="14"/>
                <w:szCs w:val="14"/>
                <w:color w:val="auto"/>
              </w:rPr>
              <w:t>2.9%</w:t>
            </w:r>
          </w:p>
        </w:tc>
      </w:tr>
    </w:tbl>
    <w:p>
      <w:pPr>
        <w:spacing w:after="0" w:line="64" w:lineRule="exact"/>
        <w:rPr>
          <w:sz w:val="20"/>
          <w:szCs w:val="20"/>
          <w:color w:val="auto"/>
        </w:rPr>
      </w:pPr>
    </w:p>
    <w:p>
      <w:pPr>
        <w:ind w:left="4"/>
        <w:spacing w:after="0"/>
        <w:rPr>
          <w:sz w:val="20"/>
          <w:szCs w:val="20"/>
          <w:color w:val="auto"/>
        </w:rPr>
      </w:pPr>
      <w:r>
        <w:rPr>
          <w:rFonts w:ascii="Arial" w:cs="Arial" w:eastAsia="Arial" w:hAnsi="Arial"/>
          <w:sz w:val="14"/>
          <w:szCs w:val="14"/>
          <w:i w:val="1"/>
          <w:iCs w:val="1"/>
          <w:color w:val="auto"/>
        </w:rPr>
        <w:t>*   Represents beneficial ownership of less than 1%</w:t>
      </w:r>
    </w:p>
    <w:p>
      <w:pPr>
        <w:spacing w:after="0" w:line="204" w:lineRule="exact"/>
        <w:rPr>
          <w:sz w:val="20"/>
          <w:szCs w:val="20"/>
          <w:color w:val="auto"/>
        </w:rPr>
      </w:pPr>
    </w:p>
    <w:p>
      <w:pPr>
        <w:jc w:val="both"/>
        <w:ind w:left="424" w:hanging="424"/>
        <w:spacing w:after="0" w:line="247" w:lineRule="auto"/>
        <w:tabs>
          <w:tab w:leader="none" w:pos="424" w:val="left"/>
        </w:tabs>
        <w:numPr>
          <w:ilvl w:val="0"/>
          <w:numId w:val="115"/>
        </w:numPr>
        <w:rPr>
          <w:rFonts w:ascii="Arial" w:cs="Arial" w:eastAsia="Arial" w:hAnsi="Arial"/>
          <w:sz w:val="29"/>
          <w:szCs w:val="29"/>
          <w:i w:val="1"/>
          <w:iCs w:val="1"/>
          <w:color w:val="auto"/>
          <w:vertAlign w:val="superscript"/>
        </w:rPr>
      </w:pPr>
      <w:r>
        <w:rPr>
          <w:rFonts w:ascii="Arial" w:cs="Arial" w:eastAsia="Arial" w:hAnsi="Arial"/>
          <w:sz w:val="14"/>
          <w:szCs w:val="14"/>
          <w:i w:val="1"/>
          <w:iCs w:val="1"/>
          <w:color w:val="auto"/>
        </w:rPr>
        <w:t>Following an internal realignment effective January 12, 2026, The Vanguard Group, Inc. has reported that it no longer has, or is deemed to have, beneficial ownership of portfolio company securities and that beneficial ownership is reported on a disaggregated basis by its registered investment adviser subsidiaries. Based on a review of Schedule 13G filings made with the Securities and Exchange Commission, neither The Vanguard Group, Inc. nor any Vanguard advisory affiliate reported beneficial ownership of more than 5% of the Company’s outstanding common stock as of the date of this proxy statement.</w:t>
      </w:r>
    </w:p>
    <w:p>
      <w:pPr>
        <w:spacing w:after="0" w:line="158" w:lineRule="exact"/>
        <w:rPr>
          <w:rFonts w:ascii="Arial" w:cs="Arial" w:eastAsia="Arial" w:hAnsi="Arial"/>
          <w:sz w:val="29"/>
          <w:szCs w:val="29"/>
          <w:i w:val="1"/>
          <w:iCs w:val="1"/>
          <w:color w:val="auto"/>
          <w:vertAlign w:val="superscript"/>
        </w:rPr>
      </w:pPr>
    </w:p>
    <w:p>
      <w:pPr>
        <w:jc w:val="both"/>
        <w:ind w:left="424" w:right="20" w:hanging="424"/>
        <w:spacing w:after="0" w:line="234" w:lineRule="auto"/>
        <w:tabs>
          <w:tab w:leader="none" w:pos="424" w:val="left"/>
        </w:tabs>
        <w:numPr>
          <w:ilvl w:val="0"/>
          <w:numId w:val="115"/>
        </w:numPr>
        <w:rPr>
          <w:rFonts w:ascii="Arial" w:cs="Arial" w:eastAsia="Arial" w:hAnsi="Arial"/>
          <w:sz w:val="14"/>
          <w:szCs w:val="14"/>
          <w:i w:val="1"/>
          <w:iCs w:val="1"/>
          <w:color w:val="auto"/>
        </w:rPr>
      </w:pPr>
      <w:r>
        <w:rPr>
          <w:rFonts w:ascii="Arial" w:cs="Arial" w:eastAsia="Arial" w:hAnsi="Arial"/>
          <w:sz w:val="14"/>
          <w:szCs w:val="14"/>
          <w:i w:val="1"/>
          <w:iCs w:val="1"/>
          <w:color w:val="auto"/>
        </w:rPr>
        <w:t>Based solely on a Schedule 13G/A filed on July 17, 2025 by BlackRock, Inc. (“BlackRock”), which sets forth BlackRock’s beneficial ownership as of June 30, 2025. According to the Schedule 13G/A, BlackRock has sole voting power over 8,375,395 shares and sole dispositive power over 8,511,597 shares. The business address of BlackRock is 55 E. 52nd Street, New York, NY 10055.</w:t>
      </w:r>
    </w:p>
    <w:p>
      <w:pPr>
        <w:spacing w:after="0" w:line="136" w:lineRule="exact"/>
        <w:rPr>
          <w:rFonts w:ascii="Arial" w:cs="Arial" w:eastAsia="Arial" w:hAnsi="Arial"/>
          <w:sz w:val="14"/>
          <w:szCs w:val="14"/>
          <w:i w:val="1"/>
          <w:iCs w:val="1"/>
          <w:color w:val="auto"/>
        </w:rPr>
      </w:pPr>
    </w:p>
    <w:p>
      <w:pPr>
        <w:jc w:val="both"/>
        <w:ind w:left="424" w:right="20" w:hanging="424"/>
        <w:spacing w:after="0" w:line="241" w:lineRule="auto"/>
        <w:tabs>
          <w:tab w:leader="none" w:pos="424" w:val="left"/>
        </w:tabs>
        <w:numPr>
          <w:ilvl w:val="0"/>
          <w:numId w:val="115"/>
        </w:numPr>
        <w:rPr>
          <w:rFonts w:ascii="Arial" w:cs="Arial" w:eastAsia="Arial" w:hAnsi="Arial"/>
          <w:sz w:val="14"/>
          <w:szCs w:val="14"/>
          <w:i w:val="1"/>
          <w:iCs w:val="1"/>
          <w:color w:val="auto"/>
        </w:rPr>
      </w:pPr>
      <w:r>
        <w:rPr>
          <w:rFonts w:ascii="Arial" w:cs="Arial" w:eastAsia="Arial" w:hAnsi="Arial"/>
          <w:sz w:val="14"/>
          <w:szCs w:val="14"/>
          <w:i w:val="1"/>
          <w:iCs w:val="1"/>
          <w:color w:val="auto"/>
        </w:rPr>
        <w:t>Based solely on a Schedule 13G/A filed on August 14, 2025 by American Century Investment Management, Inc. (“ACIM”), which sets forth ACIM’s beneficial ownership as of June 30, 2025. According to the Schedule 13G/A, ACIM has sole voting power over 4,580,116 shares and sole dispositive power over 4,737,327 shares. The business address of ACIM is 4500 Main Street, 9th Floor, Kansas City, MO 64111.</w:t>
      </w:r>
    </w:p>
    <w:p>
      <w:pPr>
        <w:spacing w:after="0" w:line="136" w:lineRule="exact"/>
        <w:rPr>
          <w:rFonts w:ascii="Arial" w:cs="Arial" w:eastAsia="Arial" w:hAnsi="Arial"/>
          <w:sz w:val="14"/>
          <w:szCs w:val="14"/>
          <w:i w:val="1"/>
          <w:iCs w:val="1"/>
          <w:color w:val="auto"/>
        </w:rPr>
      </w:pPr>
    </w:p>
    <w:p>
      <w:pPr>
        <w:jc w:val="both"/>
        <w:ind w:left="424" w:hanging="424"/>
        <w:spacing w:after="0" w:line="232" w:lineRule="auto"/>
        <w:tabs>
          <w:tab w:leader="none" w:pos="424" w:val="left"/>
        </w:tabs>
        <w:numPr>
          <w:ilvl w:val="0"/>
          <w:numId w:val="115"/>
        </w:numPr>
        <w:rPr>
          <w:rFonts w:ascii="Arial" w:cs="Arial" w:eastAsia="Arial" w:hAnsi="Arial"/>
          <w:sz w:val="14"/>
          <w:szCs w:val="14"/>
          <w:i w:val="1"/>
          <w:iCs w:val="1"/>
          <w:color w:val="auto"/>
        </w:rPr>
      </w:pPr>
      <w:r>
        <w:rPr>
          <w:rFonts w:ascii="Arial" w:cs="Arial" w:eastAsia="Arial" w:hAnsi="Arial"/>
          <w:sz w:val="14"/>
          <w:szCs w:val="14"/>
          <w:i w:val="1"/>
          <w:iCs w:val="1"/>
          <w:color w:val="auto"/>
        </w:rPr>
        <w:t>Beneficial ownership by directors includes: (i) for Ms. Bodem, 7,631 shares that Ms. Bodem has the right to acquire upon the exercise of director stock options that have vested or will vest within 60 days of March 10, 2026; (ii) for Mr. Kelly, 12,184 shares that Mr. Kelly has the right to acquire upon the exercise of director stock options that have vested or will vest within 60 days of March 10, 2026; (iii) for Ms. Lalor, 15,542 DSUs that have vested or will vest within 60 days of March 10, 2026 and will be delivered following the conclusion of service on the Board and 7,631 shares that Ms. Lalor has the right to acquire upon the exercise of director stock options that have vested or will vest within 60 days of March 10, 2026; (iv) for Mr. Okala, 8,147 shares that Mr. Okala has the right to acquire upon the exercise of director stock options that have vested or will vest within 60 days of March 10, 2026; (v) for Ms. Ortiz, 4,338 DSUs that have vested or will vest within 60 days of March 10, 2026 and will be delivered following the conclusion of service on the Board 7,631 shares that Ms. Ortiz has the right to acquire upon the exercise of director stock options that have vested or will vest within 60 days of March 10, 2026; (vi) for Mr. Perfall, 38,246 DSUs that have vested or will vest within 60 days of March 10, 2026 and will be delivered following the conclusion of service on the Board and 15,182 shares that Mr. Perfall has the right to acquire upon the exercise of director stock options that have vested or will vest within 60 days of March 10, 2026; (vii) for Mr. Shirley, 112,010 shares that Mr. Shirley has the right to acquire upon the exercise of stock options that have vested or will vest within 60 days of March 10, 2026 (viii) for Mr. Vinnakota, 5,295 DSUs that have vested or will vest within 60 days of March 10, 2026 and will be delivered following the conclusion of service on the Board and 11,406 shares that Mr. Vinnakota has the right to acquire upon the exercise of director stock options that have vested or will vest within 60 days of March 10, 2026; and (ix) for Ms. Wienbar, 32,600 DSUs that have vested or will vest within 60 days of March 10, 2026 and will be delivered following the conclusion of service on the Board and 15,182 shares that Ms. Wienbar has the right to acquire upon the exercise of director stock options that have vested or will vest within 60 days of March 10, 2026. For more information on these awards, see Director Compensation above.</w:t>
      </w:r>
    </w:p>
    <w:p>
      <w:pPr>
        <w:spacing w:after="0" w:line="149" w:lineRule="exact"/>
        <w:rPr>
          <w:rFonts w:ascii="Arial" w:cs="Arial" w:eastAsia="Arial" w:hAnsi="Arial"/>
          <w:sz w:val="14"/>
          <w:szCs w:val="14"/>
          <w:i w:val="1"/>
          <w:iCs w:val="1"/>
          <w:color w:val="auto"/>
        </w:rPr>
      </w:pPr>
    </w:p>
    <w:p>
      <w:pPr>
        <w:ind w:left="424" w:hanging="424"/>
        <w:spacing w:after="0"/>
        <w:tabs>
          <w:tab w:leader="none" w:pos="424" w:val="left"/>
        </w:tabs>
        <w:numPr>
          <w:ilvl w:val="0"/>
          <w:numId w:val="115"/>
        </w:numPr>
        <w:rPr>
          <w:rFonts w:ascii="Arial" w:cs="Arial" w:eastAsia="Arial" w:hAnsi="Arial"/>
          <w:sz w:val="14"/>
          <w:szCs w:val="14"/>
          <w:i w:val="1"/>
          <w:iCs w:val="1"/>
          <w:color w:val="auto"/>
        </w:rPr>
      </w:pPr>
      <w:r>
        <w:rPr>
          <w:rFonts w:ascii="Arial" w:cs="Arial" w:eastAsia="Arial" w:hAnsi="Arial"/>
          <w:sz w:val="14"/>
          <w:szCs w:val="14"/>
          <w:i w:val="1"/>
          <w:iCs w:val="1"/>
          <w:color w:val="auto"/>
        </w:rPr>
        <w:t>Includes 2,482 shares held by a trust.</w:t>
      </w:r>
    </w:p>
    <w:p>
      <w:pPr>
        <w:spacing w:after="0" w:line="163" w:lineRule="exact"/>
        <w:rPr>
          <w:rFonts w:ascii="Arial" w:cs="Arial" w:eastAsia="Arial" w:hAnsi="Arial"/>
          <w:sz w:val="14"/>
          <w:szCs w:val="14"/>
          <w:i w:val="1"/>
          <w:iCs w:val="1"/>
          <w:color w:val="auto"/>
        </w:rPr>
      </w:pPr>
    </w:p>
    <w:p>
      <w:pPr>
        <w:jc w:val="both"/>
        <w:ind w:left="424" w:right="20" w:hanging="424"/>
        <w:spacing w:after="0" w:line="230" w:lineRule="auto"/>
        <w:tabs>
          <w:tab w:leader="none" w:pos="424" w:val="left"/>
        </w:tabs>
        <w:numPr>
          <w:ilvl w:val="0"/>
          <w:numId w:val="115"/>
        </w:numPr>
        <w:rPr>
          <w:rFonts w:ascii="Arial" w:cs="Arial" w:eastAsia="Arial" w:hAnsi="Arial"/>
          <w:sz w:val="14"/>
          <w:szCs w:val="14"/>
          <w:i w:val="1"/>
          <w:iCs w:val="1"/>
          <w:color w:val="auto"/>
        </w:rPr>
      </w:pPr>
      <w:r>
        <w:rPr>
          <w:rFonts w:ascii="Arial" w:cs="Arial" w:eastAsia="Arial" w:hAnsi="Arial"/>
          <w:sz w:val="14"/>
          <w:szCs w:val="14"/>
          <w:i w:val="1"/>
          <w:iCs w:val="1"/>
          <w:color w:val="auto"/>
        </w:rPr>
        <w:t>Beneficial ownership by named executive officers includes shares that such individuals have the right to acquire upon the exercise of options that have vested or will vest within 60 days of March 10, 2026. The number of shares included in the table as beneficially owned which are subject to such options is as follows: Mr. Trerotola</w:t>
      </w:r>
    </w:p>
    <w:p>
      <w:pPr>
        <w:ind w:left="424"/>
        <w:spacing w:after="0"/>
        <w:rPr>
          <w:rFonts w:ascii="Arial" w:cs="Arial" w:eastAsia="Arial" w:hAnsi="Arial"/>
          <w:sz w:val="14"/>
          <w:szCs w:val="14"/>
          <w:i w:val="1"/>
          <w:iCs w:val="1"/>
          <w:color w:val="auto"/>
        </w:rPr>
      </w:pPr>
      <w:r>
        <w:rPr>
          <w:rFonts w:ascii="Arial" w:cs="Arial" w:eastAsia="Arial" w:hAnsi="Arial"/>
          <w:sz w:val="14"/>
          <w:szCs w:val="14"/>
          <w:i w:val="1"/>
          <w:iCs w:val="1"/>
          <w:color w:val="auto"/>
        </w:rPr>
        <w:t>– 438,638, Mr. Berry – 26,807, Mr. Pryor – 138,136, Ms. Lang – 41,941, Mr. Ross – 19,193, Mr. Vogt – 10,875 and all of our executive officers as a group – 707,164.</w:t>
      </w:r>
    </w:p>
    <w:p>
      <w:pPr>
        <w:spacing w:after="0" w:line="151" w:lineRule="exact"/>
        <w:rPr>
          <w:rFonts w:ascii="Arial" w:cs="Arial" w:eastAsia="Arial" w:hAnsi="Arial"/>
          <w:sz w:val="14"/>
          <w:szCs w:val="14"/>
          <w:i w:val="1"/>
          <w:iCs w:val="1"/>
          <w:color w:val="auto"/>
        </w:rPr>
      </w:pPr>
    </w:p>
    <w:p>
      <w:pPr>
        <w:ind w:left="424" w:hanging="424"/>
        <w:spacing w:after="0"/>
        <w:tabs>
          <w:tab w:leader="none" w:pos="424" w:val="left"/>
        </w:tabs>
        <w:numPr>
          <w:ilvl w:val="0"/>
          <w:numId w:val="115"/>
        </w:numPr>
        <w:rPr>
          <w:rFonts w:ascii="Arial" w:cs="Arial" w:eastAsia="Arial" w:hAnsi="Arial"/>
          <w:sz w:val="14"/>
          <w:szCs w:val="14"/>
          <w:i w:val="1"/>
          <w:iCs w:val="1"/>
          <w:color w:val="auto"/>
        </w:rPr>
      </w:pPr>
      <w:r>
        <w:rPr>
          <w:rFonts w:ascii="Arial" w:cs="Arial" w:eastAsia="Arial" w:hAnsi="Arial"/>
          <w:sz w:val="14"/>
          <w:szCs w:val="14"/>
          <w:i w:val="1"/>
          <w:iCs w:val="1"/>
          <w:color w:val="auto"/>
        </w:rPr>
        <w:t>Includes 932 shares held in his 401(k)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6755130</wp:posOffset>
            </wp:positionH>
            <wp:positionV relativeFrom="paragraph">
              <wp:posOffset>116840</wp:posOffset>
            </wp:positionV>
            <wp:extent cx="17145" cy="3175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7145" cy="317500"/>
                    </a:xfrm>
                    <a:prstGeom prst="rect">
                      <a:avLst/>
                    </a:prstGeom>
                    <a:noFill/>
                  </pic:spPr>
                </pic:pic>
              </a:graphicData>
            </a:graphic>
          </wp:anchor>
        </w:drawing>
      </w:r>
    </w:p>
    <w:p>
      <w:pPr>
        <w:spacing w:after="0" w:line="164" w:lineRule="exact"/>
        <w:rPr>
          <w:sz w:val="20"/>
          <w:szCs w:val="20"/>
          <w:color w:val="auto"/>
        </w:rPr>
      </w:pPr>
    </w:p>
    <w:p>
      <w:pPr>
        <w:ind w:left="7524"/>
        <w:spacing w:after="0"/>
        <w:tabs>
          <w:tab w:leader="none" w:pos="10804" w:val="left"/>
        </w:tabs>
        <w:rPr>
          <w:sz w:val="20"/>
          <w:szCs w:val="20"/>
          <w:color w:val="auto"/>
        </w:rPr>
      </w:pPr>
      <w:r>
        <w:rPr>
          <w:sz w:val="1"/>
          <w:szCs w:val="1"/>
          <w:color w:val="auto"/>
        </w:rPr>
        <w:drawing>
          <wp:inline distT="0" distB="0" distL="0" distR="0">
            <wp:extent cx="685800" cy="162560"/>
            <wp:effectExtent l="0" t="0" r="0" b="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0" cy="162560"/>
                    </a:xfrm>
                    <a:prstGeom prst="rect">
                      <a:avLst/>
                    </a:prstGeom>
                    <a:noFill/>
                    <a:ln>
                      <a:noFill/>
                    </a:ln>
                  </pic:spPr>
                </pic:pic>
              </a:graphicData>
            </a:graphic>
          </wp:inline>
        </w:drawing>
      </w:r>
      <w:r>
        <w:rPr>
          <w:rFonts w:ascii="Arial" w:cs="Arial" w:eastAsia="Arial" w:hAnsi="Arial"/>
          <w:sz w:val="18"/>
          <w:szCs w:val="18"/>
          <w:color w:val="auto"/>
        </w:rPr>
        <w:t xml:space="preserve"> - 2026 Proxy Statement</w:t>
      </w:r>
      <w:r>
        <w:rPr>
          <w:sz w:val="20"/>
          <w:szCs w:val="20"/>
          <w:color w:val="auto"/>
        </w:rPr>
        <w:tab/>
      </w: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9516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580" w:right="439" w:bottom="1440" w:gutter="0" w:footer="0" w:header="0"/>
        </w:sectPr>
      </w:pPr>
    </w:p>
    <w:bookmarkStart w:id="75" w:name="page76"/>
    <w:bookmarkEnd w:id="75"/>
    <w:p>
      <w:pPr>
        <w:ind w:left="644" w:hanging="644"/>
        <w:spacing w:after="0"/>
        <w:tabs>
          <w:tab w:leader="none" w:pos="644" w:val="left"/>
        </w:tabs>
        <w:numPr>
          <w:ilvl w:val="0"/>
          <w:numId w:val="116"/>
        </w:numPr>
        <w:rPr>
          <w:rFonts w:ascii="MS PGothic" w:cs="MS PGothic" w:eastAsia="MS PGothic" w:hAnsi="MS PGothic"/>
          <w:sz w:val="47"/>
          <w:szCs w:val="47"/>
          <w:color w:val="C8102E"/>
        </w:rPr>
      </w:pPr>
      <w:r>
        <w:rPr>
          <w:rFonts w:ascii="Arial" w:cs="Arial" w:eastAsia="Arial" w:hAnsi="Arial"/>
          <w:sz w:val="47"/>
          <w:szCs w:val="47"/>
          <w:color w:val="auto"/>
        </w:rPr>
        <w:t>GENERAL MATTERS</w:t>
      </w:r>
    </w:p>
    <w:p>
      <w:pPr>
        <w:spacing w:after="0" w:line="145" w:lineRule="exact"/>
        <w:rPr>
          <w:sz w:val="20"/>
          <w:szCs w:val="20"/>
          <w:color w:val="auto"/>
        </w:rPr>
      </w:pPr>
    </w:p>
    <w:p>
      <w:pPr>
        <w:ind w:left="4"/>
        <w:spacing w:after="0"/>
        <w:rPr>
          <w:sz w:val="20"/>
          <w:szCs w:val="20"/>
          <w:color w:val="auto"/>
        </w:rPr>
      </w:pPr>
      <w:r>
        <w:rPr>
          <w:rFonts w:ascii="Arial" w:cs="Arial" w:eastAsia="Arial" w:hAnsi="Arial"/>
          <w:sz w:val="32"/>
          <w:szCs w:val="32"/>
          <w:b w:val="1"/>
          <w:bCs w:val="1"/>
          <w:color w:val="C8102E"/>
        </w:rPr>
        <w:t>Outstanding Stock and Voting Rights</w:t>
      </w:r>
    </w:p>
    <w:p>
      <w:pPr>
        <w:spacing w:after="0" w:line="117" w:lineRule="exact"/>
        <w:rPr>
          <w:sz w:val="20"/>
          <w:szCs w:val="20"/>
          <w:color w:val="auto"/>
        </w:rPr>
      </w:pPr>
    </w:p>
    <w:p>
      <w:pPr>
        <w:jc w:val="both"/>
        <w:ind w:left="4" w:right="20"/>
        <w:spacing w:after="0" w:line="225" w:lineRule="auto"/>
        <w:rPr>
          <w:sz w:val="20"/>
          <w:szCs w:val="20"/>
          <w:color w:val="auto"/>
        </w:rPr>
      </w:pPr>
      <w:r>
        <w:rPr>
          <w:rFonts w:ascii="Arial" w:cs="Arial" w:eastAsia="Arial" w:hAnsi="Arial"/>
          <w:sz w:val="16"/>
          <w:szCs w:val="16"/>
          <w:color w:val="auto"/>
        </w:rPr>
        <w:t>The Board has fixed the close of business on March 30, 2026 (the “Record Date”) as the record date for determining the stockholders entitled to notice of, and to vote at, the Annual Meeting. Only stockholders of record on that date will be entitled to vote. Proxies will be voted as specified in the stockholder’s proxy. In the absence of specific instructions, proxies will be voted in accordance with the Company’s recommendations and in the discretion of the proxy holders on any other matter which properly comes before the meeting or any adjournment or postponement thereof. The Board has selected Damien McDonald and Sharon Wienbar to act as proxies with full power of substitution.</w:t>
      </w:r>
    </w:p>
    <w:p>
      <w:pPr>
        <w:spacing w:after="0" w:line="110" w:lineRule="exact"/>
        <w:rPr>
          <w:sz w:val="20"/>
          <w:szCs w:val="20"/>
          <w:color w:val="auto"/>
        </w:rPr>
      </w:pPr>
    </w:p>
    <w:p>
      <w:pPr>
        <w:jc w:val="both"/>
        <w:ind w:left="4" w:right="20"/>
        <w:spacing w:after="0" w:line="225" w:lineRule="auto"/>
        <w:rPr>
          <w:sz w:val="20"/>
          <w:szCs w:val="20"/>
          <w:color w:val="auto"/>
        </w:rPr>
      </w:pPr>
      <w:r>
        <w:rPr>
          <w:rFonts w:ascii="Arial" w:cs="Arial" w:eastAsia="Arial" w:hAnsi="Arial"/>
          <w:sz w:val="16"/>
          <w:szCs w:val="16"/>
          <w:color w:val="auto"/>
        </w:rPr>
        <w:t>Any stockholder of record giving a proxy has the power to revoke the proxy at any time before it is exercised by either (i) delivering a written notice of revocation to Enovis Corporation at 2711 Centerville Road, Suite 400, Wilmington, Delaware 19808, Attn: Corporate Secretary, (ii) delivering prior to the Annual Meeting a properly executed and subsequently dated proxy, or (iii) virtually attending and voting at the Annual Meeting. Attendance at the Annual Meeting will not cause your previously granted proxy to be revoked unless you specifically so request. A beneficial stockholder who owns common stock in street name, meaning through a bank, broker or other nominee, should contact that entity to revoke a previously given proxy.</w:t>
      </w:r>
    </w:p>
    <w:p>
      <w:pPr>
        <w:spacing w:after="0" w:line="110" w:lineRule="exact"/>
        <w:rPr>
          <w:sz w:val="20"/>
          <w:szCs w:val="20"/>
          <w:color w:val="auto"/>
        </w:rPr>
      </w:pPr>
    </w:p>
    <w:p>
      <w:pPr>
        <w:jc w:val="both"/>
        <w:ind w:left="4" w:right="20"/>
        <w:spacing w:after="0" w:line="234" w:lineRule="auto"/>
        <w:rPr>
          <w:sz w:val="20"/>
          <w:szCs w:val="20"/>
          <w:color w:val="auto"/>
        </w:rPr>
      </w:pPr>
      <w:r>
        <w:rPr>
          <w:rFonts w:ascii="Arial" w:cs="Arial" w:eastAsia="Arial" w:hAnsi="Arial"/>
          <w:sz w:val="16"/>
          <w:szCs w:val="16"/>
          <w:color w:val="auto"/>
        </w:rPr>
        <w:t>The Company will bear the total expense of this solicitation, including reimbursement paid to brokerage firms and others for their expenses in forwarding material regarding the Annual Meeting to beneficial owners. Solicitation of proxies may be made personally or by mail, telephone, Internet, e-mail or facsimile by officers and other management employees of the Company, who will receive no additional compensation for their services.</w:t>
      </w:r>
    </w:p>
    <w:p>
      <w:pPr>
        <w:spacing w:after="0" w:line="110" w:lineRule="exact"/>
        <w:rPr>
          <w:sz w:val="20"/>
          <w:szCs w:val="20"/>
          <w:color w:val="auto"/>
        </w:rPr>
      </w:pPr>
    </w:p>
    <w:p>
      <w:pPr>
        <w:jc w:val="both"/>
        <w:ind w:left="4" w:right="20"/>
        <w:spacing w:after="0" w:line="234" w:lineRule="auto"/>
        <w:rPr>
          <w:sz w:val="20"/>
          <w:szCs w:val="20"/>
          <w:color w:val="auto"/>
        </w:rPr>
      </w:pPr>
      <w:r>
        <w:rPr>
          <w:rFonts w:ascii="Arial" w:cs="Arial" w:eastAsia="Arial" w:hAnsi="Arial"/>
          <w:sz w:val="16"/>
          <w:szCs w:val="16"/>
          <w:color w:val="auto"/>
        </w:rPr>
        <w:t>The holders of shares of the Company’s common stock are entitled to vote at the Annual Meeting. As of the Record Date, 57,539,044 shares of the Company’s common stock were outstanding. Each outstanding share of the Company’s common stock entitles the holder to one vote on all matters brought before the Annual Meeting.</w:t>
      </w:r>
    </w:p>
    <w:p>
      <w:pPr>
        <w:spacing w:after="0" w:line="110" w:lineRule="exact"/>
        <w:rPr>
          <w:sz w:val="20"/>
          <w:szCs w:val="20"/>
          <w:color w:val="auto"/>
        </w:rPr>
      </w:pPr>
    </w:p>
    <w:p>
      <w:pPr>
        <w:jc w:val="both"/>
        <w:ind w:left="4" w:right="20"/>
        <w:spacing w:after="0" w:line="251" w:lineRule="auto"/>
        <w:rPr>
          <w:sz w:val="20"/>
          <w:szCs w:val="20"/>
          <w:color w:val="auto"/>
        </w:rPr>
      </w:pPr>
      <w:r>
        <w:rPr>
          <w:rFonts w:ascii="Arial" w:cs="Arial" w:eastAsia="Arial" w:hAnsi="Arial"/>
          <w:sz w:val="16"/>
          <w:szCs w:val="16"/>
          <w:color w:val="auto"/>
        </w:rPr>
        <w:t>A list of stockholders of record as of the Record Date will be available for inspection during ordinary business hours at our corporate headquarters located at 2711 Centerville Road, Suite 400, Wilmington, Delaware 19808, for 10 days prior to the date of our Annual Meeting.</w:t>
      </w:r>
    </w:p>
    <w:p>
      <w:pPr>
        <w:spacing w:after="0" w:line="101" w:lineRule="exact"/>
        <w:rPr>
          <w:sz w:val="20"/>
          <w:szCs w:val="20"/>
          <w:color w:val="auto"/>
        </w:rPr>
      </w:pPr>
    </w:p>
    <w:p>
      <w:pPr>
        <w:jc w:val="both"/>
        <w:ind w:left="4"/>
        <w:spacing w:after="0" w:line="219" w:lineRule="auto"/>
        <w:rPr>
          <w:sz w:val="20"/>
          <w:szCs w:val="20"/>
          <w:color w:val="auto"/>
        </w:rPr>
      </w:pPr>
      <w:r>
        <w:rPr>
          <w:rFonts w:ascii="Arial" w:cs="Arial" w:eastAsia="Arial" w:hAnsi="Arial"/>
          <w:sz w:val="16"/>
          <w:szCs w:val="16"/>
          <w:color w:val="auto"/>
        </w:rPr>
        <w:t>The quorum necessary to conduct business at the Annual Meeting consists of a majority of the shares of the Company’s stock outstanding on the Record Date and entitled to vote at the Annual Meeting, either present in person or represented by proxy. Abstentions and broker non-votes (described below) are counted for purposes of determining the presence or absence of a quorum. In accordance with the Company’s Amended and Restated Bylaws (the “Bylaws”), to be elected each director nominee must receive a majority of the votes cast with respect to that director’s election. Incumbent directors nominated for election by the Board are required, as a condition to such nomination, to submit a conditional letter of resignation to the Chair of the Board. In the event that a nominee for director does not receive a majority of the votes cast at the Annual Meeting with respect to his or her election, the Board will promptly consider whether to accept or reject the conditional resignation of that nominee, or whether other action should be taken. The Board will then take action and will publicly disclose its decision and the rationale behind it no later than 90 days following the certification of election results.</w:t>
      </w:r>
    </w:p>
    <w:p>
      <w:pPr>
        <w:spacing w:after="0" w:line="115" w:lineRule="exact"/>
        <w:rPr>
          <w:sz w:val="20"/>
          <w:szCs w:val="20"/>
          <w:color w:val="auto"/>
        </w:rPr>
      </w:pPr>
    </w:p>
    <w:p>
      <w:pPr>
        <w:jc w:val="both"/>
        <w:ind w:left="4" w:right="20"/>
        <w:spacing w:after="0" w:line="225" w:lineRule="auto"/>
        <w:rPr>
          <w:sz w:val="20"/>
          <w:szCs w:val="20"/>
          <w:color w:val="auto"/>
        </w:rPr>
      </w:pPr>
      <w:r>
        <w:rPr>
          <w:rFonts w:ascii="Arial" w:cs="Arial" w:eastAsia="Arial" w:hAnsi="Arial"/>
          <w:sz w:val="16"/>
          <w:szCs w:val="16"/>
          <w:color w:val="auto"/>
        </w:rPr>
        <w:t>The affirmative vote of a majority of the shares present in person or represented by proxy at the Annual Meeting and entitled to vote is required for ratification of the appointment of Ernst &amp; Young LLP as the Company’s independent registered public accounting firm for the fiscal year ending December 31, 2026 and for approval of the advisory vote approving the compensation of our named executive officers, and for approval of an amendment to the Enovis Corporation 2020 Omnibus Incentive Plan. While the vote to approve named executive officer compensation is advisory in nature and non-binding, we will consider stockholder opinion on this proposal.</w:t>
      </w:r>
    </w:p>
    <w:p>
      <w:pPr>
        <w:spacing w:after="0" w:line="110" w:lineRule="exact"/>
        <w:rPr>
          <w:sz w:val="20"/>
          <w:szCs w:val="20"/>
          <w:color w:val="auto"/>
        </w:rPr>
      </w:pPr>
    </w:p>
    <w:p>
      <w:pPr>
        <w:jc w:val="both"/>
        <w:ind w:left="4" w:right="20"/>
        <w:spacing w:after="0" w:line="234" w:lineRule="auto"/>
        <w:rPr>
          <w:sz w:val="20"/>
          <w:szCs w:val="20"/>
          <w:color w:val="auto"/>
        </w:rPr>
      </w:pPr>
      <w:r>
        <w:rPr>
          <w:rFonts w:ascii="Arial" w:cs="Arial" w:eastAsia="Arial" w:hAnsi="Arial"/>
          <w:sz w:val="16"/>
          <w:szCs w:val="16"/>
          <w:color w:val="auto"/>
        </w:rPr>
        <w:t>Abstentions will have no effect on the election of directors but will have the same effect as a vote against ratification of the appointment of Ernst &amp; Young LLP, approval of the advisory vote approving the compensation of our named executive officers , and for approval of an amendment to the Enovis Corporation 2020 Omnibus Incentive Plan.</w:t>
      </w:r>
    </w:p>
    <w:p>
      <w:pPr>
        <w:spacing w:after="0" w:line="110" w:lineRule="exact"/>
        <w:rPr>
          <w:sz w:val="20"/>
          <w:szCs w:val="20"/>
          <w:color w:val="auto"/>
        </w:rPr>
      </w:pPr>
    </w:p>
    <w:p>
      <w:pPr>
        <w:jc w:val="both"/>
        <w:ind w:left="4" w:right="20"/>
        <w:spacing w:after="0" w:line="222" w:lineRule="auto"/>
        <w:rPr>
          <w:sz w:val="20"/>
          <w:szCs w:val="20"/>
          <w:color w:val="auto"/>
        </w:rPr>
      </w:pPr>
      <w:r>
        <w:rPr>
          <w:rFonts w:ascii="Arial" w:cs="Arial" w:eastAsia="Arial" w:hAnsi="Arial"/>
          <w:sz w:val="16"/>
          <w:szCs w:val="16"/>
          <w:color w:val="auto"/>
        </w:rPr>
        <w:t>Under the rules of the NYSE, brokerage firms may vote in their discretion on behalf of clients who have not furnished voting instructions on the ratification of the selection of our registered public accounting firm. In contrast, the remaining proposals are “non-routine” items. This means brokerage firms that have not received voting instructions from their clients may not vote on these proposals (a “broker non-vote”). Broker non-votes will not be considered in determining the number of votes necessary for election and, therefore, will have no effect on the outcome of the vote for the election of directors. Further, broker non-votes will have no effect on the advisory vote to approve the compensation of our named executive officers or the proposal to approve an amendment to the Enovis Corporation 2020 Omnibus Incentive Plan.</w:t>
      </w:r>
    </w:p>
    <w:p>
      <w:pPr>
        <w:spacing w:after="0" w:line="122" w:lineRule="exact"/>
        <w:rPr>
          <w:sz w:val="20"/>
          <w:szCs w:val="20"/>
          <w:color w:val="auto"/>
        </w:rPr>
      </w:pPr>
    </w:p>
    <w:p>
      <w:pPr>
        <w:ind w:left="4"/>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-118745</wp:posOffset>
            </wp:positionV>
            <wp:extent cx="762635" cy="38608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62635" cy="386080"/>
                    </a:xfrm>
                    <a:prstGeom prst="rect">
                      <a:avLst/>
                    </a:prstGeom>
                    <a:noFill/>
                  </pic:spPr>
                </pic:pic>
              </a:graphicData>
            </a:graphic>
          </wp:anchor>
        </w:drawing>
      </w:r>
    </w:p>
    <w:p>
      <w:pPr>
        <w:ind w:left="1584"/>
        <w:spacing w:after="0"/>
        <w:rPr>
          <w:sz w:val="20"/>
          <w:szCs w:val="20"/>
          <w:color w:val="auto"/>
        </w:rPr>
      </w:pPr>
      <w:r>
        <w:rPr>
          <w:rFonts w:ascii="Arial" w:cs="Arial" w:eastAsia="Arial" w:hAnsi="Arial"/>
          <w:sz w:val="18"/>
          <w:szCs w:val="18"/>
          <w:color w:val="auto"/>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699516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588" w:right="439" w:bottom="1440" w:gutter="0" w:footer="0" w:header="0"/>
        </w:sectPr>
      </w:pPr>
    </w:p>
    <w:bookmarkStart w:id="76" w:name="page77"/>
    <w:bookmarkEnd w:id="76"/>
    <w:p>
      <w:pPr>
        <w:jc w:val="both"/>
        <w:ind w:right="20"/>
        <w:spacing w:after="0" w:line="219" w:lineRule="auto"/>
        <w:rPr>
          <w:sz w:val="20"/>
          <w:szCs w:val="20"/>
          <w:color w:val="auto"/>
        </w:rPr>
      </w:pPr>
      <w:r>
        <w:rPr>
          <w:rFonts w:ascii="Arial" w:cs="Arial" w:eastAsia="Arial" w:hAnsi="Arial"/>
          <w:sz w:val="16"/>
          <w:szCs w:val="16"/>
          <w:color w:val="auto"/>
        </w:rPr>
        <w:t>Only stockholders as of the Record Date are entitled to attend the Annual Meeting. To attend the Annual Meeting, stockholders of record must go to the meeting website at www.virtualshareholdermeeting.com/ENOV2026 and enter the control number found on the proxy card or the Notice previously received. If you are a beneficial stockholder who owns common stock in street name, meaning through a bank, broker or other nominee, and your voting instruction form or Notice indicates that you may vote those shares through the http://www.proxyvote.com website, then you may attend the Annual Meeting using the 16-digit control number indicated on that voting instruction form or Notice. Otherwise, stockholders who hold their shares in street name should contact their bank, broker or other nominee (preferably at least five days before the Annual Meeting) and obtain a “legal proxy” in order to be able to attend the Annual Meeting. Once admitted, during the Annual Meeting, stockholders may vote, submit questions and view the list of stockholders entitled to vote at the Annual Meeting by following the instructions available on the meeting website.</w:t>
      </w:r>
    </w:p>
    <w:p>
      <w:pPr>
        <w:spacing w:after="0" w:line="99" w:lineRule="exact"/>
        <w:rPr>
          <w:sz w:val="20"/>
          <w:szCs w:val="20"/>
          <w:color w:val="auto"/>
        </w:rPr>
      </w:pPr>
    </w:p>
    <w:p>
      <w:pPr>
        <w:spacing w:after="0"/>
        <w:rPr>
          <w:sz w:val="20"/>
          <w:szCs w:val="20"/>
          <w:color w:val="auto"/>
        </w:rPr>
      </w:pPr>
      <w:r>
        <w:rPr>
          <w:rFonts w:ascii="Arial" w:cs="Arial" w:eastAsia="Arial" w:hAnsi="Arial"/>
          <w:sz w:val="32"/>
          <w:szCs w:val="32"/>
          <w:b w:val="1"/>
          <w:bCs w:val="1"/>
          <w:color w:val="C8102E"/>
        </w:rPr>
        <w:t>Stockholder Proposals and Nominations</w:t>
      </w:r>
    </w:p>
    <w:p>
      <w:pPr>
        <w:spacing w:after="0" w:line="148" w:lineRule="exact"/>
        <w:rPr>
          <w:sz w:val="20"/>
          <w:szCs w:val="20"/>
          <w:color w:val="auto"/>
        </w:rPr>
      </w:pPr>
    </w:p>
    <w:p>
      <w:pPr>
        <w:jc w:val="both"/>
        <w:spacing w:after="0" w:line="234" w:lineRule="auto"/>
        <w:rPr>
          <w:sz w:val="20"/>
          <w:szCs w:val="20"/>
          <w:color w:val="auto"/>
        </w:rPr>
      </w:pPr>
      <w:r>
        <w:rPr>
          <w:rFonts w:ascii="Arial" w:cs="Arial" w:eastAsia="Arial" w:hAnsi="Arial"/>
          <w:sz w:val="16"/>
          <w:szCs w:val="16"/>
          <w:i w:val="1"/>
          <w:iCs w:val="1"/>
          <w:color w:val="auto"/>
        </w:rPr>
        <w:t xml:space="preserve">Requirements for Stockholder Proposals to be Considered for Inclusion in our Proxy Materials. </w:t>
      </w:r>
      <w:r>
        <w:rPr>
          <w:rFonts w:ascii="Arial" w:cs="Arial" w:eastAsia="Arial" w:hAnsi="Arial"/>
          <w:sz w:val="16"/>
          <w:szCs w:val="16"/>
          <w:color w:val="auto"/>
        </w:rPr>
        <w:t>To be considered for inclusion in next year’s proxy</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pursuant to Rule 14a-8 of the Exchange Act, stockholder proposals must be received by our Corporate Secretary at our principal executive offices no later than the close of business on December 7, 2026.</w:t>
      </w:r>
    </w:p>
    <w:p>
      <w:pPr>
        <w:spacing w:after="0" w:line="110" w:lineRule="exact"/>
        <w:rPr>
          <w:sz w:val="20"/>
          <w:szCs w:val="20"/>
          <w:color w:val="auto"/>
        </w:rPr>
      </w:pPr>
    </w:p>
    <w:p>
      <w:pPr>
        <w:jc w:val="both"/>
        <w:spacing w:after="0" w:line="218" w:lineRule="auto"/>
        <w:rPr>
          <w:sz w:val="20"/>
          <w:szCs w:val="20"/>
          <w:color w:val="auto"/>
        </w:rPr>
      </w:pPr>
      <w:r>
        <w:rPr>
          <w:rFonts w:ascii="Arial" w:cs="Arial" w:eastAsia="Arial" w:hAnsi="Arial"/>
          <w:sz w:val="16"/>
          <w:szCs w:val="16"/>
          <w:i w:val="1"/>
          <w:iCs w:val="1"/>
          <w:color w:val="auto"/>
        </w:rPr>
        <w:t xml:space="preserve">Requirements for Stockholder Proposals to be Brought Before an Annual Meeting. </w:t>
      </w:r>
      <w:r>
        <w:rPr>
          <w:rFonts w:ascii="Arial" w:cs="Arial" w:eastAsia="Arial" w:hAnsi="Arial"/>
          <w:sz w:val="16"/>
          <w:szCs w:val="16"/>
          <w:color w:val="auto"/>
        </w:rPr>
        <w:t>Our Bylaws provide that, for a stockholder to nominate a candidate for</w:t>
      </w:r>
      <w:r>
        <w:rPr>
          <w:rFonts w:ascii="Arial" w:cs="Arial" w:eastAsia="Arial" w:hAnsi="Arial"/>
          <w:sz w:val="16"/>
          <w:szCs w:val="16"/>
          <w:i w:val="1"/>
          <w:iCs w:val="1"/>
          <w:color w:val="auto"/>
        </w:rPr>
        <w:t xml:space="preserve"> </w:t>
      </w:r>
      <w:r>
        <w:rPr>
          <w:rFonts w:ascii="Arial" w:cs="Arial" w:eastAsia="Arial" w:hAnsi="Arial"/>
          <w:sz w:val="16"/>
          <w:szCs w:val="16"/>
          <w:color w:val="auto"/>
        </w:rPr>
        <w:t>election to the Board or propose any other business to be considered at an annual meeting other than through a proposal presented pursuant to Rule 14a-8 of the Exchange Act, the stockholder must have given timely notice thereof in writing to the Secretary of the Company at Enovis Corporation, 2711 Centerville Road, Suite 400, Wilmington, Delaware 19808, Attn: Corporate Secretary. To be timely for an annual meeting, the stockholder’s notice must be delivered to or mailed and received by the Secretary not less than the close of business 90 days nor more than 120 days before the anniversary date of the preceding annual meeting; accordingly, for the 2027 annual meeting, notice must be delivered to or mailed and received by the Secretary no later than the close of business on February 18, 2027 , and no earlier than January 19, 2027. However, if the annual meeting is set for a date that is more than</w:t>
      </w:r>
    </w:p>
    <w:p>
      <w:pPr>
        <w:spacing w:after="0" w:line="202" w:lineRule="auto"/>
        <w:rPr>
          <w:sz w:val="20"/>
          <w:szCs w:val="20"/>
          <w:color w:val="auto"/>
        </w:rPr>
      </w:pPr>
      <w:r>
        <w:rPr>
          <w:rFonts w:ascii="Arial" w:cs="Arial" w:eastAsia="Arial" w:hAnsi="Arial"/>
          <w:sz w:val="16"/>
          <w:szCs w:val="16"/>
          <w:color w:val="auto"/>
        </w:rPr>
        <w:t>30 days before or more than 70 days after such anniversary, the Company must receive the notice not earlier than the 120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prior to the annual</w:t>
      </w:r>
    </w:p>
    <w:p>
      <w:pPr>
        <w:jc w:val="both"/>
        <w:spacing w:after="0" w:line="211" w:lineRule="auto"/>
        <w:rPr>
          <w:sz w:val="20"/>
          <w:szCs w:val="20"/>
          <w:color w:val="auto"/>
        </w:rPr>
      </w:pPr>
      <w:r>
        <w:rPr>
          <w:rFonts w:ascii="Arial" w:cs="Arial" w:eastAsia="Arial" w:hAnsi="Arial"/>
          <w:sz w:val="16"/>
          <w:szCs w:val="16"/>
          <w:color w:val="auto"/>
        </w:rPr>
        <w:t>meeting date and not later than the close of business on the later of the 90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prior to such annual meeting or the tenth day following the day when the Company makes a public announcement of the annual meeting date. Such notice must provide the information required by Section 2.2 of our Bylaws with respect to each matter, other than stockholder nominations of directors, that the stockholder proposes to bring before the annual meeting. Notice of stockholder nominations must provide the information required by Section 3.3 of our Bylaws. Both Section 2.2 and Section 3.3 of our Bylaws mandate certain additional information to be provided by a stockholder who wishes to introduce business or nominate a director candidate. In addition to satisfying the foregoing requirements under our Bylaws, a stockholder who intends to solicit proxies in support of nominees submitted under the Company’s advance notice bylaws in compliance with Rule 14a-19, the SEC’s universal proxy rule, must provide the notice required by Rule 14a-19 no later than March 22, 2027. The chairman of the annual meeting may refuse to acknowledge or introduce any nomination or proposal if notice thereof is not received within the applicable deadlines or does not otherwise comply with our Bylaws. If the stockholder does not comply with the applicable requirements of Rule 14a-4(c) under the Exchange Act, we may exercise discretionary voting authority under proxies that we solicit to vote in accordance with our best judgment on any such nomination or proposal.</w:t>
      </w:r>
    </w:p>
    <w:p>
      <w:pPr>
        <w:spacing w:after="0" w:line="108" w:lineRule="exact"/>
        <w:rPr>
          <w:sz w:val="20"/>
          <w:szCs w:val="20"/>
          <w:color w:val="auto"/>
        </w:rPr>
      </w:pPr>
    </w:p>
    <w:p>
      <w:pPr>
        <w:spacing w:after="0"/>
        <w:rPr>
          <w:sz w:val="20"/>
          <w:szCs w:val="20"/>
          <w:color w:val="auto"/>
        </w:rPr>
      </w:pPr>
      <w:r>
        <w:rPr>
          <w:rFonts w:ascii="Arial" w:cs="Arial" w:eastAsia="Arial" w:hAnsi="Arial"/>
          <w:sz w:val="32"/>
          <w:szCs w:val="32"/>
          <w:b w:val="1"/>
          <w:bCs w:val="1"/>
          <w:color w:val="C8102E"/>
        </w:rPr>
        <w:t>Delivery of Documents to Stockholders Sharing an Address</w:t>
      </w:r>
    </w:p>
    <w:p>
      <w:pPr>
        <w:spacing w:after="0" w:line="148"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SEC rules permit the delivery of a single copy of a company’s annual report and proxy statement, or notice of internet availability of proxy materials, as applicable, to any household at which two or more stockholders reside if they appear to be members of the same family. This procedure, referred to as householding, reduces the volume of duplicate information stockholders receive and reduces mailing and printing expenses.</w:t>
      </w:r>
    </w:p>
    <w:p>
      <w:pPr>
        <w:spacing w:after="0" w:line="110" w:lineRule="exact"/>
        <w:rPr>
          <w:sz w:val="20"/>
          <w:szCs w:val="20"/>
          <w:color w:val="auto"/>
        </w:rPr>
      </w:pPr>
    </w:p>
    <w:p>
      <w:pPr>
        <w:jc w:val="both"/>
        <w:spacing w:after="0" w:line="219" w:lineRule="auto"/>
        <w:rPr>
          <w:sz w:val="20"/>
          <w:szCs w:val="20"/>
          <w:color w:val="auto"/>
        </w:rPr>
      </w:pPr>
      <w:r>
        <w:rPr>
          <w:rFonts w:ascii="Arial" w:cs="Arial" w:eastAsia="Arial" w:hAnsi="Arial"/>
          <w:sz w:val="16"/>
          <w:szCs w:val="16"/>
          <w:color w:val="auto"/>
        </w:rPr>
        <w:t>The broker, bank or other nominee for any stockholder who is a beneficial owner of the Company’s stock may deliver only one copy of the Company’s Annual Report to Stockholders and Proxy Statement, or the Company’s Notice, as applicable, to multiple stockholders who share the same address, unless that broker, bank or other nominee has received contrary instructions from one or more of the stockholders. We will deliver promptly, upon written or oral request, a separate copy of the Company’s Annual Report to Stockholders and Proxy Statement, or the Company’s Notice, as applicable, to any stockholder at a shared address to which a single copy of the documents was delivered. A stockholder who wishes to receive a separate copy of the Company’s Annual Report to Stockholders and Proxy Statement, or the Company’s Notice, as applicable, now or in the future, should submit a written request to Investor Relations, Enovis Corporation, 2711 Centerville Road, Suite 400, Wilmington, Delaware 19808 or call (302) 252-9160 and ask for Investor</w:t>
      </w:r>
    </w:p>
    <w:p>
      <w:pPr>
        <w:spacing w:after="0" w:line="156" w:lineRule="exact"/>
        <w:rPr>
          <w:sz w:val="20"/>
          <w:szCs w:val="20"/>
          <w:color w:val="auto"/>
        </w:rPr>
      </w:pPr>
    </w:p>
    <w:p>
      <w:pPr>
        <w:ind w:left="7520"/>
        <w:spacing w:after="0"/>
        <w:tabs>
          <w:tab w:leader="none" w:pos="10800" w:val="left"/>
        </w:tabs>
        <w:rPr>
          <w:sz w:val="20"/>
          <w:szCs w:val="20"/>
          <w:color w:val="auto"/>
        </w:rPr>
      </w:pPr>
      <w:r>
        <w:rPr>
          <w:sz w:val="1"/>
          <w:szCs w:val="1"/>
          <w:color w:val="auto"/>
        </w:rPr>
        <w:drawing>
          <wp:inline distT="0" distB="0" distL="0" distR="0">
            <wp:extent cx="685800" cy="163195"/>
            <wp:effectExtent l="0" t="0" r="0" b="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0" cy="163195"/>
                    </a:xfrm>
                    <a:prstGeom prst="rect">
                      <a:avLst/>
                    </a:prstGeom>
                    <a:noFill/>
                    <a:ln>
                      <a:noFill/>
                    </a:ln>
                  </pic:spPr>
                </pic:pic>
              </a:graphicData>
            </a:graphic>
          </wp:inline>
        </w:drawing>
      </w:r>
      <w:r>
        <w:rPr>
          <w:rFonts w:ascii="Arial" w:cs="Arial" w:eastAsia="Arial" w:hAnsi="Arial"/>
          <w:sz w:val="18"/>
          <w:szCs w:val="18"/>
          <w:color w:val="auto"/>
        </w:rPr>
        <w:t xml:space="preserve"> - 2026 Proxy Statement</w:t>
      </w:r>
      <w:r>
        <w:rPr>
          <w:sz w:val="20"/>
          <w:szCs w:val="20"/>
          <w:color w:val="auto"/>
        </w:rPr>
        <w:tab/>
      </w: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-186690</wp:posOffset>
            </wp:positionV>
            <wp:extent cx="6995160" cy="3257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95160" cy="325755"/>
                    </a:xfrm>
                    <a:prstGeom prst="rect">
                      <a:avLst/>
                    </a:prstGeom>
                    <a:noFill/>
                  </pic:spPr>
                </pic:pic>
              </a:graphicData>
            </a:graphic>
          </wp:anchor>
        </w:drawing>
      </w:r>
    </w:p>
    <w:p>
      <w:pPr>
        <w:sectPr>
          <w:pgSz w:w="11900" w:h="16838" w:orient="portrait"/>
          <w:cols w:equalWidth="0" w:num="1">
            <w:col w:w="11020"/>
          </w:cols>
          <w:pgMar w:left="440" w:top="625" w:right="439" w:bottom="1440" w:gutter="0" w:footer="0" w:header="0"/>
        </w:sectPr>
      </w:pPr>
    </w:p>
    <w:bookmarkStart w:id="77" w:name="page78"/>
    <w:bookmarkEnd w:id="77"/>
    <w:p>
      <w:pPr>
        <w:jc w:val="both"/>
        <w:ind w:right="20"/>
        <w:spacing w:after="0" w:line="234" w:lineRule="auto"/>
        <w:rPr>
          <w:sz w:val="20"/>
          <w:szCs w:val="20"/>
          <w:color w:val="auto"/>
        </w:rPr>
      </w:pPr>
      <w:r>
        <w:rPr>
          <w:rFonts w:ascii="Arial" w:cs="Arial" w:eastAsia="Arial" w:hAnsi="Arial"/>
          <w:sz w:val="16"/>
          <w:szCs w:val="16"/>
          <w:color w:val="auto"/>
        </w:rPr>
        <w:t>Relations. Beneficial owners sharing an address who are receiving multiple copies of the Company’s Annual Report to Stockholders and Proxy Statement, or the Company’s Notice, as applicable, and wish to receive a single copy of such materials in the future will need to contact their broker, bank or other nominee to request that only a single copy of each document be mailed to all stockholders at the shared address in the future.</w:t>
      </w:r>
    </w:p>
    <w:p>
      <w:pPr>
        <w:spacing w:after="0" w:line="107" w:lineRule="exact"/>
        <w:rPr>
          <w:sz w:val="20"/>
          <w:szCs w:val="20"/>
          <w:color w:val="auto"/>
        </w:rPr>
      </w:pPr>
    </w:p>
    <w:p>
      <w:pPr>
        <w:spacing w:after="0"/>
        <w:rPr>
          <w:sz w:val="20"/>
          <w:szCs w:val="20"/>
          <w:color w:val="auto"/>
        </w:rPr>
      </w:pPr>
      <w:r>
        <w:rPr>
          <w:rFonts w:ascii="Arial" w:cs="Arial" w:eastAsia="Arial" w:hAnsi="Arial"/>
          <w:sz w:val="32"/>
          <w:szCs w:val="32"/>
          <w:b w:val="1"/>
          <w:bCs w:val="1"/>
          <w:color w:val="C8102E"/>
        </w:rPr>
        <w:t>Additional Information</w:t>
      </w:r>
    </w:p>
    <w:p>
      <w:pPr>
        <w:spacing w:after="0" w:line="148"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 copy of the Company’s Annual Report to Stockholders for the fiscal year ended December 31, 2025 has been made available concurrently with this Proxy Statement to all stockholders entitled to notice of and to vote at the Annual Meeting. The Annual Report is not incorporated into this Proxy Statement and is not considered proxy-soliciting material.</w:t>
      </w:r>
    </w:p>
    <w:p>
      <w:pPr>
        <w:spacing w:after="0" w:line="110" w:lineRule="exact"/>
        <w:rPr>
          <w:sz w:val="20"/>
          <w:szCs w:val="20"/>
          <w:color w:val="auto"/>
        </w:rPr>
      </w:pPr>
    </w:p>
    <w:p>
      <w:pPr>
        <w:jc w:val="both"/>
        <w:spacing w:after="0" w:line="224" w:lineRule="auto"/>
        <w:rPr>
          <w:sz w:val="20"/>
          <w:szCs w:val="20"/>
          <w:color w:val="auto"/>
        </w:rPr>
      </w:pPr>
      <w:r>
        <w:rPr>
          <w:rFonts w:ascii="Arial" w:cs="Arial" w:eastAsia="Arial" w:hAnsi="Arial"/>
          <w:sz w:val="16"/>
          <w:szCs w:val="16"/>
          <w:b w:val="1"/>
          <w:bCs w:val="1"/>
          <w:color w:val="auto"/>
        </w:rPr>
        <w:t>The Company filed its Annual Report on Form 10-K with the SEC on February 26, 2026. The Company will mail without charge, upon written request, a copy of its Annual Report on Form 10-K for the fiscal year ended December 31, 2025, including financial statements but excluding exhibits. Exhibits, if requested, will be furnished upon the payment of a fee determined by the Company, such fee to be limited to the Company’s reasonable expenses in furnishing the requested exhibit or exhibits. Please send a written request to Investor Relations, Enovis Corporation, 2711 Centerville Road, Suite 400, Wilmington, Delaware 19808, or access these materials on the Company’s website at www.enovis.com on the Investors page.</w:t>
      </w:r>
    </w:p>
    <w:p>
      <w:pPr>
        <w:spacing w:after="0" w:line="88" w:lineRule="exact"/>
        <w:rPr>
          <w:sz w:val="20"/>
          <w:szCs w:val="20"/>
          <w:color w:val="auto"/>
        </w:rPr>
      </w:pPr>
    </w:p>
    <w:p>
      <w:pPr>
        <w:spacing w:after="0"/>
        <w:rPr>
          <w:sz w:val="20"/>
          <w:szCs w:val="20"/>
          <w:color w:val="auto"/>
        </w:rPr>
      </w:pPr>
      <w:r>
        <w:rPr>
          <w:rFonts w:ascii="Arial" w:cs="Arial" w:eastAsia="Arial" w:hAnsi="Arial"/>
          <w:sz w:val="32"/>
          <w:szCs w:val="32"/>
          <w:b w:val="1"/>
          <w:bCs w:val="1"/>
          <w:color w:val="C8102E"/>
        </w:rPr>
        <w:t>Other Matters</w:t>
      </w:r>
    </w:p>
    <w:p>
      <w:pPr>
        <w:spacing w:after="0" w:line="148" w:lineRule="exact"/>
        <w:rPr>
          <w:sz w:val="20"/>
          <w:szCs w:val="20"/>
          <w:color w:val="auto"/>
        </w:rPr>
      </w:pPr>
    </w:p>
    <w:p>
      <w:pPr>
        <w:jc w:val="both"/>
        <w:ind w:right="20"/>
        <w:spacing w:after="0" w:line="228" w:lineRule="auto"/>
        <w:rPr>
          <w:sz w:val="20"/>
          <w:szCs w:val="20"/>
          <w:color w:val="auto"/>
        </w:rPr>
      </w:pPr>
      <w:r>
        <w:rPr>
          <w:rFonts w:ascii="Arial" w:cs="Arial" w:eastAsia="Arial" w:hAnsi="Arial"/>
          <w:sz w:val="16"/>
          <w:szCs w:val="16"/>
          <w:color w:val="auto"/>
        </w:rPr>
        <w:t>As of the date of this Proxy Statement, the Board does not intend to present any matters other than those described herein at the Annual Meeting and is unaware of any matters to be presented by other parties. If other matters are properly brought before the meeting for action by the stockholders, proxies returned to us will be voted in accordance with the recommendation of the Board or, in the absence of such a recommendation, in accordance with the judgment of the proxy holder.</w:t>
      </w:r>
    </w:p>
    <w:p>
      <w:pPr>
        <w:spacing w:after="0" w:line="30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By Order of the Board of Directors</w:t>
      </w:r>
    </w:p>
    <w:p>
      <w:pPr>
        <w:jc w:val="right"/>
        <w:spacing w:after="0" w:line="211" w:lineRule="auto"/>
        <w:rPr>
          <w:sz w:val="20"/>
          <w:szCs w:val="20"/>
          <w:color w:val="auto"/>
        </w:rPr>
      </w:pPr>
      <w:r>
        <w:rPr>
          <w:rFonts w:ascii="Arial" w:cs="Arial" w:eastAsia="Arial" w:hAnsi="Arial"/>
          <w:sz w:val="16"/>
          <w:szCs w:val="16"/>
          <w:b w:val="1"/>
          <w:bCs w:val="1"/>
          <w:color w:val="auto"/>
        </w:rPr>
        <w:t>Brian P. Hanigan</w:t>
      </w:r>
    </w:p>
    <w:p>
      <w:pPr>
        <w:jc w:val="right"/>
        <w:spacing w:after="0"/>
        <w:rPr>
          <w:sz w:val="20"/>
          <w:szCs w:val="20"/>
          <w:color w:val="auto"/>
        </w:rPr>
      </w:pPr>
      <w:r>
        <w:rPr>
          <w:rFonts w:ascii="Arial" w:cs="Arial" w:eastAsia="Arial" w:hAnsi="Arial"/>
          <w:sz w:val="16"/>
          <w:szCs w:val="16"/>
          <w:color w:val="auto"/>
        </w:rPr>
        <w:t>Secretary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-118745</wp:posOffset>
            </wp:positionV>
            <wp:extent cx="762635" cy="38608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62635" cy="38608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699516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638" w:right="439" w:bottom="1440" w:gutter="0" w:footer="0" w:header="0"/>
        </w:sectPr>
      </w:pPr>
    </w:p>
    <w:bookmarkStart w:id="78" w:name="page79"/>
    <w:bookmarkEnd w:id="78"/>
    <w:p>
      <w:pPr>
        <w:ind w:left="3180" w:right="40" w:hanging="3091"/>
        <w:spacing w:after="0"/>
        <w:tabs>
          <w:tab w:leader="none" w:pos="3160" w:val="left"/>
        </w:tabs>
        <w:rPr>
          <w:sz w:val="20"/>
          <w:szCs w:val="20"/>
          <w:color w:val="auto"/>
        </w:rPr>
      </w:pPr>
      <w:r>
        <w:rPr>
          <w:rFonts w:ascii="Arial" w:cs="Arial" w:eastAsia="Arial" w:hAnsi="Arial"/>
          <w:sz w:val="36"/>
          <w:szCs w:val="36"/>
          <w:b w:val="1"/>
          <w:bCs w:val="1"/>
          <w:color w:val="C8102E"/>
        </w:rPr>
        <w:t>APPENDIX A</w:t>
      </w:r>
      <w:r>
        <w:rPr>
          <w:sz w:val="20"/>
          <w:szCs w:val="20"/>
          <w:color w:val="auto"/>
        </w:rPr>
        <w:tab/>
      </w:r>
      <w:r>
        <w:rPr>
          <w:rFonts w:ascii="Arial" w:cs="Arial" w:eastAsia="Arial" w:hAnsi="Arial"/>
          <w:sz w:val="36"/>
          <w:szCs w:val="36"/>
          <w:color w:val="auto"/>
        </w:rPr>
        <w:t>ENOVIS CORPORATION 2020 OMNIBUS INCENTIVE PLAN</w:t>
      </w: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ENOVIS CORPORATION</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2020 OMNIBUS INCENTIVE PLAN</w:t>
      </w: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ectPr>
          <w:pgSz w:w="11900" w:h="16838" w:orient="portrait"/>
          <w:cols w:equalWidth="0" w:num="1">
            <w:col w:w="10940"/>
          </w:cols>
          <w:pgMar w:left="440" w:top="588" w:right="519" w:bottom="3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SECTION 1.   PURPOSE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SECTION 2.   DEFINITIONS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SECTION 3.  ADMINISTRATION OF THE PLAN</w:t>
      </w:r>
    </w:p>
    <w:p>
      <w:pPr>
        <w:spacing w:after="0" w:line="226" w:lineRule="exact"/>
        <w:rPr>
          <w:sz w:val="20"/>
          <w:szCs w:val="20"/>
          <w:color w:val="auto"/>
        </w:rPr>
      </w:pPr>
    </w:p>
    <w:tbl>
      <w:tblPr>
        <w:tblLayout w:type="fixed"/>
        <w:tblInd w:w="1460" w:type="dxa"/>
        <w:tblCellMar>
          <w:top w:w="0" w:type="dxa"/>
          <w:left w:w="0" w:type="dxa"/>
          <w:bottom w:w="0" w:type="dxa"/>
          <w:right w:w="0" w:type="dxa"/>
        </w:tblCellMar>
      </w:tblPr>
      <w:tr>
        <w:trPr>
          <w:trHeight w:val="207"/>
        </w:trPr>
        <w:tc>
          <w:tcPr>
            <w:tcW w:w="38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3"/>
              </w:rPr>
              <w:t>3.</w:t>
            </w:r>
            <w:r>
              <w:rPr>
                <w:rFonts w:ascii="Arial" w:cs="Arial" w:eastAsia="Arial" w:hAnsi="Arial"/>
                <w:sz w:val="18"/>
                <w:szCs w:val="18"/>
                <w:u w:val="single" w:color="auto"/>
                <w:color w:val="0000EE"/>
                <w:w w:val="83"/>
              </w:rPr>
              <w:t>1 </w:t>
            </w:r>
          </w:p>
        </w:tc>
        <w:tc>
          <w:tcPr>
            <w:tcW w:w="580" w:type="dxa"/>
            <w:vAlign w:val="bottom"/>
            <w:tcBorders>
              <w:bottom w:val="single" w:sz="8" w:color="0000EE"/>
            </w:tcBorders>
          </w:tcPr>
          <w:p>
            <w:pPr>
              <w:ind w:left="60"/>
              <w:spacing w:after="0"/>
              <w:rPr>
                <w:sz w:val="20"/>
                <w:szCs w:val="20"/>
                <w:color w:val="auto"/>
              </w:rPr>
            </w:pPr>
            <w:r>
              <w:rPr>
                <w:rFonts w:ascii="Arial" w:cs="Arial" w:eastAsia="Arial" w:hAnsi="Arial"/>
                <w:sz w:val="18"/>
                <w:szCs w:val="18"/>
                <w:color w:val="0000EE"/>
                <w:w w:val="96"/>
              </w:rPr>
              <w:t> Board</w:t>
            </w:r>
          </w:p>
        </w:tc>
        <w:tc>
          <w:tcPr>
            <w:tcW w:w="1700" w:type="dxa"/>
            <w:vAlign w:val="bottom"/>
            <w:gridSpan w:val="5"/>
          </w:tcPr>
          <w:p>
            <w:pPr>
              <w:spacing w:after="0"/>
              <w:rPr>
                <w:sz w:val="17"/>
                <w:szCs w:val="17"/>
                <w:color w:val="auto"/>
              </w:rPr>
            </w:pPr>
          </w:p>
        </w:tc>
      </w:tr>
      <w:tr>
        <w:trPr>
          <w:trHeight w:val="223"/>
        </w:trPr>
        <w:tc>
          <w:tcPr>
            <w:tcW w:w="380" w:type="dxa"/>
            <w:vAlign w:val="bottom"/>
          </w:tcPr>
          <w:p>
            <w:pPr>
              <w:spacing w:after="0"/>
              <w:rPr>
                <w:sz w:val="20"/>
                <w:szCs w:val="20"/>
                <w:color w:val="auto"/>
              </w:rPr>
            </w:pPr>
            <w:r>
              <w:rPr>
                <w:rFonts w:ascii="Arial" w:cs="Arial" w:eastAsia="Arial" w:hAnsi="Arial"/>
                <w:sz w:val="18"/>
                <w:szCs w:val="18"/>
                <w:color w:val="0000EE"/>
                <w:w w:val="83"/>
              </w:rPr>
              <w:t>3.</w:t>
            </w:r>
            <w:r>
              <w:rPr>
                <w:rFonts w:ascii="Arial" w:cs="Arial" w:eastAsia="Arial" w:hAnsi="Arial"/>
                <w:sz w:val="18"/>
                <w:szCs w:val="18"/>
                <w:u w:val="single" w:color="auto"/>
                <w:color w:val="0000EE"/>
                <w:w w:val="83"/>
              </w:rPr>
              <w:t>2 </w:t>
            </w:r>
          </w:p>
        </w:tc>
        <w:tc>
          <w:tcPr>
            <w:tcW w:w="2280" w:type="dxa"/>
            <w:vAlign w:val="bottom"/>
            <w:gridSpan w:val="6"/>
          </w:tcPr>
          <w:p>
            <w:pPr>
              <w:ind w:left="60"/>
              <w:spacing w:after="0"/>
              <w:rPr>
                <w:sz w:val="20"/>
                <w:szCs w:val="20"/>
                <w:color w:val="auto"/>
              </w:rPr>
            </w:pPr>
            <w:r>
              <w:rPr>
                <w:rFonts w:ascii="Arial" w:cs="Arial" w:eastAsia="Arial" w:hAnsi="Arial"/>
                <w:sz w:val="18"/>
                <w:szCs w:val="18"/>
                <w:color w:val="0000EE"/>
              </w:rPr>
              <w:t> Committee</w:t>
            </w:r>
          </w:p>
        </w:tc>
      </w:tr>
      <w:tr>
        <w:trPr>
          <w:trHeight w:val="20"/>
        </w:trPr>
        <w:tc>
          <w:tcPr>
            <w:tcW w:w="38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23"/>
        </w:trPr>
        <w:tc>
          <w:tcPr>
            <w:tcW w:w="380" w:type="dxa"/>
            <w:vAlign w:val="bottom"/>
          </w:tcPr>
          <w:p>
            <w:pPr>
              <w:spacing w:after="0"/>
              <w:rPr>
                <w:sz w:val="20"/>
                <w:szCs w:val="20"/>
                <w:color w:val="auto"/>
              </w:rPr>
            </w:pPr>
            <w:r>
              <w:rPr>
                <w:rFonts w:ascii="Arial" w:cs="Arial" w:eastAsia="Arial" w:hAnsi="Arial"/>
                <w:sz w:val="18"/>
                <w:szCs w:val="18"/>
                <w:color w:val="0000EE"/>
                <w:w w:val="83"/>
              </w:rPr>
              <w:t>3.</w:t>
            </w:r>
            <w:r>
              <w:rPr>
                <w:rFonts w:ascii="Arial" w:cs="Arial" w:eastAsia="Arial" w:hAnsi="Arial"/>
                <w:sz w:val="18"/>
                <w:szCs w:val="18"/>
                <w:u w:val="single" w:color="auto"/>
                <w:color w:val="0000EE"/>
                <w:w w:val="83"/>
              </w:rPr>
              <w:t>3 </w:t>
            </w:r>
          </w:p>
        </w:tc>
        <w:tc>
          <w:tcPr>
            <w:tcW w:w="2280" w:type="dxa"/>
            <w:vAlign w:val="bottom"/>
            <w:gridSpan w:val="6"/>
          </w:tcPr>
          <w:p>
            <w:pPr>
              <w:ind w:left="60"/>
              <w:spacing w:after="0"/>
              <w:rPr>
                <w:sz w:val="20"/>
                <w:szCs w:val="20"/>
                <w:color w:val="auto"/>
              </w:rPr>
            </w:pPr>
            <w:r>
              <w:rPr>
                <w:rFonts w:ascii="Arial" w:cs="Arial" w:eastAsia="Arial" w:hAnsi="Arial"/>
                <w:sz w:val="18"/>
                <w:szCs w:val="18"/>
                <w:color w:val="0000EE"/>
              </w:rPr>
              <w:t> Committee Authority</w:t>
            </w:r>
          </w:p>
        </w:tc>
      </w:tr>
      <w:tr>
        <w:trPr>
          <w:trHeight w:val="20"/>
        </w:trPr>
        <w:tc>
          <w:tcPr>
            <w:tcW w:w="38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23"/>
        </w:trPr>
        <w:tc>
          <w:tcPr>
            <w:tcW w:w="380" w:type="dxa"/>
            <w:vAlign w:val="bottom"/>
          </w:tcPr>
          <w:p>
            <w:pPr>
              <w:spacing w:after="0"/>
              <w:rPr>
                <w:sz w:val="20"/>
                <w:szCs w:val="20"/>
                <w:color w:val="auto"/>
              </w:rPr>
            </w:pPr>
            <w:r>
              <w:rPr>
                <w:rFonts w:ascii="Arial" w:cs="Arial" w:eastAsia="Arial" w:hAnsi="Arial"/>
                <w:sz w:val="18"/>
                <w:szCs w:val="18"/>
                <w:color w:val="0000EE"/>
                <w:w w:val="83"/>
              </w:rPr>
              <w:t>3.</w:t>
            </w:r>
            <w:r>
              <w:rPr>
                <w:rFonts w:ascii="Arial" w:cs="Arial" w:eastAsia="Arial" w:hAnsi="Arial"/>
                <w:sz w:val="18"/>
                <w:szCs w:val="18"/>
                <w:u w:val="single" w:color="auto"/>
                <w:color w:val="0000EE"/>
                <w:w w:val="83"/>
              </w:rPr>
              <w:t>4 </w:t>
            </w:r>
          </w:p>
        </w:tc>
        <w:tc>
          <w:tcPr>
            <w:tcW w:w="2280" w:type="dxa"/>
            <w:vAlign w:val="bottom"/>
            <w:gridSpan w:val="6"/>
          </w:tcPr>
          <w:p>
            <w:pPr>
              <w:ind w:left="60"/>
              <w:spacing w:after="0"/>
              <w:rPr>
                <w:sz w:val="20"/>
                <w:szCs w:val="20"/>
                <w:color w:val="auto"/>
              </w:rPr>
            </w:pPr>
            <w:r>
              <w:rPr>
                <w:rFonts w:ascii="Arial" w:cs="Arial" w:eastAsia="Arial" w:hAnsi="Arial"/>
                <w:sz w:val="18"/>
                <w:szCs w:val="18"/>
                <w:color w:val="0000EE"/>
              </w:rPr>
              <w:t> Deferral Arrangement</w:t>
            </w:r>
          </w:p>
        </w:tc>
      </w:tr>
      <w:tr>
        <w:trPr>
          <w:trHeight w:val="223"/>
        </w:trPr>
        <w:tc>
          <w:tcPr>
            <w:tcW w:w="38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83"/>
              </w:rPr>
              <w:t>3.</w:t>
            </w:r>
            <w:r>
              <w:rPr>
                <w:rFonts w:ascii="Arial" w:cs="Arial" w:eastAsia="Arial" w:hAnsi="Arial"/>
                <w:sz w:val="18"/>
                <w:szCs w:val="18"/>
                <w:u w:val="single" w:color="auto"/>
                <w:color w:val="0000EE"/>
                <w:w w:val="83"/>
              </w:rPr>
              <w:t>5 </w:t>
            </w:r>
          </w:p>
        </w:tc>
        <w:tc>
          <w:tcPr>
            <w:tcW w:w="980" w:type="dxa"/>
            <w:vAlign w:val="bottom"/>
            <w:tcBorders>
              <w:top w:val="single" w:sz="8" w:color="0000EE"/>
              <w:bottom w:val="single" w:sz="8" w:color="0000EE"/>
            </w:tcBorders>
            <w:gridSpan w:val="3"/>
          </w:tcPr>
          <w:p>
            <w:pPr>
              <w:ind w:left="60"/>
              <w:spacing w:after="0"/>
              <w:rPr>
                <w:sz w:val="20"/>
                <w:szCs w:val="20"/>
                <w:color w:val="auto"/>
              </w:rPr>
            </w:pPr>
            <w:r>
              <w:rPr>
                <w:rFonts w:ascii="Arial" w:cs="Arial" w:eastAsia="Arial" w:hAnsi="Arial"/>
                <w:sz w:val="18"/>
                <w:szCs w:val="18"/>
                <w:color w:val="0000EE"/>
                <w:w w:val="98"/>
              </w:rPr>
              <w:t> No Liability</w:t>
            </w:r>
          </w:p>
        </w:tc>
        <w:tc>
          <w:tcPr>
            <w:tcW w:w="840" w:type="dxa"/>
            <w:vAlign w:val="bottom"/>
            <w:tcBorders>
              <w:top w:val="single" w:sz="8" w:color="0000EE"/>
            </w:tcBorders>
            <w:gridSpan w:val="2"/>
          </w:tcPr>
          <w:p>
            <w:pPr>
              <w:spacing w:after="0"/>
              <w:rPr>
                <w:sz w:val="19"/>
                <w:szCs w:val="19"/>
                <w:color w:val="auto"/>
              </w:rPr>
            </w:pPr>
          </w:p>
        </w:tc>
        <w:tc>
          <w:tcPr>
            <w:tcW w:w="460" w:type="dxa"/>
            <w:vAlign w:val="bottom"/>
          </w:tcPr>
          <w:p>
            <w:pPr>
              <w:spacing w:after="0"/>
              <w:rPr>
                <w:sz w:val="19"/>
                <w:szCs w:val="19"/>
                <w:color w:val="auto"/>
              </w:rPr>
            </w:pPr>
          </w:p>
        </w:tc>
      </w:tr>
      <w:tr>
        <w:trPr>
          <w:trHeight w:val="223"/>
        </w:trPr>
        <w:tc>
          <w:tcPr>
            <w:tcW w:w="38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3"/>
              </w:rPr>
              <w:t>3.</w:t>
            </w:r>
            <w:r>
              <w:rPr>
                <w:rFonts w:ascii="Arial" w:cs="Arial" w:eastAsia="Arial" w:hAnsi="Arial"/>
                <w:sz w:val="18"/>
                <w:szCs w:val="18"/>
                <w:u w:val="single" w:color="auto"/>
                <w:color w:val="0000EE"/>
                <w:w w:val="83"/>
              </w:rPr>
              <w:t>6 </w:t>
            </w:r>
          </w:p>
        </w:tc>
        <w:tc>
          <w:tcPr>
            <w:tcW w:w="2280" w:type="dxa"/>
            <w:vAlign w:val="bottom"/>
            <w:tcBorders>
              <w:bottom w:val="single" w:sz="8" w:color="0000EE"/>
            </w:tcBorders>
            <w:gridSpan w:val="6"/>
          </w:tcPr>
          <w:p>
            <w:pPr>
              <w:ind w:left="60"/>
              <w:spacing w:after="0"/>
              <w:rPr>
                <w:sz w:val="20"/>
                <w:szCs w:val="20"/>
                <w:color w:val="auto"/>
              </w:rPr>
            </w:pPr>
            <w:r>
              <w:rPr>
                <w:rFonts w:ascii="Arial" w:cs="Arial" w:eastAsia="Arial" w:hAnsi="Arial"/>
                <w:sz w:val="18"/>
                <w:szCs w:val="18"/>
                <w:color w:val="0000EE"/>
                <w:w w:val="98"/>
              </w:rPr>
              <w:t> Share Issuance/Book-Entry</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SECTION 4.   STOCK SUBJECT TO THE PLAN</w:t>
      </w:r>
    </w:p>
    <w:p>
      <w:pPr>
        <w:spacing w:after="0" w:line="239"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4.1    Number of Shares</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4.2    Incentive Stock Options</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4.3    Prior Plan</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4.4    Share Counting</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4.5    Source of Shares of Stock</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4.6    Fractional Shares of Stock</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EE"/>
        </w:rPr>
        <w:t>SECTION 5.   EFFECTIVE DATE, DURATION AND AMENDMENTS</w:t>
      </w:r>
    </w:p>
    <w:p>
      <w:pPr>
        <w:spacing w:after="0" w:line="250"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5.1    Effective Date</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5.2    Term</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5.3    Amendment and Termination of the Plan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SECTION 6.  AWARD ELIGIBILITY AND LIMITATIONS</w:t>
      </w:r>
    </w:p>
    <w:p>
      <w:pPr>
        <w:spacing w:after="0" w:line="239"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6.1    Service Providers</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6.2    Successive Awards and Substitute Awards</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6.3    Limitation on Awards to Outside Directors</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6.4    Maximum Awards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SECTION 7.  AWARD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SECTION 8.   TERMS AND CONDITIONS OF OPTIONS</w:t>
      </w:r>
    </w:p>
    <w:p>
      <w:pPr>
        <w:spacing w:after="0" w:line="239"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8.1    Option Price</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8.2    Vesting</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8.3    Term</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8.4    Termination of Service</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8.5    Limitations on Exercise of Option</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8.6    Method of Exercise</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8.7    Rights of Holders of Options</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8.8    Delivery of Stock</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8.9    Transferability of Options</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8.10   Family Transfers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557530</wp:posOffset>
            </wp:positionV>
            <wp:extent cx="699516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ind w:left="1860"/>
        <w:spacing w:after="0"/>
        <w:rPr>
          <w:sz w:val="20"/>
          <w:szCs w:val="20"/>
          <w:color w:val="auto"/>
        </w:rPr>
      </w:pPr>
      <w:r>
        <w:rPr>
          <w:rFonts w:ascii="Arial" w:cs="Arial" w:eastAsia="Arial" w:hAnsi="Arial"/>
          <w:sz w:val="14"/>
          <w:szCs w:val="14"/>
          <w:b w:val="1"/>
          <w:bCs w:val="1"/>
          <w:color w:val="auto"/>
        </w:rPr>
        <w:t>Page</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A-4</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A-4</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A-9</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A-9</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A-9</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A-9</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A-10</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A-10</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A-10</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A-11</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A-11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A-11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A-11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A-11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A-12</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A-12</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A-12</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A-12</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A-12</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A-12</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A-12</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A-12</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A-12</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A-12</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A-13</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A-13</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A-13</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A-13</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A-13</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A-13</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A-13</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A-13</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A-13</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A-14</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A-14</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A-14</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A-14</w:t>
      </w:r>
    </w:p>
    <w:p>
      <w:pPr>
        <w:spacing w:after="0" w:line="212"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1266190</wp:posOffset>
            </wp:positionH>
            <wp:positionV relativeFrom="paragraph">
              <wp:posOffset>-118745</wp:posOffset>
            </wp:positionV>
            <wp:extent cx="17145" cy="3854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7145" cy="385445"/>
                    </a:xfrm>
                    <a:prstGeom prst="rect">
                      <a:avLst/>
                    </a:prstGeom>
                    <a:noFill/>
                  </pic:spPr>
                </pic:pic>
              </a:graphicData>
            </a:graphic>
          </wp:anchor>
        </w:drawing>
        <w:drawing>
          <wp:anchor simplePos="0" relativeHeight="251657728" behindDoc="1" locked="0" layoutInCell="0" allowOverlap="1">
            <wp:simplePos x="0" y="0"/>
            <wp:positionH relativeFrom="column">
              <wp:posOffset>-713105</wp:posOffset>
            </wp:positionH>
            <wp:positionV relativeFrom="paragraph">
              <wp:posOffset>-50165</wp:posOffset>
            </wp:positionV>
            <wp:extent cx="685800" cy="16319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xml:space="preserve">- 2024 Proxy Statement  </w:t>
      </w:r>
      <w:r>
        <w:rPr>
          <w:rFonts w:ascii="Arial" w:cs="Arial" w:eastAsia="Arial" w:hAnsi="Arial"/>
          <w:sz w:val="18"/>
          <w:szCs w:val="18"/>
          <w:b w:val="1"/>
          <w:bCs w:val="1"/>
          <w:color w:val="auto"/>
        </w:rPr>
        <w:t>1</w:t>
      </w:r>
    </w:p>
    <w:p>
      <w:pPr>
        <w:sectPr>
          <w:pgSz w:w="11900" w:h="16838" w:orient="portrait"/>
          <w:cols w:equalWidth="0" w:num="2">
            <w:col w:w="7960" w:space="720"/>
            <w:col w:w="2260"/>
          </w:cols>
          <w:pgMar w:left="440" w:top="588" w:right="519" w:bottom="38" w:gutter="0" w:footer="0" w:header="0"/>
          <w:type w:val="continuous"/>
        </w:sectPr>
      </w:pPr>
    </w:p>
    <w:bookmarkStart w:id="79" w:name="page80"/>
    <w:bookmarkEnd w:id="79"/>
    <w:p>
      <w:pPr>
        <w:ind w:left="4500"/>
        <w:spacing w:after="0"/>
        <w:rPr>
          <w:sz w:val="20"/>
          <w:szCs w:val="20"/>
          <w:color w:val="auto"/>
        </w:rPr>
      </w:pPr>
      <w:r>
        <w:rPr>
          <w:rFonts w:ascii="Arial" w:cs="Arial" w:eastAsia="Arial" w:hAnsi="Arial"/>
          <w:sz w:val="18"/>
          <w:szCs w:val="18"/>
          <w:b w:val="1"/>
          <w:bCs w:val="1"/>
          <w:color w:val="auto"/>
        </w:rPr>
        <w:t>TABLE OF CONTENTS</w:t>
      </w:r>
    </w:p>
    <w:p>
      <w:pPr>
        <w:spacing w:after="0" w:line="14"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8.11   Limitations on Incentive Stock Options</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8.12   Notice of Disqualifying Disposition</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8.13   No Reloads</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8.14   No Repricing</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SECTION 9.   TERMS AND CONDITIONS OF STOCK APPRECIATION RIGHTS</w:t>
      </w:r>
    </w:p>
    <w:p>
      <w:pPr>
        <w:spacing w:after="0" w:line="239"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9.1    Right to Payment and Grant Price</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9.2    Other Terms</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9.3    Term</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9.4    Transferability of SARS</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9.5    Family Transfers</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9.6    No Repricing</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SECTION 10.  TERMS AND CONDITIONS OF RESTRICTED STOCK AND STOCK UNITS</w:t>
      </w:r>
    </w:p>
    <w:p>
      <w:pPr>
        <w:spacing w:after="0" w:line="239"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10.1   Grant of Restricted Stock or Stock Units</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10.2   Restrictions; Minimum Vesting</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10.3   Restricted Stock Certificates</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10.4   Rights of Holders of Restricted Stock</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10.5   Rights of Holders of Stock Units</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10.6   Purchase of Restricted Stock</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10.7   Delivery of Stock</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SECTION 11.  TERMS AND CONDITIONS OF UNRESTRICTED STOCK AWARDS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SECTION 12.  FORM OF PAYMENT FOR OPTIONS AND RESTRICTED STOCK</w:t>
      </w:r>
    </w:p>
    <w:p>
      <w:pPr>
        <w:spacing w:after="0" w:line="239"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12.1   General Rule</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12.2   Surrender of Stock</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12.3   Cashless Exercise; Net Exercise</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12.4   Other Forms of Payment</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SECTION 13.  TERMS AND CONDITIONS OF DIVIDEND EQUIVALENT RIGHTS</w:t>
      </w:r>
    </w:p>
    <w:p>
      <w:pPr>
        <w:spacing w:after="0" w:line="239"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13.1   Dividend Equivalent Rights</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EE"/>
        </w:rPr>
        <w:t>SECTION 14.  TERMS AND CONDITIONS OF PERFORMANCE SHARES AND PERFORMANCE UNITS AWARDS</w:t>
      </w:r>
    </w:p>
    <w:p>
      <w:pPr>
        <w:spacing w:after="0" w:line="250"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14.1   Grant of Performance Units/Performance Shares</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14.2   Award Agreement</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14.3   Performance Objectives</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14.4   Timing For Establishing Performance Goals</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14.5   Settlement of Performance Awards; Other Terms</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14.6   Performance Measures</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14.7   Dividends and Dividend Equivalents</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14.8   Minimum Vesting Requirements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SECTION 15.  PARACHUTE LIMITATIONS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SECTION 16.  REQUIREMENTS OF LAW</w:t>
      </w:r>
    </w:p>
    <w:p>
      <w:pPr>
        <w:spacing w:after="0" w:line="239"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16.1   General</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16.2   Rule 16b-3</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SECTION 17.  ADJUSTMENTS FOR CHANGES IN CAPITALIZATION</w:t>
      </w:r>
    </w:p>
    <w:p>
      <w:pPr>
        <w:spacing w:after="0" w:line="239"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17.1   Mandatory Adjustments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-118745</wp:posOffset>
            </wp:positionV>
            <wp:extent cx="762635" cy="3486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62635" cy="348615"/>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- 2024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7"/>
          <w:szCs w:val="17"/>
          <w:color w:val="auto"/>
        </w:rPr>
        <w:t>A-14</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color w:val="auto"/>
        </w:rPr>
        <w:t>A-14</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color w:val="auto"/>
        </w:rPr>
        <w:t>A-14</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color w:val="auto"/>
        </w:rPr>
        <w:t>A-14</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7"/>
          <w:szCs w:val="17"/>
          <w:color w:val="auto"/>
        </w:rPr>
        <w:t>A-14</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7"/>
          <w:szCs w:val="17"/>
          <w:color w:val="auto"/>
        </w:rPr>
        <w:t>A-14</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color w:val="auto"/>
        </w:rPr>
        <w:t>A-15</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color w:val="auto"/>
        </w:rPr>
        <w:t>A-15</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color w:val="auto"/>
        </w:rPr>
        <w:t>A-15</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color w:val="auto"/>
        </w:rPr>
        <w:t>A-15</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color w:val="auto"/>
        </w:rPr>
        <w:t>A-15</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7"/>
          <w:szCs w:val="17"/>
          <w:color w:val="auto"/>
        </w:rPr>
        <w:t>A-15</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7"/>
          <w:szCs w:val="17"/>
          <w:color w:val="auto"/>
        </w:rPr>
        <w:t>A-15</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color w:val="auto"/>
        </w:rPr>
        <w:t>A-15</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color w:val="auto"/>
        </w:rPr>
        <w:t>A-16</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color w:val="auto"/>
        </w:rPr>
        <w:t>A-16</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color w:val="auto"/>
        </w:rPr>
        <w:t>A-16</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color w:val="auto"/>
        </w:rPr>
        <w:t>A-16</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color w:val="auto"/>
        </w:rPr>
        <w:t>A-16</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7"/>
          <w:szCs w:val="17"/>
          <w:color w:val="auto"/>
        </w:rPr>
        <w:t>A-16</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7"/>
          <w:szCs w:val="17"/>
          <w:color w:val="auto"/>
        </w:rPr>
        <w:t>A-16</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7"/>
          <w:szCs w:val="17"/>
          <w:color w:val="auto"/>
        </w:rPr>
        <w:t>A-16</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color w:val="auto"/>
        </w:rPr>
        <w:t>A-17</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color w:val="auto"/>
        </w:rPr>
        <w:t>A-17</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color w:val="auto"/>
        </w:rPr>
        <w:t>A-17</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7"/>
          <w:szCs w:val="17"/>
          <w:color w:val="auto"/>
        </w:rPr>
        <w:t>A-17</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7"/>
          <w:szCs w:val="17"/>
          <w:color w:val="auto"/>
        </w:rPr>
        <w:t>A-17</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7"/>
          <w:szCs w:val="17"/>
          <w:color w:val="auto"/>
        </w:rPr>
        <w:t>A-17</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7"/>
          <w:szCs w:val="17"/>
          <w:color w:val="auto"/>
        </w:rPr>
        <w:t>A-17</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color w:val="auto"/>
        </w:rPr>
        <w:t>A-17</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color w:val="auto"/>
        </w:rPr>
        <w:t>A-17</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color w:val="auto"/>
        </w:rPr>
        <w:t>A-18</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color w:val="auto"/>
        </w:rPr>
        <w:t>A-18</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color w:val="auto"/>
        </w:rPr>
        <w:t>A-18</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color w:val="auto"/>
        </w:rPr>
        <w:t>A-18</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color w:val="auto"/>
        </w:rPr>
        <w:t>A-18</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7"/>
          <w:szCs w:val="17"/>
          <w:color w:val="auto"/>
        </w:rPr>
        <w:t>A-18</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7"/>
          <w:szCs w:val="17"/>
          <w:color w:val="auto"/>
        </w:rPr>
        <w:t>A-19</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7"/>
          <w:szCs w:val="17"/>
          <w:color w:val="auto"/>
        </w:rPr>
        <w:t>A-19</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color w:val="auto"/>
        </w:rPr>
        <w:t>A-19</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7"/>
          <w:szCs w:val="17"/>
          <w:color w:val="auto"/>
        </w:rPr>
        <w:t>A-19</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7"/>
          <w:szCs w:val="17"/>
          <w:color w:val="auto"/>
        </w:rPr>
        <w:t>A-19</w:t>
      </w:r>
    </w:p>
    <w:p>
      <w:pPr>
        <w:sectPr>
          <w:pgSz w:w="11900" w:h="16838" w:orient="portrait"/>
          <w:cols w:equalWidth="0" w:num="2">
            <w:col w:w="9820" w:space="720"/>
            <w:col w:w="400"/>
          </w:cols>
          <w:pgMar w:left="440" w:top="688" w:right="519" w:bottom="0"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6995160" cy="1371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jc w:val="center"/>
        <w:ind w:left="3040"/>
        <w:spacing w:after="0"/>
        <w:rPr>
          <w:sz w:val="20"/>
          <w:szCs w:val="20"/>
          <w:color w:val="auto"/>
        </w:rPr>
      </w:pPr>
      <w:r>
        <w:rPr>
          <w:rFonts w:ascii="Arial" w:cs="Arial" w:eastAsia="Arial" w:hAnsi="Arial"/>
          <w:sz w:val="17"/>
          <w:szCs w:val="17"/>
          <w:b w:val="1"/>
          <w:bCs w:val="1"/>
          <w:color w:val="auto"/>
        </w:rPr>
        <w:t>TABLE OF CONTENTS</w:t>
      </w:r>
    </w:p>
    <w:p>
      <w:pPr>
        <w:spacing w:after="0" w:line="25" w:lineRule="exact"/>
        <w:rPr>
          <w:sz w:val="20"/>
          <w:szCs w:val="20"/>
          <w:color w:val="auto"/>
        </w:rPr>
      </w:pPr>
    </w:p>
    <w:p>
      <w:pPr>
        <w:jc w:val="center"/>
        <w:ind w:left="3040"/>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17.2   Discretionary Adjustments</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17.3   No Fractional Shares, etc.</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17.4   No Limitations on Company</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SECTION 18.  GENERAL PROVISIONS</w:t>
      </w:r>
    </w:p>
    <w:p>
      <w:pPr>
        <w:spacing w:after="0" w:line="239"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18.1   Disclaimer of Rights</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18.2   Nonexclusivity of the Plan</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18.3   Withholding Taxes</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18.4   Captions</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18.5   Other Provisions</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18.6   Number and Gender</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18.7   Severability</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18.8   Governing Law</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18.9   Section 409A of the Code</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0000EE"/>
        </w:rPr>
        <w:t>18.10 Clawback/Recoupment</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532130</wp:posOffset>
            </wp:positionV>
            <wp:extent cx="699516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860"/>
        <w:spacing w:after="0"/>
        <w:rPr>
          <w:sz w:val="20"/>
          <w:szCs w:val="20"/>
          <w:color w:val="auto"/>
        </w:rPr>
      </w:pPr>
      <w:r>
        <w:rPr>
          <w:rFonts w:ascii="Arial" w:cs="Arial" w:eastAsia="Arial" w:hAnsi="Arial"/>
          <w:sz w:val="14"/>
          <w:szCs w:val="14"/>
          <w:b w:val="1"/>
          <w:bCs w:val="1"/>
          <w:color w:val="auto"/>
        </w:rPr>
        <w:t>Page</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A-20</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A-20</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A-20</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A-20</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A-20</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A-21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A-21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A-21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A-21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A-21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A-21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A-21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A-21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A-22</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A-23</w:t>
      </w:r>
    </w:p>
    <w:p>
      <w:pPr>
        <w:spacing w:after="0" w:line="212"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1266190</wp:posOffset>
            </wp:positionH>
            <wp:positionV relativeFrom="paragraph">
              <wp:posOffset>-118745</wp:posOffset>
            </wp:positionV>
            <wp:extent cx="17145" cy="3854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7145" cy="385445"/>
                    </a:xfrm>
                    <a:prstGeom prst="rect">
                      <a:avLst/>
                    </a:prstGeom>
                    <a:noFill/>
                  </pic:spPr>
                </pic:pic>
              </a:graphicData>
            </a:graphic>
          </wp:anchor>
        </w:drawing>
        <w:drawing>
          <wp:anchor simplePos="0" relativeHeight="251657728" behindDoc="1" locked="0" layoutInCell="0" allowOverlap="1">
            <wp:simplePos x="0" y="0"/>
            <wp:positionH relativeFrom="column">
              <wp:posOffset>-713105</wp:posOffset>
            </wp:positionH>
            <wp:positionV relativeFrom="paragraph">
              <wp:posOffset>-50165</wp:posOffset>
            </wp:positionV>
            <wp:extent cx="685800" cy="16319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xml:space="preserve">- 2024 Proxy Statement  </w:t>
      </w:r>
      <w:r>
        <w:rPr>
          <w:rFonts w:ascii="Arial" w:cs="Arial" w:eastAsia="Arial" w:hAnsi="Arial"/>
          <w:sz w:val="18"/>
          <w:szCs w:val="18"/>
          <w:b w:val="1"/>
          <w:bCs w:val="1"/>
          <w:color w:val="auto"/>
        </w:rPr>
        <w:t>3</w:t>
      </w:r>
    </w:p>
    <w:p>
      <w:pPr>
        <w:sectPr>
          <w:pgSz w:w="11900" w:h="16838" w:orient="portrait"/>
          <w:cols w:equalWidth="0" w:num="2">
            <w:col w:w="7960" w:space="720"/>
            <w:col w:w="2260"/>
          </w:cols>
          <w:pgMar w:left="440" w:top="661" w:right="519" w:bottom="1440" w:gutter="0" w:footer="0" w:header="0"/>
        </w:sectPr>
      </w:pPr>
    </w:p>
    <w:bookmarkStart w:id="82" w:name="page83"/>
    <w:bookmarkEnd w:id="82"/>
    <w:p>
      <w:pPr>
        <w:ind w:left="4684"/>
        <w:spacing w:after="0"/>
        <w:rPr>
          <w:sz w:val="20"/>
          <w:szCs w:val="20"/>
          <w:color w:val="auto"/>
        </w:rPr>
      </w:pPr>
      <w:r>
        <w:rPr>
          <w:rFonts w:ascii="Arial" w:cs="Arial" w:eastAsia="Arial" w:hAnsi="Arial"/>
          <w:sz w:val="18"/>
          <w:szCs w:val="18"/>
          <w:b w:val="1"/>
          <w:bCs w:val="1"/>
          <w:color w:val="auto"/>
        </w:rPr>
        <w:t>Colfax Corporation</w:t>
      </w:r>
    </w:p>
    <w:p>
      <w:pPr>
        <w:spacing w:after="0" w:line="21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2020 Omnibus Incentive Plan</w:t>
      </w:r>
    </w:p>
    <w:p>
      <w:pPr>
        <w:spacing w:after="0" w:line="212" w:lineRule="exact"/>
        <w:rPr>
          <w:sz w:val="20"/>
          <w:szCs w:val="20"/>
          <w:color w:val="auto"/>
        </w:rPr>
      </w:pPr>
    </w:p>
    <w:p>
      <w:pPr>
        <w:ind w:left="4"/>
        <w:spacing w:after="0"/>
        <w:rPr>
          <w:sz w:val="20"/>
          <w:szCs w:val="20"/>
          <w:color w:val="auto"/>
        </w:rPr>
      </w:pPr>
      <w:r>
        <w:rPr>
          <w:rFonts w:ascii="Arial" w:cs="Arial" w:eastAsia="Arial" w:hAnsi="Arial"/>
          <w:sz w:val="18"/>
          <w:szCs w:val="18"/>
          <w:color w:val="auto"/>
        </w:rPr>
        <w:t>Colfax Corporation, a Delaware corporation, sets forth herein the terms of its 2020 Omnibus Incentive Plan, as follows:</w:t>
      </w:r>
    </w:p>
    <w:p>
      <w:pPr>
        <w:spacing w:after="0" w:line="21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1.   PURPOSE</w:t>
      </w:r>
    </w:p>
    <w:p>
      <w:pPr>
        <w:spacing w:after="0" w:line="212" w:lineRule="exact"/>
        <w:rPr>
          <w:sz w:val="20"/>
          <w:szCs w:val="20"/>
          <w:color w:val="auto"/>
        </w:rPr>
      </w:pPr>
    </w:p>
    <w:p>
      <w:pPr>
        <w:jc w:val="both"/>
        <w:ind w:left="4" w:firstLine="441"/>
        <w:spacing w:after="0" w:line="247" w:lineRule="auto"/>
        <w:rPr>
          <w:sz w:val="20"/>
          <w:szCs w:val="20"/>
          <w:color w:val="auto"/>
        </w:rPr>
      </w:pPr>
      <w:r>
        <w:rPr>
          <w:rFonts w:ascii="Arial" w:cs="Arial" w:eastAsia="Arial" w:hAnsi="Arial"/>
          <w:sz w:val="18"/>
          <w:szCs w:val="18"/>
          <w:color w:val="auto"/>
        </w:rPr>
        <w:t>The Plan is intended to enhance the Company’s and its Affiliates’ (as defined herein) ability to attract and retain highly qualified officers, directors, and key employees, and to motivate such persons to serve the Company and its Affiliates and to expend maximum effort to improve the business results and earnings of the Company, by providing to such persons an opportunity to acquire or increase a direct proprietary interest in the operations and future success of the Company.</w:t>
      </w:r>
    </w:p>
    <w:p>
      <w:pPr>
        <w:spacing w:after="0" w:line="1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2.   DEFINITIONS</w:t>
      </w:r>
    </w:p>
    <w:p>
      <w:pPr>
        <w:spacing w:after="0" w:line="212" w:lineRule="exact"/>
        <w:rPr>
          <w:sz w:val="20"/>
          <w:szCs w:val="20"/>
          <w:color w:val="auto"/>
        </w:rPr>
      </w:pPr>
    </w:p>
    <w:p>
      <w:pPr>
        <w:jc w:val="both"/>
        <w:ind w:left="4" w:right="20" w:firstLine="441"/>
        <w:spacing w:after="0" w:line="271" w:lineRule="auto"/>
        <w:rPr>
          <w:sz w:val="20"/>
          <w:szCs w:val="20"/>
          <w:color w:val="auto"/>
        </w:rPr>
      </w:pPr>
      <w:r>
        <w:rPr>
          <w:rFonts w:ascii="Arial" w:cs="Arial" w:eastAsia="Arial" w:hAnsi="Arial"/>
          <w:sz w:val="18"/>
          <w:szCs w:val="18"/>
          <w:color w:val="auto"/>
        </w:rPr>
        <w:t>For purposes of interpreting the Plan and related documents (including Award Agreements), the following capitalized terms shall have the respective meanings set forth below:</w:t>
      </w:r>
    </w:p>
    <w:p>
      <w:pPr>
        <w:spacing w:after="0" w:line="154" w:lineRule="exact"/>
        <w:rPr>
          <w:sz w:val="20"/>
          <w:szCs w:val="20"/>
          <w:color w:val="auto"/>
        </w:rPr>
      </w:pPr>
    </w:p>
    <w:p>
      <w:pPr>
        <w:jc w:val="both"/>
        <w:ind w:left="4" w:firstLine="441"/>
        <w:spacing w:after="0" w:line="247" w:lineRule="auto"/>
        <w:rPr>
          <w:sz w:val="20"/>
          <w:szCs w:val="20"/>
          <w:color w:val="auto"/>
        </w:rPr>
      </w:pPr>
      <w:r>
        <w:rPr>
          <w:rFonts w:ascii="Arial" w:cs="Arial" w:eastAsia="Arial" w:hAnsi="Arial"/>
          <w:sz w:val="18"/>
          <w:szCs w:val="18"/>
          <w:color w:val="auto"/>
        </w:rPr>
        <w:t>2.1  “</w:t>
      </w:r>
      <w:r>
        <w:rPr>
          <w:rFonts w:ascii="Arial" w:cs="Arial" w:eastAsia="Arial" w:hAnsi="Arial"/>
          <w:sz w:val="18"/>
          <w:szCs w:val="18"/>
          <w:b w:val="1"/>
          <w:bCs w:val="1"/>
          <w:u w:val="single" w:color="auto"/>
          <w:color w:val="auto"/>
        </w:rPr>
        <w:t>Affiliate</w:t>
      </w:r>
      <w:r>
        <w:rPr>
          <w:rFonts w:ascii="Arial" w:cs="Arial" w:eastAsia="Arial" w:hAnsi="Arial"/>
          <w:sz w:val="18"/>
          <w:szCs w:val="18"/>
          <w:color w:val="auto"/>
        </w:rPr>
        <w:t>” means, with respect to the Company, any company or other trade or business that controls, is controlled by or is under common control with the Company within the meaning of Rule 405 of Regulation C under the Securities Act, including, without limitation, any Subsidiary. For purposes of granting stock options or stock appreciation rights, an entity may not be considered an Affiliate if it results in noncompliance with Code Section 409A.</w:t>
      </w:r>
    </w:p>
    <w:p>
      <w:pPr>
        <w:spacing w:after="0" w:line="174" w:lineRule="exact"/>
        <w:rPr>
          <w:sz w:val="20"/>
          <w:szCs w:val="20"/>
          <w:color w:val="auto"/>
        </w:rPr>
      </w:pPr>
    </w:p>
    <w:p>
      <w:pPr>
        <w:jc w:val="both"/>
        <w:ind w:left="4" w:right="20" w:firstLine="441"/>
        <w:spacing w:after="0" w:line="271" w:lineRule="auto"/>
        <w:rPr>
          <w:sz w:val="20"/>
          <w:szCs w:val="20"/>
          <w:color w:val="auto"/>
        </w:rPr>
      </w:pPr>
      <w:r>
        <w:rPr>
          <w:rFonts w:ascii="Arial" w:cs="Arial" w:eastAsia="Arial" w:hAnsi="Arial"/>
          <w:sz w:val="18"/>
          <w:szCs w:val="18"/>
          <w:color w:val="auto"/>
        </w:rPr>
        <w:t>2.2  “</w:t>
      </w:r>
      <w:r>
        <w:rPr>
          <w:rFonts w:ascii="Arial" w:cs="Arial" w:eastAsia="Arial" w:hAnsi="Arial"/>
          <w:sz w:val="18"/>
          <w:szCs w:val="18"/>
          <w:b w:val="1"/>
          <w:bCs w:val="1"/>
          <w:u w:val="single" w:color="auto"/>
          <w:color w:val="auto"/>
        </w:rPr>
        <w:t>Award</w:t>
      </w:r>
      <w:r>
        <w:rPr>
          <w:rFonts w:ascii="Arial" w:cs="Arial" w:eastAsia="Arial" w:hAnsi="Arial"/>
          <w:sz w:val="18"/>
          <w:szCs w:val="18"/>
          <w:color w:val="auto"/>
        </w:rPr>
        <w:t>” means a grant of an Option, Stock Appreciation Right, Restricted Stock, Unrestricted Stock, Stock Unit, Dividend Equivalent Right, Performance Share, Performance Unit or Substitute Award under the Plan.</w:t>
      </w:r>
    </w:p>
    <w:p>
      <w:pPr>
        <w:spacing w:after="0" w:line="154" w:lineRule="exact"/>
        <w:rPr>
          <w:sz w:val="20"/>
          <w:szCs w:val="20"/>
          <w:color w:val="auto"/>
        </w:rPr>
      </w:pPr>
    </w:p>
    <w:p>
      <w:pPr>
        <w:jc w:val="both"/>
        <w:ind w:left="4" w:right="20" w:firstLine="441"/>
        <w:spacing w:after="0" w:line="271" w:lineRule="auto"/>
        <w:rPr>
          <w:sz w:val="20"/>
          <w:szCs w:val="20"/>
          <w:color w:val="auto"/>
        </w:rPr>
      </w:pPr>
      <w:r>
        <w:rPr>
          <w:rFonts w:ascii="Arial" w:cs="Arial" w:eastAsia="Arial" w:hAnsi="Arial"/>
          <w:sz w:val="18"/>
          <w:szCs w:val="18"/>
          <w:color w:val="auto"/>
        </w:rPr>
        <w:t>2.3  “</w:t>
      </w:r>
      <w:r>
        <w:rPr>
          <w:rFonts w:ascii="Arial" w:cs="Arial" w:eastAsia="Arial" w:hAnsi="Arial"/>
          <w:sz w:val="18"/>
          <w:szCs w:val="18"/>
          <w:b w:val="1"/>
          <w:bCs w:val="1"/>
          <w:u w:val="single" w:color="auto"/>
          <w:color w:val="auto"/>
        </w:rPr>
        <w:t>Award Agreement</w:t>
      </w:r>
      <w:r>
        <w:rPr>
          <w:rFonts w:ascii="Arial" w:cs="Arial" w:eastAsia="Arial" w:hAnsi="Arial"/>
          <w:sz w:val="18"/>
          <w:szCs w:val="18"/>
          <w:color w:val="auto"/>
        </w:rPr>
        <w:t>” means the written agreement between the Company and a Grantee that evidences and sets out the terms and conditions of an Award. An Award Agreement may be provided in any medium, including any electronic medium.</w:t>
      </w:r>
    </w:p>
    <w:p>
      <w:pPr>
        <w:spacing w:after="0" w:line="154" w:lineRule="exact"/>
        <w:rPr>
          <w:sz w:val="20"/>
          <w:szCs w:val="20"/>
          <w:color w:val="auto"/>
        </w:rPr>
      </w:pPr>
    </w:p>
    <w:p>
      <w:pPr>
        <w:ind w:left="444"/>
        <w:spacing w:after="0"/>
        <w:tabs>
          <w:tab w:leader="none" w:pos="904" w:val="left"/>
        </w:tabs>
        <w:rPr>
          <w:sz w:val="20"/>
          <w:szCs w:val="20"/>
          <w:color w:val="auto"/>
        </w:rPr>
      </w:pPr>
      <w:r>
        <w:rPr>
          <w:rFonts w:ascii="Arial" w:cs="Arial" w:eastAsia="Arial" w:hAnsi="Arial"/>
          <w:sz w:val="18"/>
          <w:szCs w:val="18"/>
          <w:color w:val="auto"/>
        </w:rPr>
        <w:t>2.4 </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u w:val="single" w:color="auto"/>
          <w:color w:val="auto"/>
        </w:rPr>
        <w:t>Benefit Arrangement</w:t>
      </w:r>
      <w:r>
        <w:rPr>
          <w:rFonts w:ascii="Arial" w:cs="Arial" w:eastAsia="Arial" w:hAnsi="Arial"/>
          <w:sz w:val="17"/>
          <w:szCs w:val="17"/>
          <w:color w:val="auto"/>
        </w:rPr>
        <w:t>” has the meaning set forth in Section 15.</w:t>
      </w:r>
    </w:p>
    <w:p>
      <w:pPr>
        <w:spacing w:after="0" w:line="212" w:lineRule="exact"/>
        <w:rPr>
          <w:sz w:val="20"/>
          <w:szCs w:val="20"/>
          <w:color w:val="auto"/>
        </w:rPr>
      </w:pPr>
    </w:p>
    <w:p>
      <w:pPr>
        <w:ind w:left="444"/>
        <w:spacing w:after="0"/>
        <w:tabs>
          <w:tab w:leader="none" w:pos="904" w:val="left"/>
        </w:tabs>
        <w:rPr>
          <w:sz w:val="20"/>
          <w:szCs w:val="20"/>
          <w:color w:val="auto"/>
        </w:rPr>
      </w:pPr>
      <w:r>
        <w:rPr>
          <w:rFonts w:ascii="Arial" w:cs="Arial" w:eastAsia="Arial" w:hAnsi="Arial"/>
          <w:sz w:val="18"/>
          <w:szCs w:val="18"/>
          <w:color w:val="auto"/>
        </w:rPr>
        <w:t>2.5 </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u w:val="single" w:color="auto"/>
          <w:color w:val="auto"/>
        </w:rPr>
        <w:t>Board</w:t>
      </w:r>
      <w:r>
        <w:rPr>
          <w:rFonts w:ascii="Arial" w:cs="Arial" w:eastAsia="Arial" w:hAnsi="Arial"/>
          <w:sz w:val="17"/>
          <w:szCs w:val="17"/>
          <w:color w:val="auto"/>
        </w:rPr>
        <w:t>” means the Board of Directors of the Company.</w:t>
      </w:r>
    </w:p>
    <w:p>
      <w:pPr>
        <w:spacing w:after="0" w:line="212" w:lineRule="exact"/>
        <w:rPr>
          <w:sz w:val="20"/>
          <w:szCs w:val="20"/>
          <w:color w:val="auto"/>
        </w:rPr>
      </w:pPr>
    </w:p>
    <w:p>
      <w:pPr>
        <w:ind w:left="444"/>
        <w:spacing w:after="0"/>
        <w:tabs>
          <w:tab w:leader="none" w:pos="904" w:val="left"/>
        </w:tabs>
        <w:rPr>
          <w:sz w:val="20"/>
          <w:szCs w:val="20"/>
          <w:color w:val="auto"/>
        </w:rPr>
      </w:pPr>
      <w:r>
        <w:rPr>
          <w:rFonts w:ascii="Arial" w:cs="Arial" w:eastAsia="Arial" w:hAnsi="Arial"/>
          <w:sz w:val="18"/>
          <w:szCs w:val="18"/>
          <w:color w:val="auto"/>
        </w:rPr>
        <w:t>2.6 </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u w:val="single" w:color="auto"/>
          <w:color w:val="auto"/>
        </w:rPr>
        <w:t>Business Combination</w:t>
      </w:r>
      <w:r>
        <w:rPr>
          <w:rFonts w:ascii="Arial" w:cs="Arial" w:eastAsia="Arial" w:hAnsi="Arial"/>
          <w:sz w:val="17"/>
          <w:szCs w:val="17"/>
          <w:color w:val="auto"/>
        </w:rPr>
        <w:t>” has the meaning set forth in Section 2.8(3).</w:t>
      </w:r>
    </w:p>
    <w:p>
      <w:pPr>
        <w:spacing w:after="0" w:line="212" w:lineRule="exact"/>
        <w:rPr>
          <w:sz w:val="20"/>
          <w:szCs w:val="20"/>
          <w:color w:val="auto"/>
        </w:rPr>
      </w:pPr>
    </w:p>
    <w:p>
      <w:pPr>
        <w:jc w:val="both"/>
        <w:ind w:left="4" w:firstLine="441"/>
        <w:spacing w:after="0" w:line="245" w:lineRule="auto"/>
        <w:rPr>
          <w:sz w:val="20"/>
          <w:szCs w:val="20"/>
          <w:color w:val="auto"/>
        </w:rPr>
      </w:pPr>
      <w:r>
        <w:rPr>
          <w:rFonts w:ascii="Arial" w:cs="Arial" w:eastAsia="Arial" w:hAnsi="Arial"/>
          <w:sz w:val="18"/>
          <w:szCs w:val="18"/>
          <w:color w:val="auto"/>
        </w:rPr>
        <w:t>2.7  “</w:t>
      </w:r>
      <w:r>
        <w:rPr>
          <w:rFonts w:ascii="Arial" w:cs="Arial" w:eastAsia="Arial" w:hAnsi="Arial"/>
          <w:sz w:val="18"/>
          <w:szCs w:val="18"/>
          <w:b w:val="1"/>
          <w:bCs w:val="1"/>
          <w:u w:val="single" w:color="auto"/>
          <w:color w:val="auto"/>
        </w:rPr>
        <w:t>Cause</w:t>
      </w:r>
      <w:r>
        <w:rPr>
          <w:rFonts w:ascii="Arial" w:cs="Arial" w:eastAsia="Arial" w:hAnsi="Arial"/>
          <w:sz w:val="18"/>
          <w:szCs w:val="18"/>
          <w:color w:val="auto"/>
        </w:rPr>
        <w:t>” means, as determined by the Board or the Committee and unless otherwise provided in an Award Agreement or other applicable agreement with the Company: (i) gross negligence or willful misconduct in connection with the performance of duties;</w:t>
      </w:r>
    </w:p>
    <w:p>
      <w:pPr>
        <w:jc w:val="both"/>
        <w:ind w:left="4" w:hanging="4"/>
        <w:spacing w:after="0" w:line="242" w:lineRule="auto"/>
        <w:tabs>
          <w:tab w:leader="none" w:pos="27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conviction of a criminal offense (other than minor traffic offenses); (iii) material breach of any term of any employment, consulting or other services, confidentiality, intellectual property or non-competition agreements, if any, between the Service Provider and the Company or any Affiliate.</w:t>
      </w:r>
    </w:p>
    <w:p>
      <w:pPr>
        <w:spacing w:after="0" w:line="179" w:lineRule="exact"/>
        <w:rPr>
          <w:sz w:val="20"/>
          <w:szCs w:val="20"/>
          <w:color w:val="auto"/>
        </w:rPr>
      </w:pPr>
    </w:p>
    <w:p>
      <w:pPr>
        <w:ind w:left="444"/>
        <w:spacing w:after="0"/>
        <w:tabs>
          <w:tab w:leader="none" w:pos="904" w:val="left"/>
        </w:tabs>
        <w:rPr>
          <w:sz w:val="20"/>
          <w:szCs w:val="20"/>
          <w:color w:val="auto"/>
        </w:rPr>
      </w:pPr>
      <w:r>
        <w:rPr>
          <w:rFonts w:ascii="Arial" w:cs="Arial" w:eastAsia="Arial" w:hAnsi="Arial"/>
          <w:sz w:val="18"/>
          <w:szCs w:val="18"/>
          <w:color w:val="auto"/>
        </w:rPr>
        <w:t>2.8 </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u w:val="single" w:color="auto"/>
          <w:color w:val="auto"/>
        </w:rPr>
        <w:t>Change in Control</w:t>
      </w:r>
      <w:r>
        <w:rPr>
          <w:rFonts w:ascii="Arial" w:cs="Arial" w:eastAsia="Arial" w:hAnsi="Arial"/>
          <w:sz w:val="17"/>
          <w:szCs w:val="17"/>
          <w:color w:val="auto"/>
        </w:rPr>
        <w:t>” means the occurrence of any of the following:</w:t>
      </w:r>
    </w:p>
    <w:p>
      <w:pPr>
        <w:spacing w:after="0" w:line="239" w:lineRule="exact"/>
        <w:rPr>
          <w:sz w:val="20"/>
          <w:szCs w:val="20"/>
          <w:color w:val="auto"/>
        </w:rPr>
      </w:pPr>
    </w:p>
    <w:p>
      <w:pPr>
        <w:jc w:val="both"/>
        <w:ind w:left="1624" w:hanging="423"/>
        <w:spacing w:after="0" w:line="239" w:lineRule="auto"/>
        <w:tabs>
          <w:tab w:leader="none" w:pos="162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acquisition by any individual, entity or group (within the meaning of Section 13(d)(3) or 14(d)(2) of the Exchange Act) (a “</w:t>
      </w:r>
      <w:r>
        <w:rPr>
          <w:rFonts w:ascii="Arial" w:cs="Arial" w:eastAsia="Arial" w:hAnsi="Arial"/>
          <w:sz w:val="18"/>
          <w:szCs w:val="18"/>
          <w:u w:val="single" w:color="auto"/>
          <w:color w:val="auto"/>
        </w:rPr>
        <w:t>Person</w:t>
      </w:r>
      <w:r>
        <w:rPr>
          <w:rFonts w:ascii="Arial" w:cs="Arial" w:eastAsia="Arial" w:hAnsi="Arial"/>
          <w:sz w:val="18"/>
          <w:szCs w:val="18"/>
          <w:color w:val="auto"/>
        </w:rPr>
        <w:t>”) of beneficial ownership (within the meaning of Rule 13d-3 promulgated under the Exchange Act) of more than fifty percent (50%) of either: (A) the then-outstanding shares of common stock of the Company (the “</w:t>
      </w:r>
      <w:r>
        <w:rPr>
          <w:rFonts w:ascii="Arial" w:cs="Arial" w:eastAsia="Arial" w:hAnsi="Arial"/>
          <w:sz w:val="18"/>
          <w:szCs w:val="18"/>
          <w:u w:val="single" w:color="auto"/>
          <w:color w:val="auto"/>
        </w:rPr>
        <w:t>Company Common Stock</w:t>
      </w:r>
      <w:r>
        <w:rPr>
          <w:rFonts w:ascii="Arial" w:cs="Arial" w:eastAsia="Arial" w:hAnsi="Arial"/>
          <w:sz w:val="18"/>
          <w:szCs w:val="18"/>
          <w:color w:val="auto"/>
        </w:rPr>
        <w:t>”) or (B) the combined voting power of the then-outstanding voting securities of the Company entitled to vote generally in the election of directors (“</w:t>
      </w:r>
      <w:r>
        <w:rPr>
          <w:rFonts w:ascii="Arial" w:cs="Arial" w:eastAsia="Arial" w:hAnsi="Arial"/>
          <w:sz w:val="18"/>
          <w:szCs w:val="18"/>
          <w:u w:val="single" w:color="auto"/>
          <w:color w:val="auto"/>
        </w:rPr>
        <w:t>Voting Stock</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for purposes of this subsection (1), the following acquisitions shall not constitute a Change in Control: (i) any acquisition directly from the Company, (ii) any acquisition by the Company, (iii) any acquisition by any employee benefit plan (or related trust) sponsored or maintained by the Company or any Subsidiary, (iv) any acquisition by any Person (or more than one Person acting as a</w:t>
      </w:r>
    </w:p>
    <w:p>
      <w:pPr>
        <w:spacing w:after="0" w:line="18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-118745</wp:posOffset>
            </wp:positionV>
            <wp:extent cx="762635" cy="38608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62635" cy="386080"/>
                    </a:xfrm>
                    <a:prstGeom prst="rect">
                      <a:avLst/>
                    </a:prstGeom>
                    <a:noFill/>
                  </pic:spPr>
                </pic:pic>
              </a:graphicData>
            </a:graphic>
          </wp:anchor>
        </w:drawing>
      </w:r>
    </w:p>
    <w:p>
      <w:pPr>
        <w:ind w:left="1584"/>
        <w:spacing w:after="0"/>
        <w:rPr>
          <w:sz w:val="20"/>
          <w:szCs w:val="20"/>
          <w:color w:val="auto"/>
        </w:rPr>
      </w:pPr>
      <w:r>
        <w:rPr>
          <w:rFonts w:ascii="Arial" w:cs="Arial" w:eastAsia="Arial" w:hAnsi="Arial"/>
          <w:sz w:val="18"/>
          <w:szCs w:val="18"/>
          <w:color w:val="auto"/>
        </w:rPr>
        <w:t>- 2024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699516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688" w:right="439" w:bottom="1440" w:gutter="0" w:footer="0" w:header="0"/>
        </w:sectPr>
      </w:pPr>
    </w:p>
    <w:bookmarkStart w:id="83" w:name="page84"/>
    <w:bookmarkEnd w:id="83"/>
    <w:p>
      <w:pPr>
        <w:jc w:val="both"/>
        <w:ind w:left="1644" w:right="20"/>
        <w:spacing w:after="0" w:line="253" w:lineRule="auto"/>
        <w:rPr>
          <w:sz w:val="20"/>
          <w:szCs w:val="20"/>
          <w:color w:val="auto"/>
        </w:rPr>
      </w:pPr>
      <w:r>
        <w:rPr>
          <w:rFonts w:ascii="Arial" w:cs="Arial" w:eastAsia="Arial" w:hAnsi="Arial"/>
          <w:sz w:val="18"/>
          <w:szCs w:val="18"/>
          <w:color w:val="auto"/>
        </w:rPr>
        <w:t>group) that owns more than fifty (50) percent of the Company Common Stock or Voting Stock and acquires additional shares, or (v) any acquisition by any Person pursuant to a transaction which complies with clauses (A), (B) and (C) of subsection (3) below; or</w:t>
      </w:r>
    </w:p>
    <w:p>
      <w:pPr>
        <w:spacing w:after="0" w:line="196" w:lineRule="exact"/>
        <w:rPr>
          <w:sz w:val="20"/>
          <w:szCs w:val="20"/>
          <w:color w:val="auto"/>
        </w:rPr>
      </w:pPr>
    </w:p>
    <w:p>
      <w:pPr>
        <w:ind w:left="1624" w:hanging="423"/>
        <w:spacing w:after="0"/>
        <w:tabs>
          <w:tab w:leader="none" w:pos="162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individuals who, as of the date hereof, constitute the Board (as modified by this subsection (2), the “</w:t>
      </w:r>
      <w:r>
        <w:rPr>
          <w:rFonts w:ascii="Arial" w:cs="Arial" w:eastAsia="Arial" w:hAnsi="Arial"/>
          <w:sz w:val="18"/>
          <w:szCs w:val="18"/>
          <w:u w:val="single" w:color="auto"/>
          <w:color w:val="auto"/>
        </w:rPr>
        <w:t>Incumbent Board</w:t>
      </w:r>
      <w:r>
        <w:rPr>
          <w:rFonts w:ascii="Arial" w:cs="Arial" w:eastAsia="Arial" w:hAnsi="Arial"/>
          <w:sz w:val="18"/>
          <w:szCs w:val="18"/>
          <w:color w:val="auto"/>
        </w:rPr>
        <w:t>”</w:t>
      </w:r>
    </w:p>
    <w:p>
      <w:pPr>
        <w:spacing w:after="0" w:line="14" w:lineRule="exact"/>
        <w:rPr>
          <w:sz w:val="20"/>
          <w:szCs w:val="20"/>
          <w:color w:val="auto"/>
        </w:rPr>
      </w:pPr>
    </w:p>
    <w:p>
      <w:pPr>
        <w:jc w:val="both"/>
        <w:ind w:left="1624"/>
        <w:spacing w:after="0" w:line="237" w:lineRule="auto"/>
        <w:rPr>
          <w:sz w:val="20"/>
          <w:szCs w:val="20"/>
          <w:color w:val="auto"/>
        </w:rPr>
      </w:pPr>
      <w:r>
        <w:rPr>
          <w:rFonts w:ascii="Arial" w:cs="Arial" w:eastAsia="Arial" w:hAnsi="Arial"/>
          <w:sz w:val="18"/>
          <w:szCs w:val="18"/>
          <w:color w:val="auto"/>
        </w:rPr>
        <w:t xml:space="preserve">), cease for any reason (other than death or disability) to constitute at least a majority of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individual becoming a director subsequent to the date hereof whose election, or nomination for election by the Company’s stockholders, was approved by a vote of at least a majority of the directors then comprising the Incumbent Board (either by a specific vote or by approval of the proxy statement of the Company in which such person is named as a nominee for director, without objection to such nomination)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208" w:lineRule="exact"/>
        <w:rPr>
          <w:sz w:val="20"/>
          <w:szCs w:val="20"/>
          <w:color w:val="auto"/>
        </w:rPr>
      </w:pPr>
    </w:p>
    <w:p>
      <w:pPr>
        <w:jc w:val="both"/>
        <w:ind w:left="1624" w:right="20" w:hanging="423"/>
        <w:spacing w:after="0" w:line="245" w:lineRule="auto"/>
        <w:tabs>
          <w:tab w:leader="none" w:pos="162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consummation of a reorganization, merger or consolidation or sale or other disposition of all or substantially all of the assets of the Company (a “</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in each case, unless, following such Business Combination,</w:t>
      </w:r>
    </w:p>
    <w:p>
      <w:pPr>
        <w:jc w:val="both"/>
        <w:ind w:left="1624" w:firstLine="9"/>
        <w:spacing w:after="0" w:line="236" w:lineRule="auto"/>
        <w:tabs>
          <w:tab w:leader="none" w:pos="1919"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all or substantially all of the individuals and entities who were the beneficial owners, respectively, of the Company Common Stock and Voting Stock immediately prior to such Business Combination beneficially own, directly or indirectly, more than fifty percent (50%) of, respectively, the then-outstanding shares of common stock and the combined voting power of the then-outstanding voting securities entitled to vote generally in the election of directors, as the case may be, of the entity resulting from such Business Combination (including, without limitation, an entity which as a result of such transaction owns the Company or all or substantially all of the Company’s assets either directly or through one or more subsidiaries) in substantially the same proportions relative to each other as their ownership, immediately prior to such Business Combination, of the Company Common Stock and Voting Stock of the Company, as the case may be, (B) no Person (excluding any entity resulting from such Business Combination or any employee benefit plan (or related trust) sponsored or maintained by the Company or such entity resulting from such Business Combination) beneficially owns, directly or indirectly, more than fifty percent (50%), respectively, the then-outstanding shares of common stock of the entity resulting from such Business Combination, or the combined voting power of the then-outstanding voting securities of such corporation except to the extent that such ownership existed prior to the Business Combination and (C)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208" w:lineRule="exact"/>
        <w:rPr>
          <w:rFonts w:ascii="Arial" w:cs="Arial" w:eastAsia="Arial" w:hAnsi="Arial"/>
          <w:sz w:val="18"/>
          <w:szCs w:val="18"/>
          <w:color w:val="auto"/>
        </w:rPr>
      </w:pPr>
    </w:p>
    <w:p>
      <w:pPr>
        <w:ind w:left="1624" w:hanging="423"/>
        <w:spacing w:after="0"/>
        <w:tabs>
          <w:tab w:leader="none" w:pos="162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approval by the stockholders of the Company of a complete liquidation or dissolution of the Company.</w:t>
      </w:r>
    </w:p>
    <w:p>
      <w:pPr>
        <w:spacing w:after="0" w:line="252" w:lineRule="exact"/>
        <w:rPr>
          <w:sz w:val="20"/>
          <w:szCs w:val="20"/>
          <w:color w:val="auto"/>
        </w:rPr>
      </w:pPr>
    </w:p>
    <w:p>
      <w:pPr>
        <w:jc w:val="both"/>
        <w:ind w:left="4"/>
        <w:spacing w:after="0" w:line="245" w:lineRule="auto"/>
        <w:rPr>
          <w:sz w:val="20"/>
          <w:szCs w:val="20"/>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Change in Control</w:t>
      </w:r>
      <w:r>
        <w:rPr>
          <w:rFonts w:ascii="Arial" w:cs="Arial" w:eastAsia="Arial" w:hAnsi="Arial"/>
          <w:sz w:val="18"/>
          <w:szCs w:val="18"/>
          <w:color w:val="auto"/>
        </w:rPr>
        <w:t>” will be deemed to occur (i) with respect to a Change in Control pursuant to subsection (1) above, on the date that any Person becomes the beneficial owner of more than fifty percent (50%) of either the Company Common Stock or the Voting Stock,</w:t>
      </w:r>
    </w:p>
    <w:p>
      <w:pPr>
        <w:jc w:val="both"/>
        <w:ind w:left="4" w:hanging="4"/>
        <w:spacing w:after="0" w:line="234" w:lineRule="auto"/>
        <w:tabs>
          <w:tab w:leader="none" w:pos="25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with respect to a Change in Control pursuant to subsection (2) above, on the date the members of the Incumbent Board first cease for any reason (other than death or disability) to constitute at least a majority of the Board, (iii) with respect to a Change in Control pursuant to subsection (3) above, on the date the applicable transaction closes and (iv) with respect to a Change in Control pursuant to subsection</w:t>
      </w:r>
    </w:p>
    <w:p>
      <w:pPr>
        <w:spacing w:after="0" w:line="2" w:lineRule="exact"/>
        <w:rPr>
          <w:rFonts w:ascii="Arial" w:cs="Arial" w:eastAsia="Arial" w:hAnsi="Arial"/>
          <w:sz w:val="18"/>
          <w:szCs w:val="18"/>
          <w:color w:val="auto"/>
        </w:rPr>
      </w:pPr>
    </w:p>
    <w:p>
      <w:pPr>
        <w:jc w:val="both"/>
        <w:ind w:left="4"/>
        <w:spacing w:after="0" w:line="242" w:lineRule="auto"/>
        <w:rPr>
          <w:rFonts w:ascii="Arial" w:cs="Arial" w:eastAsia="Arial" w:hAnsi="Arial"/>
          <w:sz w:val="18"/>
          <w:szCs w:val="18"/>
          <w:color w:val="auto"/>
        </w:rPr>
      </w:pPr>
      <w:r>
        <w:rPr>
          <w:rFonts w:ascii="Arial" w:cs="Arial" w:eastAsia="Arial" w:hAnsi="Arial"/>
          <w:sz w:val="18"/>
          <w:szCs w:val="18"/>
          <w:color w:val="auto"/>
        </w:rPr>
        <w:t>(4) above, on the date of the stockholder approval. Notwithstanding the foregoing provisions, a “Change in Control” shall not be deemed to have occurred for purposes of this Agreement solely because of a change in control of any Subsidiary by which the Employee may be employed.</w:t>
      </w:r>
    </w:p>
    <w:p>
      <w:pPr>
        <w:spacing w:after="0" w:line="179" w:lineRule="exact"/>
        <w:rPr>
          <w:sz w:val="20"/>
          <w:szCs w:val="20"/>
          <w:color w:val="auto"/>
        </w:rPr>
      </w:pPr>
    </w:p>
    <w:p>
      <w:pPr>
        <w:ind w:left="444"/>
        <w:spacing w:after="0"/>
        <w:tabs>
          <w:tab w:leader="none" w:pos="904" w:val="left"/>
        </w:tabs>
        <w:rPr>
          <w:sz w:val="20"/>
          <w:szCs w:val="20"/>
          <w:color w:val="auto"/>
        </w:rPr>
      </w:pPr>
      <w:r>
        <w:rPr>
          <w:rFonts w:ascii="Arial" w:cs="Arial" w:eastAsia="Arial" w:hAnsi="Arial"/>
          <w:sz w:val="18"/>
          <w:szCs w:val="18"/>
          <w:color w:val="auto"/>
        </w:rPr>
        <w:t>2.9 </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u w:val="single" w:color="auto"/>
          <w:color w:val="auto"/>
        </w:rPr>
        <w:t>Code</w:t>
      </w:r>
      <w:r>
        <w:rPr>
          <w:rFonts w:ascii="Arial" w:cs="Arial" w:eastAsia="Arial" w:hAnsi="Arial"/>
          <w:sz w:val="17"/>
          <w:szCs w:val="17"/>
          <w:color w:val="auto"/>
        </w:rPr>
        <w:t>” means the Internal Revenue Code of 1986, as now in effect or as hereafter amended.</w:t>
      </w:r>
    </w:p>
    <w:p>
      <w:pPr>
        <w:spacing w:after="0" w:line="212" w:lineRule="exact"/>
        <w:rPr>
          <w:sz w:val="20"/>
          <w:szCs w:val="20"/>
          <w:color w:val="auto"/>
        </w:rPr>
      </w:pPr>
    </w:p>
    <w:p>
      <w:pPr>
        <w:ind w:left="4" w:right="20" w:firstLine="441"/>
        <w:spacing w:after="0" w:line="271" w:lineRule="auto"/>
        <w:rPr>
          <w:sz w:val="20"/>
          <w:szCs w:val="20"/>
          <w:color w:val="auto"/>
        </w:rPr>
      </w:pPr>
      <w:r>
        <w:rPr>
          <w:rFonts w:ascii="Arial" w:cs="Arial" w:eastAsia="Arial" w:hAnsi="Arial"/>
          <w:sz w:val="18"/>
          <w:szCs w:val="18"/>
          <w:color w:val="auto"/>
        </w:rPr>
        <w:t>2.10  “</w:t>
      </w:r>
      <w:r>
        <w:rPr>
          <w:rFonts w:ascii="Arial" w:cs="Arial" w:eastAsia="Arial" w:hAnsi="Arial"/>
          <w:sz w:val="18"/>
          <w:szCs w:val="18"/>
          <w:b w:val="1"/>
          <w:bCs w:val="1"/>
          <w:u w:val="single" w:color="auto"/>
          <w:color w:val="auto"/>
        </w:rPr>
        <w:t>Committee</w:t>
      </w:r>
      <w:r>
        <w:rPr>
          <w:rFonts w:ascii="Arial" w:cs="Arial" w:eastAsia="Arial" w:hAnsi="Arial"/>
          <w:sz w:val="18"/>
          <w:szCs w:val="18"/>
          <w:color w:val="auto"/>
        </w:rPr>
        <w:t>” means a committee of, and designated from time to time by resolution of, the Board, which shall be constituted as provided in Section 3.</w:t>
      </w:r>
    </w:p>
    <w:p>
      <w:pPr>
        <w:spacing w:after="0" w:line="154" w:lineRule="exact"/>
        <w:rPr>
          <w:sz w:val="20"/>
          <w:szCs w:val="20"/>
          <w:color w:val="auto"/>
        </w:rPr>
      </w:pPr>
    </w:p>
    <w:p>
      <w:pPr>
        <w:ind w:left="444"/>
        <w:spacing w:after="0"/>
        <w:tabs>
          <w:tab w:leader="none" w:pos="984" w:val="left"/>
        </w:tabs>
        <w:rPr>
          <w:sz w:val="20"/>
          <w:szCs w:val="20"/>
          <w:color w:val="auto"/>
        </w:rPr>
      </w:pPr>
      <w:r>
        <w:rPr>
          <w:rFonts w:ascii="Arial" w:cs="Arial" w:eastAsia="Arial" w:hAnsi="Arial"/>
          <w:sz w:val="18"/>
          <w:szCs w:val="18"/>
          <w:color w:val="auto"/>
        </w:rPr>
        <w:t>2.11 </w:t>
        <w:tab/>
        <w:t>“</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means Colfax Corporation, a Delaware corporation, or its successors.</w:t>
      </w:r>
    </w:p>
    <w:p>
      <w:pPr>
        <w:spacing w:after="0" w:line="212" w:lineRule="exact"/>
        <w:rPr>
          <w:sz w:val="20"/>
          <w:szCs w:val="20"/>
          <w:color w:val="auto"/>
        </w:rPr>
      </w:pPr>
    </w:p>
    <w:p>
      <w:pPr>
        <w:ind w:left="444"/>
        <w:spacing w:after="0"/>
        <w:tabs>
          <w:tab w:leader="none" w:pos="1004" w:val="left"/>
        </w:tabs>
        <w:rPr>
          <w:sz w:val="20"/>
          <w:szCs w:val="20"/>
          <w:color w:val="auto"/>
        </w:rPr>
      </w:pPr>
      <w:r>
        <w:rPr>
          <w:rFonts w:ascii="Arial" w:cs="Arial" w:eastAsia="Arial" w:hAnsi="Arial"/>
          <w:sz w:val="18"/>
          <w:szCs w:val="18"/>
          <w:color w:val="auto"/>
        </w:rPr>
        <w:t>2.12 </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u w:val="single" w:color="auto"/>
          <w:color w:val="auto"/>
        </w:rPr>
        <w:t>Company Common Stock</w:t>
      </w:r>
      <w:r>
        <w:rPr>
          <w:rFonts w:ascii="Arial" w:cs="Arial" w:eastAsia="Arial" w:hAnsi="Arial"/>
          <w:sz w:val="17"/>
          <w:szCs w:val="17"/>
          <w:color w:val="auto"/>
        </w:rPr>
        <w:t>” has the meaning set forth in Section 2.8(1).</w:t>
      </w:r>
    </w:p>
    <w:p>
      <w:pPr>
        <w:spacing w:after="0" w:line="212" w:lineRule="exact"/>
        <w:rPr>
          <w:sz w:val="20"/>
          <w:szCs w:val="20"/>
          <w:color w:val="auto"/>
        </w:rPr>
      </w:pPr>
    </w:p>
    <w:p>
      <w:pPr>
        <w:ind w:left="10744"/>
        <w:spacing w:after="0"/>
        <w:rPr>
          <w:sz w:val="20"/>
          <w:szCs w:val="20"/>
          <w:color w:val="auto"/>
        </w:rPr>
      </w:pPr>
      <w:r>
        <w:rPr>
          <w:rFonts w:ascii="Arial" w:cs="Arial" w:eastAsia="Arial" w:hAnsi="Arial"/>
          <w:sz w:val="18"/>
          <w:szCs w:val="18"/>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6780530</wp:posOffset>
            </wp:positionH>
            <wp:positionV relativeFrom="paragraph">
              <wp:posOffset>-118745</wp:posOffset>
            </wp:positionV>
            <wp:extent cx="17145" cy="3854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7145" cy="385445"/>
                    </a:xfrm>
                    <a:prstGeom prst="rect">
                      <a:avLst/>
                    </a:prstGeom>
                    <a:noFill/>
                  </pic:spPr>
                </pic:pic>
              </a:graphicData>
            </a:graphic>
          </wp:anchor>
        </w:drawing>
        <w:drawing>
          <wp:anchor simplePos="0" relativeHeight="251657728" behindDoc="1" locked="0" layoutInCell="0" allowOverlap="1">
            <wp:simplePos x="0" y="0"/>
            <wp:positionH relativeFrom="column">
              <wp:posOffset>4800600</wp:posOffset>
            </wp:positionH>
            <wp:positionV relativeFrom="paragraph">
              <wp:posOffset>-50165</wp:posOffset>
            </wp:positionV>
            <wp:extent cx="685800" cy="16256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0" cy="162560"/>
                    </a:xfrm>
                    <a:prstGeom prst="rect">
                      <a:avLst/>
                    </a:prstGeom>
                    <a:noFill/>
                  </pic:spPr>
                </pic:pic>
              </a:graphicData>
            </a:graphic>
          </wp:anchor>
        </w:drawing>
      </w:r>
    </w:p>
    <w:p>
      <w:pPr>
        <w:ind w:left="8684"/>
        <w:spacing w:after="0"/>
        <w:rPr>
          <w:sz w:val="20"/>
          <w:szCs w:val="20"/>
          <w:color w:val="auto"/>
        </w:rPr>
      </w:pPr>
      <w:r>
        <w:rPr>
          <w:rFonts w:ascii="Arial" w:cs="Arial" w:eastAsia="Arial" w:hAnsi="Arial"/>
          <w:sz w:val="18"/>
          <w:szCs w:val="18"/>
          <w:color w:val="auto"/>
        </w:rPr>
        <w:t xml:space="preserve">- 2024 Proxy Statement  </w:t>
      </w:r>
      <w:r>
        <w:rPr>
          <w:rFonts w:ascii="Arial" w:cs="Arial" w:eastAsia="Arial" w:hAnsi="Arial"/>
          <w:sz w:val="18"/>
          <w:szCs w:val="18"/>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699516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661" w:right="439" w:bottom="1440" w:gutter="0" w:footer="0" w:header="0"/>
        </w:sectPr>
      </w:pPr>
    </w:p>
    <w:bookmarkStart w:id="84" w:name="page85"/>
    <w:bookmarkEnd w:id="84"/>
    <w:p>
      <w:pPr>
        <w:jc w:val="both"/>
        <w:ind w:firstLine="441"/>
        <w:spacing w:after="0" w:line="242" w:lineRule="auto"/>
        <w:rPr>
          <w:sz w:val="20"/>
          <w:szCs w:val="20"/>
          <w:color w:val="auto"/>
        </w:rPr>
      </w:pPr>
      <w:r>
        <w:rPr>
          <w:rFonts w:ascii="Arial" w:cs="Arial" w:eastAsia="Arial" w:hAnsi="Arial"/>
          <w:sz w:val="18"/>
          <w:szCs w:val="18"/>
          <w:color w:val="auto"/>
        </w:rPr>
        <w:t>2.13  “</w:t>
      </w:r>
      <w:r>
        <w:rPr>
          <w:rFonts w:ascii="Arial" w:cs="Arial" w:eastAsia="Arial" w:hAnsi="Arial"/>
          <w:sz w:val="18"/>
          <w:szCs w:val="18"/>
          <w:b w:val="1"/>
          <w:bCs w:val="1"/>
          <w:u w:val="single" w:color="auto"/>
          <w:color w:val="auto"/>
        </w:rPr>
        <w:t>Disability</w:t>
      </w:r>
      <w:r>
        <w:rPr>
          <w:rFonts w:ascii="Arial" w:cs="Arial" w:eastAsia="Arial" w:hAnsi="Arial"/>
          <w:sz w:val="18"/>
          <w:szCs w:val="18"/>
          <w:color w:val="auto"/>
        </w:rPr>
        <w:t>” means the Grantee is unable to perform each of the essential duties of such Grantee’s position by reason of a medically determinable physical or mental impairment which is potentially permanent in character or which can be expected to last for a continuous period of not less than twelve (12) months; provided, however, that, with respect to rules regarding expiration of an Incentive Stock Option following termination of the Grantee’s Service, Disability shall mean the Grantee is unable to engage in any substantial gainful activity by reason of a medically determinable physical or mental impairment which can be expected to result in death or which has lasted or can be expected to last for a continuous period of not less than twelve (12) months.</w:t>
      </w:r>
    </w:p>
    <w:p>
      <w:pPr>
        <w:spacing w:after="0" w:line="179" w:lineRule="exact"/>
        <w:rPr>
          <w:sz w:val="20"/>
          <w:szCs w:val="20"/>
          <w:color w:val="auto"/>
        </w:rPr>
      </w:pPr>
    </w:p>
    <w:p>
      <w:pPr>
        <w:jc w:val="both"/>
        <w:ind w:firstLine="441"/>
        <w:spacing w:after="0" w:line="253" w:lineRule="auto"/>
        <w:rPr>
          <w:sz w:val="20"/>
          <w:szCs w:val="20"/>
          <w:color w:val="auto"/>
        </w:rPr>
      </w:pPr>
      <w:r>
        <w:rPr>
          <w:rFonts w:ascii="Arial" w:cs="Arial" w:eastAsia="Arial" w:hAnsi="Arial"/>
          <w:sz w:val="18"/>
          <w:szCs w:val="18"/>
          <w:color w:val="auto"/>
        </w:rPr>
        <w:t>2.14  “</w:t>
      </w:r>
      <w:r>
        <w:rPr>
          <w:rFonts w:ascii="Arial" w:cs="Arial" w:eastAsia="Arial" w:hAnsi="Arial"/>
          <w:sz w:val="18"/>
          <w:szCs w:val="18"/>
          <w:b w:val="1"/>
          <w:bCs w:val="1"/>
          <w:u w:val="single" w:color="auto"/>
          <w:color w:val="auto"/>
        </w:rPr>
        <w:t>Dividend Equivalent Right” and “Dividend Equivalent”</w:t>
      </w:r>
      <w:r>
        <w:rPr>
          <w:rFonts w:ascii="Arial" w:cs="Arial" w:eastAsia="Arial" w:hAnsi="Arial"/>
          <w:sz w:val="18"/>
          <w:szCs w:val="18"/>
          <w:color w:val="auto"/>
        </w:rPr>
        <w:t xml:space="preserve"> means a right, granted to a Grantee under Section 13 hereof, to receive cash, Stock, other Awards or other property in an amount equal in value to the dividends paid with respect to all or a specified number of shares of Stock, or other periodic payments.</w:t>
      </w:r>
    </w:p>
    <w:p>
      <w:pPr>
        <w:spacing w:after="0" w:line="169"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2.15 </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u w:val="single" w:color="auto"/>
          <w:color w:val="auto"/>
        </w:rPr>
        <w:t>Effective Date</w:t>
      </w:r>
      <w:r>
        <w:rPr>
          <w:rFonts w:ascii="Arial" w:cs="Arial" w:eastAsia="Arial" w:hAnsi="Arial"/>
          <w:sz w:val="17"/>
          <w:szCs w:val="17"/>
          <w:color w:val="auto"/>
        </w:rPr>
        <w:t>” means the date on which the Plan is approved by the Company’s stockholders.</w:t>
      </w:r>
    </w:p>
    <w:p>
      <w:pPr>
        <w:spacing w:after="0" w:line="212"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2.16 </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u w:val="single" w:color="auto"/>
          <w:color w:val="auto"/>
        </w:rPr>
        <w:t>Exchange Act</w:t>
      </w:r>
      <w:r>
        <w:rPr>
          <w:rFonts w:ascii="Arial" w:cs="Arial" w:eastAsia="Arial" w:hAnsi="Arial"/>
          <w:sz w:val="17"/>
          <w:szCs w:val="17"/>
          <w:color w:val="auto"/>
        </w:rPr>
        <w:t>” means the Securities Exchange Act of 1934, as now in effect or as hereafter amended.</w:t>
      </w:r>
    </w:p>
    <w:p>
      <w:pPr>
        <w:spacing w:after="0" w:line="212" w:lineRule="exact"/>
        <w:rPr>
          <w:sz w:val="20"/>
          <w:szCs w:val="20"/>
          <w:color w:val="auto"/>
        </w:rPr>
      </w:pPr>
    </w:p>
    <w:p>
      <w:pPr>
        <w:jc w:val="both"/>
        <w:ind w:firstLine="441"/>
        <w:spacing w:after="0" w:line="247" w:lineRule="auto"/>
        <w:rPr>
          <w:sz w:val="20"/>
          <w:szCs w:val="20"/>
          <w:color w:val="auto"/>
        </w:rPr>
      </w:pPr>
      <w:r>
        <w:rPr>
          <w:rFonts w:ascii="Arial" w:cs="Arial" w:eastAsia="Arial" w:hAnsi="Arial"/>
          <w:sz w:val="18"/>
          <w:szCs w:val="18"/>
          <w:color w:val="auto"/>
        </w:rPr>
        <w:t>2.17  “</w:t>
      </w:r>
      <w:r>
        <w:rPr>
          <w:rFonts w:ascii="Arial" w:cs="Arial" w:eastAsia="Arial" w:hAnsi="Arial"/>
          <w:sz w:val="18"/>
          <w:szCs w:val="18"/>
          <w:b w:val="1"/>
          <w:bCs w:val="1"/>
          <w:u w:val="single" w:color="auto"/>
          <w:color w:val="auto"/>
        </w:rPr>
        <w:t>Exercise Price</w:t>
      </w:r>
      <w:r>
        <w:rPr>
          <w:rFonts w:ascii="Arial" w:cs="Arial" w:eastAsia="Arial" w:hAnsi="Arial"/>
          <w:sz w:val="18"/>
          <w:szCs w:val="18"/>
          <w:color w:val="auto"/>
        </w:rPr>
        <w:t>” means (a) in the case of an Option, the amount for which a share of Stock may be purchased upon exercise of such Option, as set forth in the applicable Award Agreement, and (b) in the case of a Stock Appreciation Right, the per share of Stock amount, as specified in the applicable Award Agreement, which is subtracted from the Fair Market Value of a share of Stock in determining the amount payable upon exercise of such SAR.</w:t>
      </w:r>
    </w:p>
    <w:p>
      <w:pPr>
        <w:spacing w:after="0" w:line="174" w:lineRule="exact"/>
        <w:rPr>
          <w:sz w:val="20"/>
          <w:szCs w:val="20"/>
          <w:color w:val="auto"/>
        </w:rPr>
      </w:pPr>
    </w:p>
    <w:p>
      <w:pPr>
        <w:jc w:val="both"/>
        <w:ind w:firstLine="441"/>
        <w:spacing w:after="0" w:line="239" w:lineRule="auto"/>
        <w:rPr>
          <w:sz w:val="20"/>
          <w:szCs w:val="20"/>
          <w:color w:val="auto"/>
        </w:rPr>
      </w:pPr>
      <w:r>
        <w:rPr>
          <w:rFonts w:ascii="Arial" w:cs="Arial" w:eastAsia="Arial" w:hAnsi="Arial"/>
          <w:sz w:val="18"/>
          <w:szCs w:val="18"/>
          <w:color w:val="auto"/>
        </w:rPr>
        <w:t>2.18  “</w:t>
      </w:r>
      <w:r>
        <w:rPr>
          <w:rFonts w:ascii="Arial" w:cs="Arial" w:eastAsia="Arial" w:hAnsi="Arial"/>
          <w:sz w:val="18"/>
          <w:szCs w:val="18"/>
          <w:b w:val="1"/>
          <w:bCs w:val="1"/>
          <w:u w:val="single" w:color="auto"/>
          <w:color w:val="auto"/>
        </w:rPr>
        <w:t>Fair Market Value</w:t>
      </w:r>
      <w:r>
        <w:rPr>
          <w:rFonts w:ascii="Arial" w:cs="Arial" w:eastAsia="Arial" w:hAnsi="Arial"/>
          <w:sz w:val="18"/>
          <w:szCs w:val="18"/>
          <w:color w:val="auto"/>
        </w:rPr>
        <w:t>” means the value of a share of Stock, determined as follows: if on the Grant Date or other determination date the Stock is listed on an established national or regional stock exchange, is admitted to quotation on The Nasdaq Stock Market, Inc. or is publicly traded on an established securities market, the Fair Market Value of a share of Stock shall be the closing price of the Stock on such exchange or in such market (if there is more than one such exchange or market the Board or the Committee shall determine the appropriate exchange or market) on the Grant Date or such other determination date (or if there is no such reported closing price, the Fair Market Value shall be the average between the highest bid and lowest asked prices or between the high and low sale prices on such trading day) or, if no sale of Stock is reported for such trading day, on the next preceding day on which any sale shall have been reported. If the Stock is not listed on such an exchange, quoted on such system or traded on such a market, Fair Market Value shall be the value of the Stock as determined by the Board or the Committee in good faith in a manner consistent with Code Section 409A.</w:t>
      </w:r>
    </w:p>
    <w:p>
      <w:pPr>
        <w:spacing w:after="0" w:line="183" w:lineRule="exact"/>
        <w:rPr>
          <w:sz w:val="20"/>
          <w:szCs w:val="20"/>
          <w:color w:val="auto"/>
        </w:rPr>
      </w:pPr>
    </w:p>
    <w:p>
      <w:pPr>
        <w:jc w:val="both"/>
        <w:ind w:right="20" w:firstLine="441"/>
        <w:spacing w:after="0" w:line="242" w:lineRule="auto"/>
        <w:rPr>
          <w:sz w:val="20"/>
          <w:szCs w:val="20"/>
          <w:color w:val="auto"/>
        </w:rPr>
      </w:pPr>
      <w:r>
        <w:rPr>
          <w:rFonts w:ascii="Arial" w:cs="Arial" w:eastAsia="Arial" w:hAnsi="Arial"/>
          <w:sz w:val="18"/>
          <w:szCs w:val="18"/>
          <w:color w:val="auto"/>
        </w:rPr>
        <w:t>2.19  “</w:t>
      </w:r>
      <w:r>
        <w:rPr>
          <w:rFonts w:ascii="Arial" w:cs="Arial" w:eastAsia="Arial" w:hAnsi="Arial"/>
          <w:sz w:val="18"/>
          <w:szCs w:val="18"/>
          <w:b w:val="1"/>
          <w:bCs w:val="1"/>
          <w:u w:val="single" w:color="auto"/>
          <w:color w:val="auto"/>
        </w:rPr>
        <w:t>Family Member</w:t>
      </w:r>
      <w:r>
        <w:rPr>
          <w:rFonts w:ascii="Arial" w:cs="Arial" w:eastAsia="Arial" w:hAnsi="Arial"/>
          <w:sz w:val="18"/>
          <w:szCs w:val="18"/>
          <w:color w:val="auto"/>
        </w:rPr>
        <w:t>” means a person who is a spouse, former spouse, child, stepchild, grandchild, parent, stepparent, grandparent, niece, nephew, mother-in-law, father-in-law, son-in-law, daughter-in-law, brother, sister, brother-in-law, or sister-in-law, including adoptive relationships, of the Grantee, any person sharing the Grantee’s household (other than a tenant or employee), a trust in which any one or more of these persons have more than fifty percent (50%) of the beneficial interest, a foundation in which any one or more of these persons (or the Grantee) control the management of assets, and any other entity in which one or more of these persons (or the Grantee) own more than fifty percent (50%) of the voting interests.</w:t>
      </w:r>
    </w:p>
    <w:p>
      <w:pPr>
        <w:spacing w:after="0" w:line="179" w:lineRule="exact"/>
        <w:rPr>
          <w:sz w:val="20"/>
          <w:szCs w:val="20"/>
          <w:color w:val="auto"/>
        </w:rPr>
      </w:pPr>
    </w:p>
    <w:p>
      <w:pPr>
        <w:jc w:val="both"/>
        <w:ind w:right="20" w:firstLine="441"/>
        <w:spacing w:after="0" w:line="271" w:lineRule="auto"/>
        <w:rPr>
          <w:sz w:val="20"/>
          <w:szCs w:val="20"/>
          <w:color w:val="auto"/>
        </w:rPr>
      </w:pPr>
      <w:r>
        <w:rPr>
          <w:rFonts w:ascii="Arial" w:cs="Arial" w:eastAsia="Arial" w:hAnsi="Arial"/>
          <w:sz w:val="18"/>
          <w:szCs w:val="18"/>
          <w:color w:val="auto"/>
        </w:rPr>
        <w:t>2.20  “</w:t>
      </w:r>
      <w:r>
        <w:rPr>
          <w:rFonts w:ascii="Arial" w:cs="Arial" w:eastAsia="Arial" w:hAnsi="Arial"/>
          <w:sz w:val="18"/>
          <w:szCs w:val="18"/>
          <w:b w:val="1"/>
          <w:bCs w:val="1"/>
          <w:u w:val="single" w:color="auto"/>
          <w:color w:val="auto"/>
        </w:rPr>
        <w:t>Full Value Award</w:t>
      </w:r>
      <w:r>
        <w:rPr>
          <w:rFonts w:ascii="Arial" w:cs="Arial" w:eastAsia="Arial" w:hAnsi="Arial"/>
          <w:sz w:val="18"/>
          <w:szCs w:val="18"/>
          <w:color w:val="auto"/>
        </w:rPr>
        <w:t>” means any Award, other than an Option or Stock Appreciation Right, that is settled by the issuance of shares of Stock (or, at the direction of the Committee, settled in cash or other consideration by reference to the value of shares of Stock).</w:t>
      </w:r>
    </w:p>
    <w:p>
      <w:pPr>
        <w:spacing w:after="0" w:line="154" w:lineRule="exact"/>
        <w:rPr>
          <w:sz w:val="20"/>
          <w:szCs w:val="20"/>
          <w:color w:val="auto"/>
        </w:rPr>
      </w:pPr>
    </w:p>
    <w:p>
      <w:pPr>
        <w:jc w:val="both"/>
        <w:ind w:right="20" w:firstLine="441"/>
        <w:spacing w:after="0" w:line="271" w:lineRule="auto"/>
        <w:rPr>
          <w:sz w:val="20"/>
          <w:szCs w:val="20"/>
          <w:color w:val="auto"/>
        </w:rPr>
      </w:pPr>
      <w:r>
        <w:rPr>
          <w:rFonts w:ascii="Arial" w:cs="Arial" w:eastAsia="Arial" w:hAnsi="Arial"/>
          <w:sz w:val="18"/>
          <w:szCs w:val="18"/>
          <w:color w:val="auto"/>
        </w:rPr>
        <w:t>2.21  “</w:t>
      </w:r>
      <w:r>
        <w:rPr>
          <w:rFonts w:ascii="Arial" w:cs="Arial" w:eastAsia="Arial" w:hAnsi="Arial"/>
          <w:sz w:val="18"/>
          <w:szCs w:val="18"/>
          <w:b w:val="1"/>
          <w:bCs w:val="1"/>
          <w:u w:val="single" w:color="auto"/>
          <w:color w:val="auto"/>
        </w:rPr>
        <w:t>Grant Date</w:t>
      </w:r>
      <w:r>
        <w:rPr>
          <w:rFonts w:ascii="Arial" w:cs="Arial" w:eastAsia="Arial" w:hAnsi="Arial"/>
          <w:sz w:val="18"/>
          <w:szCs w:val="18"/>
          <w:color w:val="auto"/>
        </w:rPr>
        <w:t>” means the date on which the Board or Committee, as applicable, adopts a resolution or takes other appropriate action, granting an Award to a Service Provider or, if a later date is set forth in such resolution, then such later date as set forth therein.</w:t>
      </w:r>
    </w:p>
    <w:p>
      <w:pPr>
        <w:spacing w:after="0" w:line="154"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2.22 </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u w:val="single" w:color="auto"/>
          <w:color w:val="auto"/>
        </w:rPr>
        <w:t>Grantee</w:t>
      </w:r>
      <w:r>
        <w:rPr>
          <w:rFonts w:ascii="Arial" w:cs="Arial" w:eastAsia="Arial" w:hAnsi="Arial"/>
          <w:sz w:val="17"/>
          <w:szCs w:val="17"/>
          <w:color w:val="auto"/>
        </w:rPr>
        <w:t>” means a person who receives or holds an Award under the Plan.</w:t>
      </w:r>
    </w:p>
    <w:p>
      <w:pPr>
        <w:spacing w:after="0" w:line="212"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8"/>
          <w:szCs w:val="18"/>
          <w:color w:val="auto"/>
        </w:rPr>
        <w:t>2.23  “</w:t>
      </w:r>
      <w:r>
        <w:rPr>
          <w:rFonts w:ascii="Arial" w:cs="Arial" w:eastAsia="Arial" w:hAnsi="Arial"/>
          <w:sz w:val="18"/>
          <w:szCs w:val="18"/>
          <w:b w:val="1"/>
          <w:bCs w:val="1"/>
          <w:u w:val="single" w:color="auto"/>
          <w:color w:val="auto"/>
        </w:rPr>
        <w:t>Incentive Stock Option</w:t>
      </w:r>
      <w:r>
        <w:rPr>
          <w:rFonts w:ascii="Arial" w:cs="Arial" w:eastAsia="Arial" w:hAnsi="Arial"/>
          <w:sz w:val="18"/>
          <w:szCs w:val="18"/>
          <w:color w:val="auto"/>
        </w:rPr>
        <w:t>” means an “incentive stock option” within the meaning of Section 422 of the Code, or the corresponding provision of any subsequently enacted tax statute, as amended from time to time.</w:t>
      </w:r>
    </w:p>
    <w:p>
      <w:pPr>
        <w:spacing w:after="0" w:line="154"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2.24 </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u w:val="single" w:color="auto"/>
          <w:color w:val="auto"/>
        </w:rPr>
        <w:t>Incumbent Board</w:t>
      </w:r>
      <w:r>
        <w:rPr>
          <w:rFonts w:ascii="Arial" w:cs="Arial" w:eastAsia="Arial" w:hAnsi="Arial"/>
          <w:sz w:val="17"/>
          <w:szCs w:val="17"/>
          <w:color w:val="auto"/>
        </w:rPr>
        <w:t>” has the meaning set forth in Section 2.8(2).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-118745</wp:posOffset>
            </wp:positionV>
            <wp:extent cx="762635" cy="38608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62635" cy="38608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699516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688" w:right="439" w:bottom="1440" w:gutter="0" w:footer="0" w:header="0"/>
        </w:sectPr>
      </w:pPr>
    </w:p>
    <w:bookmarkStart w:id="85" w:name="page86"/>
    <w:bookmarkEnd w:id="85"/>
    <w:p>
      <w:pPr>
        <w:jc w:val="both"/>
        <w:ind w:firstLine="441"/>
        <w:spacing w:after="0" w:line="242" w:lineRule="auto"/>
        <w:rPr>
          <w:sz w:val="20"/>
          <w:szCs w:val="20"/>
          <w:color w:val="auto"/>
        </w:rPr>
      </w:pPr>
      <w:r>
        <w:rPr>
          <w:rFonts w:ascii="Arial" w:cs="Arial" w:eastAsia="Arial" w:hAnsi="Arial"/>
          <w:sz w:val="18"/>
          <w:szCs w:val="18"/>
          <w:color w:val="auto"/>
        </w:rPr>
        <w:t>2.25  “</w:t>
      </w:r>
      <w:r>
        <w:rPr>
          <w:rFonts w:ascii="Arial" w:cs="Arial" w:eastAsia="Arial" w:hAnsi="Arial"/>
          <w:sz w:val="18"/>
          <w:szCs w:val="18"/>
          <w:b w:val="1"/>
          <w:bCs w:val="1"/>
          <w:u w:val="single" w:color="auto"/>
          <w:color w:val="auto"/>
        </w:rPr>
        <w:t>Minimum Vesting Requirements</w:t>
      </w:r>
      <w:r>
        <w:rPr>
          <w:rFonts w:ascii="Arial" w:cs="Arial" w:eastAsia="Arial" w:hAnsi="Arial"/>
          <w:sz w:val="18"/>
          <w:szCs w:val="18"/>
          <w:color w:val="auto"/>
        </w:rPr>
        <w:t>” means, notwithstanding any provision of this Plan to the contrary, on and after the Effective Date, the Committee shall not award more than five percent (5%) of the aggregate number of shares of Stock that are available for grant under this Plan as of the Effective Date pursuant to Awards that are solely subject to vesting conditions or performance periods that are less than one (1) year following the Grant Date of the applicable Award, subject, in each case to the Committee’s authority under this Plan to vest Awards earlier, as the Committee deems appropriate, upon the occurrence of a Change in Control, in the event of a Service Provider’s termination of employment or Service or otherwise as permitted by this Plan.</w:t>
      </w:r>
    </w:p>
    <w:p>
      <w:pPr>
        <w:spacing w:after="0" w:line="179" w:lineRule="exact"/>
        <w:rPr>
          <w:sz w:val="20"/>
          <w:szCs w:val="20"/>
          <w:color w:val="auto"/>
        </w:rPr>
      </w:pPr>
    </w:p>
    <w:p>
      <w:pPr>
        <w:jc w:val="both"/>
        <w:ind w:firstLine="441"/>
        <w:spacing w:after="0" w:line="244" w:lineRule="auto"/>
        <w:rPr>
          <w:sz w:val="20"/>
          <w:szCs w:val="20"/>
          <w:color w:val="auto"/>
        </w:rPr>
      </w:pPr>
      <w:r>
        <w:rPr>
          <w:rFonts w:ascii="Arial" w:cs="Arial" w:eastAsia="Arial" w:hAnsi="Arial"/>
          <w:sz w:val="18"/>
          <w:szCs w:val="18"/>
          <w:color w:val="auto"/>
        </w:rPr>
        <w:t>2.26  “</w:t>
      </w:r>
      <w:r>
        <w:rPr>
          <w:rFonts w:ascii="Arial" w:cs="Arial" w:eastAsia="Arial" w:hAnsi="Arial"/>
          <w:sz w:val="18"/>
          <w:szCs w:val="18"/>
          <w:b w:val="1"/>
          <w:bCs w:val="1"/>
          <w:u w:val="single" w:color="auto"/>
          <w:color w:val="auto"/>
        </w:rPr>
        <w:t>Net Exercise</w:t>
      </w:r>
      <w:r>
        <w:rPr>
          <w:rFonts w:ascii="Arial" w:cs="Arial" w:eastAsia="Arial" w:hAnsi="Arial"/>
          <w:sz w:val="18"/>
          <w:szCs w:val="18"/>
          <w:color w:val="auto"/>
        </w:rPr>
        <w:t>” means a Grantee’s ability (if authorized by the Board or the Committee) to exercise an Option by directing the Company to deduct from the shares of Stock issuable upon exercise of his or her Option a number of shares of Stock having an aggregate Fair Market Value equal to the sum of the aggregate Option Price therefor plus the amount of the Grantee’s tax withholding described in Section 18.3 (if any), whereupon the Company shall issue to the Grantee the net remaining number of shares of Stock after such deduction.</w:t>
      </w:r>
    </w:p>
    <w:p>
      <w:pPr>
        <w:spacing w:after="0" w:line="176"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2.27 </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u w:val="single" w:color="auto"/>
          <w:color w:val="auto"/>
        </w:rPr>
        <w:t>Non-qualified Stock Option</w:t>
      </w:r>
      <w:r>
        <w:rPr>
          <w:rFonts w:ascii="Arial" w:cs="Arial" w:eastAsia="Arial" w:hAnsi="Arial"/>
          <w:sz w:val="17"/>
          <w:szCs w:val="17"/>
          <w:color w:val="auto"/>
        </w:rPr>
        <w:t>” means an Option that is not an Incentive Stock Option.</w:t>
      </w:r>
    </w:p>
    <w:p>
      <w:pPr>
        <w:spacing w:after="0" w:line="212" w:lineRule="exact"/>
        <w:rPr>
          <w:sz w:val="20"/>
          <w:szCs w:val="20"/>
          <w:color w:val="auto"/>
        </w:rPr>
      </w:pPr>
    </w:p>
    <w:p>
      <w:pPr>
        <w:jc w:val="both"/>
        <w:ind w:right="20" w:firstLine="441"/>
        <w:spacing w:after="0" w:line="271" w:lineRule="auto"/>
        <w:rPr>
          <w:sz w:val="20"/>
          <w:szCs w:val="20"/>
          <w:color w:val="auto"/>
        </w:rPr>
      </w:pPr>
      <w:r>
        <w:rPr>
          <w:rFonts w:ascii="Arial" w:cs="Arial" w:eastAsia="Arial" w:hAnsi="Arial"/>
          <w:sz w:val="18"/>
          <w:szCs w:val="18"/>
          <w:color w:val="auto"/>
        </w:rPr>
        <w:t>2.28  “</w:t>
      </w:r>
      <w:r>
        <w:rPr>
          <w:rFonts w:ascii="Arial" w:cs="Arial" w:eastAsia="Arial" w:hAnsi="Arial"/>
          <w:sz w:val="18"/>
          <w:szCs w:val="18"/>
          <w:b w:val="1"/>
          <w:bCs w:val="1"/>
          <w:u w:val="single" w:color="auto"/>
          <w:color w:val="auto"/>
        </w:rPr>
        <w:t>Option</w:t>
      </w:r>
      <w:r>
        <w:rPr>
          <w:rFonts w:ascii="Arial" w:cs="Arial" w:eastAsia="Arial" w:hAnsi="Arial"/>
          <w:sz w:val="18"/>
          <w:szCs w:val="18"/>
          <w:color w:val="auto"/>
        </w:rPr>
        <w:t>” means an option to purchase one or more shares of Stock pursuant to the Plan that is either an Incentive Stock Option or a Non-qualified Stock Option.</w:t>
      </w:r>
    </w:p>
    <w:p>
      <w:pPr>
        <w:spacing w:after="0" w:line="154"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2.29 </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u w:val="single" w:color="auto"/>
          <w:color w:val="auto"/>
        </w:rPr>
        <w:t>Option Price</w:t>
      </w:r>
      <w:r>
        <w:rPr>
          <w:rFonts w:ascii="Arial" w:cs="Arial" w:eastAsia="Arial" w:hAnsi="Arial"/>
          <w:sz w:val="17"/>
          <w:szCs w:val="17"/>
          <w:color w:val="auto"/>
        </w:rPr>
        <w:t>” means the Exercise Price for each share of Stock subject to an Option.</w:t>
      </w:r>
    </w:p>
    <w:p>
      <w:pPr>
        <w:spacing w:after="0" w:line="212"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2.30 </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u w:val="single" w:color="auto"/>
          <w:color w:val="auto"/>
        </w:rPr>
        <w:t>Other Agreement</w:t>
      </w:r>
      <w:r>
        <w:rPr>
          <w:rFonts w:ascii="Arial" w:cs="Arial" w:eastAsia="Arial" w:hAnsi="Arial"/>
          <w:sz w:val="17"/>
          <w:szCs w:val="17"/>
          <w:color w:val="auto"/>
        </w:rPr>
        <w:t>” has the meaning set forth in Section 15.</w:t>
      </w:r>
    </w:p>
    <w:p>
      <w:pPr>
        <w:spacing w:after="0" w:line="212"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2.31 </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u w:val="single" w:color="auto"/>
          <w:color w:val="auto"/>
        </w:rPr>
        <w:t>Outside Director</w:t>
      </w:r>
      <w:r>
        <w:rPr>
          <w:rFonts w:ascii="Arial" w:cs="Arial" w:eastAsia="Arial" w:hAnsi="Arial"/>
          <w:sz w:val="17"/>
          <w:szCs w:val="17"/>
          <w:color w:val="auto"/>
        </w:rPr>
        <w:t>” means a member of the Board who is not an officer or employee of the Company.</w:t>
      </w:r>
    </w:p>
    <w:p>
      <w:pPr>
        <w:spacing w:after="0" w:line="212" w:lineRule="exact"/>
        <w:rPr>
          <w:sz w:val="20"/>
          <w:szCs w:val="20"/>
          <w:color w:val="auto"/>
        </w:rPr>
      </w:pPr>
    </w:p>
    <w:p>
      <w:pPr>
        <w:jc w:val="both"/>
        <w:ind w:right="20" w:firstLine="441"/>
        <w:spacing w:after="0" w:line="271" w:lineRule="auto"/>
        <w:rPr>
          <w:sz w:val="20"/>
          <w:szCs w:val="20"/>
          <w:color w:val="auto"/>
        </w:rPr>
      </w:pPr>
      <w:r>
        <w:rPr>
          <w:rFonts w:ascii="Arial" w:cs="Arial" w:eastAsia="Arial" w:hAnsi="Arial"/>
          <w:sz w:val="18"/>
          <w:szCs w:val="18"/>
          <w:color w:val="auto"/>
        </w:rPr>
        <w:t>2.32  “</w:t>
      </w:r>
      <w:r>
        <w:rPr>
          <w:rFonts w:ascii="Arial" w:cs="Arial" w:eastAsia="Arial" w:hAnsi="Arial"/>
          <w:sz w:val="18"/>
          <w:szCs w:val="18"/>
          <w:b w:val="1"/>
          <w:bCs w:val="1"/>
          <w:u w:val="single" w:color="auto"/>
          <w:color w:val="auto"/>
        </w:rPr>
        <w:t>Performance Award</w:t>
      </w:r>
      <w:r>
        <w:rPr>
          <w:rFonts w:ascii="Arial" w:cs="Arial" w:eastAsia="Arial" w:hAnsi="Arial"/>
          <w:sz w:val="18"/>
          <w:szCs w:val="18"/>
          <w:color w:val="auto"/>
        </w:rPr>
        <w:t>” means an Award made subject to the attainment of one or more performance goals (as described in Section 14) over a Performance Period of up to ten (10) years.</w:t>
      </w:r>
    </w:p>
    <w:p>
      <w:pPr>
        <w:spacing w:after="0" w:line="154" w:lineRule="exact"/>
        <w:rPr>
          <w:sz w:val="20"/>
          <w:szCs w:val="20"/>
          <w:color w:val="auto"/>
        </w:rPr>
      </w:pPr>
    </w:p>
    <w:p>
      <w:pPr>
        <w:jc w:val="both"/>
        <w:ind w:right="20" w:firstLine="441"/>
        <w:spacing w:after="0" w:line="271" w:lineRule="auto"/>
        <w:rPr>
          <w:sz w:val="20"/>
          <w:szCs w:val="20"/>
          <w:color w:val="auto"/>
        </w:rPr>
      </w:pPr>
      <w:r>
        <w:rPr>
          <w:rFonts w:ascii="Arial" w:cs="Arial" w:eastAsia="Arial" w:hAnsi="Arial"/>
          <w:sz w:val="18"/>
          <w:szCs w:val="18"/>
          <w:color w:val="auto"/>
        </w:rPr>
        <w:t>2.33  “</w:t>
      </w:r>
      <w:r>
        <w:rPr>
          <w:rFonts w:ascii="Arial" w:cs="Arial" w:eastAsia="Arial" w:hAnsi="Arial"/>
          <w:sz w:val="18"/>
          <w:szCs w:val="18"/>
          <w:b w:val="1"/>
          <w:bCs w:val="1"/>
          <w:u w:val="single" w:color="auto"/>
          <w:color w:val="auto"/>
        </w:rPr>
        <w:t>Performance-Based Compensation</w:t>
      </w:r>
      <w:r>
        <w:rPr>
          <w:rFonts w:ascii="Arial" w:cs="Arial" w:eastAsia="Arial" w:hAnsi="Arial"/>
          <w:sz w:val="18"/>
          <w:szCs w:val="18"/>
          <w:color w:val="auto"/>
        </w:rPr>
        <w:t>” means compensation under an Award that is intended to constitute performance-based compensation within the meaning of Code Section 409A.</w:t>
      </w:r>
    </w:p>
    <w:p>
      <w:pPr>
        <w:spacing w:after="0" w:line="154"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8"/>
          <w:szCs w:val="18"/>
          <w:color w:val="auto"/>
        </w:rPr>
        <w:t>2.34  “</w:t>
      </w:r>
      <w:r>
        <w:rPr>
          <w:rFonts w:ascii="Arial" w:cs="Arial" w:eastAsia="Arial" w:hAnsi="Arial"/>
          <w:sz w:val="18"/>
          <w:szCs w:val="18"/>
          <w:b w:val="1"/>
          <w:bCs w:val="1"/>
          <w:u w:val="single" w:color="auto"/>
          <w:color w:val="auto"/>
        </w:rPr>
        <w:t>Performance Measures</w:t>
      </w:r>
      <w:r>
        <w:rPr>
          <w:rFonts w:ascii="Arial" w:cs="Arial" w:eastAsia="Arial" w:hAnsi="Arial"/>
          <w:sz w:val="18"/>
          <w:szCs w:val="18"/>
          <w:color w:val="auto"/>
        </w:rPr>
        <w:t xml:space="preserve">” means measures as described in Section 14 and </w:t>
      </w:r>
      <w:r>
        <w:rPr>
          <w:rFonts w:ascii="Arial" w:cs="Arial" w:eastAsia="Arial" w:hAnsi="Arial"/>
          <w:sz w:val="18"/>
          <w:szCs w:val="18"/>
          <w:b w:val="1"/>
          <w:bCs w:val="1"/>
          <w:u w:val="single" w:color="auto"/>
          <w:color w:val="auto"/>
        </w:rPr>
        <w:t>Appendix A</w:t>
      </w:r>
      <w:r>
        <w:rPr>
          <w:rFonts w:ascii="Arial" w:cs="Arial" w:eastAsia="Arial" w:hAnsi="Arial"/>
          <w:sz w:val="18"/>
          <w:szCs w:val="18"/>
          <w:color w:val="auto"/>
        </w:rPr>
        <w:t xml:space="preserve"> on which the performance goals are based.</w:t>
      </w:r>
    </w:p>
    <w:p>
      <w:pPr>
        <w:spacing w:after="0" w:line="154" w:lineRule="exact"/>
        <w:rPr>
          <w:sz w:val="20"/>
          <w:szCs w:val="20"/>
          <w:color w:val="auto"/>
        </w:rPr>
      </w:pPr>
    </w:p>
    <w:p>
      <w:pPr>
        <w:jc w:val="both"/>
        <w:ind w:right="20" w:firstLine="441"/>
        <w:spacing w:after="0" w:line="271" w:lineRule="auto"/>
        <w:rPr>
          <w:sz w:val="20"/>
          <w:szCs w:val="20"/>
          <w:color w:val="auto"/>
        </w:rPr>
      </w:pPr>
      <w:r>
        <w:rPr>
          <w:rFonts w:ascii="Arial" w:cs="Arial" w:eastAsia="Arial" w:hAnsi="Arial"/>
          <w:sz w:val="18"/>
          <w:szCs w:val="18"/>
          <w:color w:val="auto"/>
        </w:rPr>
        <w:t>2.35  “</w:t>
      </w:r>
      <w:r>
        <w:rPr>
          <w:rFonts w:ascii="Arial" w:cs="Arial" w:eastAsia="Arial" w:hAnsi="Arial"/>
          <w:sz w:val="18"/>
          <w:szCs w:val="18"/>
          <w:b w:val="1"/>
          <w:bCs w:val="1"/>
          <w:u w:val="single" w:color="auto"/>
          <w:color w:val="auto"/>
        </w:rPr>
        <w:t>Performance Period</w:t>
      </w:r>
      <w:r>
        <w:rPr>
          <w:rFonts w:ascii="Arial" w:cs="Arial" w:eastAsia="Arial" w:hAnsi="Arial"/>
          <w:sz w:val="18"/>
          <w:szCs w:val="18"/>
          <w:color w:val="auto"/>
        </w:rPr>
        <w:t>” means the period of time not in excess of ten (10) years during which the performance goals must be met in order to determine the degree of payout and/or vesting with respect to a Performance Award.</w:t>
      </w:r>
    </w:p>
    <w:p>
      <w:pPr>
        <w:spacing w:after="0" w:line="154" w:lineRule="exact"/>
        <w:rPr>
          <w:sz w:val="20"/>
          <w:szCs w:val="20"/>
          <w:color w:val="auto"/>
        </w:rPr>
      </w:pPr>
    </w:p>
    <w:p>
      <w:pPr>
        <w:jc w:val="both"/>
        <w:ind w:right="20" w:firstLine="441"/>
        <w:spacing w:after="0" w:line="253" w:lineRule="auto"/>
        <w:rPr>
          <w:sz w:val="20"/>
          <w:szCs w:val="20"/>
          <w:color w:val="auto"/>
        </w:rPr>
      </w:pPr>
      <w:r>
        <w:rPr>
          <w:rFonts w:ascii="Arial" w:cs="Arial" w:eastAsia="Arial" w:hAnsi="Arial"/>
          <w:sz w:val="18"/>
          <w:szCs w:val="18"/>
          <w:color w:val="auto"/>
        </w:rPr>
        <w:t>2.36  “</w:t>
      </w:r>
      <w:r>
        <w:rPr>
          <w:rFonts w:ascii="Arial" w:cs="Arial" w:eastAsia="Arial" w:hAnsi="Arial"/>
          <w:sz w:val="18"/>
          <w:szCs w:val="18"/>
          <w:b w:val="1"/>
          <w:bCs w:val="1"/>
          <w:u w:val="single" w:color="auto"/>
          <w:color w:val="auto"/>
        </w:rPr>
        <w:t>Performance Share</w:t>
      </w:r>
      <w:r>
        <w:rPr>
          <w:rFonts w:ascii="Arial" w:cs="Arial" w:eastAsia="Arial" w:hAnsi="Arial"/>
          <w:sz w:val="18"/>
          <w:szCs w:val="18"/>
          <w:color w:val="auto"/>
        </w:rPr>
        <w:t>” means a Performance Award under Section 14 hereof and subject to the terms of this Plan, denominated in Stock, the value of which at the time it is payable is determined as a function of the extent to which corresponding performance criteria have been achieved.</w:t>
      </w:r>
    </w:p>
    <w:p>
      <w:pPr>
        <w:spacing w:after="0" w:line="169" w:lineRule="exact"/>
        <w:rPr>
          <w:sz w:val="20"/>
          <w:szCs w:val="20"/>
          <w:color w:val="auto"/>
        </w:rPr>
      </w:pPr>
    </w:p>
    <w:p>
      <w:pPr>
        <w:jc w:val="both"/>
        <w:ind w:firstLine="441"/>
        <w:spacing w:after="0" w:line="253" w:lineRule="auto"/>
        <w:rPr>
          <w:sz w:val="20"/>
          <w:szCs w:val="20"/>
          <w:color w:val="auto"/>
        </w:rPr>
      </w:pPr>
      <w:r>
        <w:rPr>
          <w:rFonts w:ascii="Arial" w:cs="Arial" w:eastAsia="Arial" w:hAnsi="Arial"/>
          <w:sz w:val="18"/>
          <w:szCs w:val="18"/>
          <w:color w:val="auto"/>
        </w:rPr>
        <w:t>2.37  “</w:t>
      </w:r>
      <w:r>
        <w:rPr>
          <w:rFonts w:ascii="Arial" w:cs="Arial" w:eastAsia="Arial" w:hAnsi="Arial"/>
          <w:sz w:val="18"/>
          <w:szCs w:val="18"/>
          <w:b w:val="1"/>
          <w:bCs w:val="1"/>
          <w:u w:val="single" w:color="auto"/>
          <w:color w:val="auto"/>
        </w:rPr>
        <w:t>Performance Unit</w:t>
      </w:r>
      <w:r>
        <w:rPr>
          <w:rFonts w:ascii="Arial" w:cs="Arial" w:eastAsia="Arial" w:hAnsi="Arial"/>
          <w:sz w:val="18"/>
          <w:szCs w:val="18"/>
          <w:color w:val="auto"/>
        </w:rPr>
        <w:t>” means a Performance Award under Section 14 hereof and subject to the terms of this Plan, denominated in Stock Units, the value of which at the time it is payable is determined as a function of the extent to which corresponding performance criteria have been achieved.</w:t>
      </w:r>
    </w:p>
    <w:p>
      <w:pPr>
        <w:spacing w:after="0" w:line="169"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2.38 </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u w:val="single" w:color="auto"/>
          <w:color w:val="auto"/>
        </w:rPr>
        <w:t>Person</w:t>
      </w:r>
      <w:r>
        <w:rPr>
          <w:rFonts w:ascii="Arial" w:cs="Arial" w:eastAsia="Arial" w:hAnsi="Arial"/>
          <w:sz w:val="17"/>
          <w:szCs w:val="17"/>
          <w:color w:val="auto"/>
        </w:rPr>
        <w:t>” has the meaning set forth in Section 2.8(1).</w:t>
      </w:r>
    </w:p>
    <w:p>
      <w:pPr>
        <w:spacing w:after="0" w:line="212"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2.39 </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u w:val="single" w:color="auto"/>
          <w:color w:val="auto"/>
        </w:rPr>
        <w:t>Plan</w:t>
      </w:r>
      <w:r>
        <w:rPr>
          <w:rFonts w:ascii="Arial" w:cs="Arial" w:eastAsia="Arial" w:hAnsi="Arial"/>
          <w:sz w:val="17"/>
          <w:szCs w:val="17"/>
          <w:color w:val="auto"/>
        </w:rPr>
        <w:t>” means this Colfax Corporation 2020 Omnibus Incentive Plan, as the same may be amended from time to time.</w:t>
      </w:r>
    </w:p>
    <w:p>
      <w:pPr>
        <w:spacing w:after="0" w:line="212"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2.40 </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u w:val="single" w:color="auto"/>
          <w:color w:val="auto"/>
        </w:rPr>
        <w:t>Prior Plan</w:t>
      </w:r>
      <w:r>
        <w:rPr>
          <w:rFonts w:ascii="Arial" w:cs="Arial" w:eastAsia="Arial" w:hAnsi="Arial"/>
          <w:sz w:val="17"/>
          <w:szCs w:val="17"/>
          <w:color w:val="auto"/>
        </w:rPr>
        <w:t>” means the Colfax Corporation 2016 Omnibus Incentive Plan.</w:t>
      </w:r>
    </w:p>
    <w:p>
      <w:pPr>
        <w:spacing w:after="0" w:line="212" w:lineRule="exact"/>
        <w:rPr>
          <w:sz w:val="20"/>
          <w:szCs w:val="20"/>
          <w:color w:val="auto"/>
        </w:rPr>
      </w:pPr>
    </w:p>
    <w:p>
      <w:pPr>
        <w:jc w:val="both"/>
        <w:ind w:right="20" w:firstLine="441"/>
        <w:spacing w:after="0" w:line="271" w:lineRule="auto"/>
        <w:rPr>
          <w:sz w:val="20"/>
          <w:szCs w:val="20"/>
          <w:color w:val="auto"/>
        </w:rPr>
      </w:pPr>
      <w:r>
        <w:rPr>
          <w:rFonts w:ascii="Arial" w:cs="Arial" w:eastAsia="Arial" w:hAnsi="Arial"/>
          <w:sz w:val="18"/>
          <w:szCs w:val="18"/>
          <w:color w:val="auto"/>
        </w:rPr>
        <w:t>2.41  “</w:t>
      </w:r>
      <w:r>
        <w:rPr>
          <w:rFonts w:ascii="Arial" w:cs="Arial" w:eastAsia="Arial" w:hAnsi="Arial"/>
          <w:sz w:val="18"/>
          <w:szCs w:val="18"/>
          <w:b w:val="1"/>
          <w:bCs w:val="1"/>
          <w:u w:val="single" w:color="auto"/>
          <w:color w:val="auto"/>
        </w:rPr>
        <w:t>Purchase Price</w:t>
      </w:r>
      <w:r>
        <w:rPr>
          <w:rFonts w:ascii="Arial" w:cs="Arial" w:eastAsia="Arial" w:hAnsi="Arial"/>
          <w:sz w:val="18"/>
          <w:szCs w:val="18"/>
          <w:color w:val="auto"/>
        </w:rPr>
        <w:t>” means the purchase price paid by a Grantee for each share of Stock pursuant to a grant of Restricted Stock or Unrestricted Stock.</w:t>
      </w:r>
    </w:p>
    <w:p>
      <w:pPr>
        <w:spacing w:after="0" w:line="154"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2.42 </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u w:val="single" w:color="auto"/>
          <w:color w:val="auto"/>
        </w:rPr>
        <w:t>Reporting Person</w:t>
      </w:r>
      <w:r>
        <w:rPr>
          <w:rFonts w:ascii="Arial" w:cs="Arial" w:eastAsia="Arial" w:hAnsi="Arial"/>
          <w:sz w:val="17"/>
          <w:szCs w:val="17"/>
          <w:color w:val="auto"/>
        </w:rPr>
        <w:t>” means a person who is required to file reports under Section 16(a) of the Exchange Act.</w:t>
      </w:r>
    </w:p>
    <w:p>
      <w:pPr>
        <w:spacing w:after="0" w:line="212" w:lineRule="exact"/>
        <w:rPr>
          <w:sz w:val="20"/>
          <w:szCs w:val="20"/>
          <w:color w:val="auto"/>
        </w:rPr>
      </w:pPr>
    </w:p>
    <w:p>
      <w:pPr>
        <w:ind w:left="10740"/>
        <w:spacing w:after="0"/>
        <w:rPr>
          <w:sz w:val="20"/>
          <w:szCs w:val="20"/>
          <w:color w:val="auto"/>
        </w:rPr>
      </w:pPr>
      <w:r>
        <w:rPr>
          <w:rFonts w:ascii="Arial" w:cs="Arial" w:eastAsia="Arial" w:hAnsi="Arial"/>
          <w:sz w:val="18"/>
          <w:szCs w:val="18"/>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6777990</wp:posOffset>
            </wp:positionH>
            <wp:positionV relativeFrom="paragraph">
              <wp:posOffset>-118745</wp:posOffset>
            </wp:positionV>
            <wp:extent cx="17145" cy="38608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7145" cy="386080"/>
                    </a:xfrm>
                    <a:prstGeom prst="rect">
                      <a:avLst/>
                    </a:prstGeom>
                    <a:noFill/>
                  </pic:spPr>
                </pic:pic>
              </a:graphicData>
            </a:graphic>
          </wp:anchor>
        </w:drawing>
        <w:drawing>
          <wp:anchor simplePos="0" relativeHeight="251657728" behindDoc="1" locked="0" layoutInCell="0" allowOverlap="1">
            <wp:simplePos x="0" y="0"/>
            <wp:positionH relativeFrom="column">
              <wp:posOffset>4798060</wp:posOffset>
            </wp:positionH>
            <wp:positionV relativeFrom="paragraph">
              <wp:posOffset>-50165</wp:posOffset>
            </wp:positionV>
            <wp:extent cx="685800" cy="16256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0" cy="162560"/>
                    </a:xfrm>
                    <a:prstGeom prst="rect">
                      <a:avLst/>
                    </a:prstGeom>
                    <a:noFill/>
                  </pic:spPr>
                </pic:pic>
              </a:graphicData>
            </a:graphic>
          </wp:anchor>
        </w:drawing>
      </w:r>
    </w:p>
    <w:p>
      <w:pPr>
        <w:ind w:left="8680"/>
        <w:spacing w:after="0"/>
        <w:rPr>
          <w:sz w:val="20"/>
          <w:szCs w:val="20"/>
          <w:color w:val="auto"/>
        </w:rPr>
      </w:pPr>
      <w:r>
        <w:rPr>
          <w:rFonts w:ascii="Arial" w:cs="Arial" w:eastAsia="Arial" w:hAnsi="Arial"/>
          <w:sz w:val="18"/>
          <w:szCs w:val="18"/>
          <w:color w:val="auto"/>
        </w:rPr>
        <w:t xml:space="preserve">- 2024 Proxy Statement  </w:t>
      </w:r>
      <w:r>
        <w:rPr>
          <w:rFonts w:ascii="Arial" w:cs="Arial" w:eastAsia="Arial" w:hAnsi="Arial"/>
          <w:sz w:val="18"/>
          <w:szCs w:val="18"/>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699516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661" w:right="439" w:bottom="1440" w:gutter="0" w:footer="0" w:header="0"/>
        </w:sectPr>
      </w:pPr>
    </w:p>
    <w:bookmarkStart w:id="86" w:name="page87"/>
    <w:bookmarkEnd w:id="86"/>
    <w:p>
      <w:pPr>
        <w:jc w:val="both"/>
        <w:ind w:right="20" w:firstLine="441"/>
        <w:spacing w:after="0" w:line="247" w:lineRule="auto"/>
        <w:rPr>
          <w:sz w:val="20"/>
          <w:szCs w:val="20"/>
          <w:color w:val="auto"/>
        </w:rPr>
      </w:pPr>
      <w:r>
        <w:rPr>
          <w:rFonts w:ascii="Arial" w:cs="Arial" w:eastAsia="Arial" w:hAnsi="Arial"/>
          <w:sz w:val="18"/>
          <w:szCs w:val="18"/>
          <w:color w:val="auto"/>
        </w:rPr>
        <w:t>2.43  “</w:t>
      </w:r>
      <w:r>
        <w:rPr>
          <w:rFonts w:ascii="Arial" w:cs="Arial" w:eastAsia="Arial" w:hAnsi="Arial"/>
          <w:sz w:val="18"/>
          <w:szCs w:val="18"/>
          <w:b w:val="1"/>
          <w:bCs w:val="1"/>
          <w:u w:val="single" w:color="auto"/>
          <w:color w:val="auto"/>
        </w:rPr>
        <w:t>Repricing” and “Repriced</w:t>
      </w:r>
      <w:r>
        <w:rPr>
          <w:rFonts w:ascii="Arial" w:cs="Arial" w:eastAsia="Arial" w:hAnsi="Arial"/>
          <w:sz w:val="18"/>
          <w:szCs w:val="18"/>
          <w:color w:val="auto"/>
        </w:rPr>
        <w:t>” means lowering of the Option Price or SAR Exercise Price or any other action that has the same effect or is treated as a repricing under generally accepted accounting principles, and includes a cancellation of an Option or SAR when its Option Price or SAR Exercise Price exceeds the Fair Market Value of the underlying Stock and exchange for another Option, SAR or other Award or a cash payment.</w:t>
      </w:r>
    </w:p>
    <w:p>
      <w:pPr>
        <w:spacing w:after="0" w:line="174"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2.44 </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u w:val="single" w:color="auto"/>
          <w:color w:val="auto"/>
        </w:rPr>
        <w:t>Restricted Period</w:t>
      </w:r>
      <w:r>
        <w:rPr>
          <w:rFonts w:ascii="Arial" w:cs="Arial" w:eastAsia="Arial" w:hAnsi="Arial"/>
          <w:sz w:val="17"/>
          <w:szCs w:val="17"/>
          <w:color w:val="auto"/>
        </w:rPr>
        <w:t>” has the meaning set forth in Section 10.2.</w:t>
      </w:r>
    </w:p>
    <w:p>
      <w:pPr>
        <w:spacing w:after="0" w:line="212"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2.45 </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u w:val="single" w:color="auto"/>
          <w:color w:val="auto"/>
        </w:rPr>
        <w:t>Restricted Stock</w:t>
      </w:r>
      <w:r>
        <w:rPr>
          <w:rFonts w:ascii="Arial" w:cs="Arial" w:eastAsia="Arial" w:hAnsi="Arial"/>
          <w:sz w:val="17"/>
          <w:szCs w:val="17"/>
          <w:color w:val="auto"/>
        </w:rPr>
        <w:t>” means one or more shares of Stock, awarded to a Grantee pursuant to Section 10 hereof.</w:t>
      </w:r>
    </w:p>
    <w:p>
      <w:pPr>
        <w:spacing w:after="0" w:line="212"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2.46 </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u w:val="single" w:color="auto"/>
          <w:color w:val="auto"/>
        </w:rPr>
        <w:t>SAR Exercise Price</w:t>
      </w:r>
      <w:r>
        <w:rPr>
          <w:rFonts w:ascii="Arial" w:cs="Arial" w:eastAsia="Arial" w:hAnsi="Arial"/>
          <w:sz w:val="17"/>
          <w:szCs w:val="17"/>
          <w:color w:val="auto"/>
        </w:rPr>
        <w:t>” means the per share Exercise Price of an SAR granted to a Grantee under Section 9 hereof.</w:t>
      </w:r>
    </w:p>
    <w:p>
      <w:pPr>
        <w:spacing w:after="0" w:line="212"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2.47 </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u w:val="single" w:color="auto"/>
          <w:color w:val="auto"/>
        </w:rPr>
        <w:t>Securities Act</w:t>
      </w:r>
      <w:r>
        <w:rPr>
          <w:rFonts w:ascii="Arial" w:cs="Arial" w:eastAsia="Arial" w:hAnsi="Arial"/>
          <w:sz w:val="17"/>
          <w:szCs w:val="17"/>
          <w:color w:val="auto"/>
        </w:rPr>
        <w:t>” means the Securities Act of 1933, as now in effect or as hereafter amended.</w:t>
      </w:r>
    </w:p>
    <w:p>
      <w:pPr>
        <w:spacing w:after="0" w:line="212" w:lineRule="exact"/>
        <w:rPr>
          <w:sz w:val="20"/>
          <w:szCs w:val="20"/>
          <w:color w:val="auto"/>
        </w:rPr>
      </w:pPr>
    </w:p>
    <w:p>
      <w:pPr>
        <w:jc w:val="both"/>
        <w:ind w:firstLine="441"/>
        <w:spacing w:after="0"/>
        <w:rPr>
          <w:sz w:val="20"/>
          <w:szCs w:val="20"/>
          <w:color w:val="auto"/>
        </w:rPr>
      </w:pPr>
      <w:r>
        <w:rPr>
          <w:rFonts w:ascii="Arial" w:cs="Arial" w:eastAsia="Arial" w:hAnsi="Arial"/>
          <w:sz w:val="18"/>
          <w:szCs w:val="18"/>
          <w:color w:val="auto"/>
        </w:rPr>
        <w:t>2.48  “</w:t>
      </w:r>
      <w:r>
        <w:rPr>
          <w:rFonts w:ascii="Arial" w:cs="Arial" w:eastAsia="Arial" w:hAnsi="Arial"/>
          <w:sz w:val="18"/>
          <w:szCs w:val="18"/>
          <w:b w:val="1"/>
          <w:bCs w:val="1"/>
          <w:u w:val="single" w:color="auto"/>
          <w:color w:val="auto"/>
        </w:rPr>
        <w:t>Service</w:t>
      </w:r>
      <w:r>
        <w:rPr>
          <w:rFonts w:ascii="Arial" w:cs="Arial" w:eastAsia="Arial" w:hAnsi="Arial"/>
          <w:sz w:val="18"/>
          <w:szCs w:val="18"/>
          <w:color w:val="auto"/>
        </w:rPr>
        <w:t>” means (i) such term as defined in an applicable Award Agreement, if the Award Agreement so defines such term, or (ii) if not defined in an applicable Award Agreement, service as a Service Provider to the Company or an Affiliate. Unless otherwise stated in the applicable Award Agreement, a Grantee’s change in position or duties and periods of leave following which a Service Provider is expected to return to service with the Company or an Affiliate shall not result in interrupted or terminated Service, so long as such Grantee continues to be a Service Provider to the Company or an Affiliate. Any periods of garden leave prior to a Service Provider’s termination of service with the Company or an Affiliate shall not be considered periods of “</w:t>
      </w:r>
      <w:r>
        <w:rPr>
          <w:rFonts w:ascii="Arial" w:cs="Arial" w:eastAsia="Arial" w:hAnsi="Arial"/>
          <w:sz w:val="18"/>
          <w:szCs w:val="18"/>
          <w:u w:val="single" w:color="auto"/>
          <w:color w:val="auto"/>
        </w:rPr>
        <w:t>Service</w:t>
      </w:r>
      <w:r>
        <w:rPr>
          <w:rFonts w:ascii="Arial" w:cs="Arial" w:eastAsia="Arial" w:hAnsi="Arial"/>
          <w:sz w:val="18"/>
          <w:szCs w:val="18"/>
          <w:color w:val="auto"/>
        </w:rPr>
        <w:t>” hereunder, unless the Committee determines otherwise. Subject to the preceding, whether a termination of Service shall have occurred for purposes of the Plan shall be determined by the Board or the Committee, which determination shall be final, binding and conclusive.</w:t>
      </w:r>
    </w:p>
    <w:p>
      <w:pPr>
        <w:spacing w:after="0" w:line="180" w:lineRule="exact"/>
        <w:rPr>
          <w:sz w:val="20"/>
          <w:szCs w:val="20"/>
          <w:color w:val="auto"/>
        </w:rPr>
      </w:pPr>
    </w:p>
    <w:p>
      <w:pPr>
        <w:jc w:val="both"/>
        <w:ind w:right="20" w:firstLine="441"/>
        <w:spacing w:after="0" w:line="271" w:lineRule="auto"/>
        <w:rPr>
          <w:sz w:val="20"/>
          <w:szCs w:val="20"/>
          <w:color w:val="auto"/>
        </w:rPr>
      </w:pPr>
      <w:r>
        <w:rPr>
          <w:rFonts w:ascii="Arial" w:cs="Arial" w:eastAsia="Arial" w:hAnsi="Arial"/>
          <w:sz w:val="18"/>
          <w:szCs w:val="18"/>
          <w:color w:val="auto"/>
        </w:rPr>
        <w:t>2.49  “</w:t>
      </w:r>
      <w:r>
        <w:rPr>
          <w:rFonts w:ascii="Arial" w:cs="Arial" w:eastAsia="Arial" w:hAnsi="Arial"/>
          <w:sz w:val="18"/>
          <w:szCs w:val="18"/>
          <w:b w:val="1"/>
          <w:bCs w:val="1"/>
          <w:u w:val="single" w:color="auto"/>
          <w:color w:val="auto"/>
        </w:rPr>
        <w:t>Service Provider</w:t>
      </w:r>
      <w:r>
        <w:rPr>
          <w:rFonts w:ascii="Arial" w:cs="Arial" w:eastAsia="Arial" w:hAnsi="Arial"/>
          <w:sz w:val="18"/>
          <w:szCs w:val="18"/>
          <w:color w:val="auto"/>
        </w:rPr>
        <w:t>” means an employee, officer or director of the Company or an Affiliate, currently providing services to the Company or an Affiliate.</w:t>
      </w:r>
    </w:p>
    <w:p>
      <w:pPr>
        <w:spacing w:after="0" w:line="154"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2.50 </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u w:val="single" w:color="auto"/>
          <w:color w:val="auto"/>
        </w:rPr>
        <w:t>Share Counting</w:t>
      </w:r>
      <w:r>
        <w:rPr>
          <w:rFonts w:ascii="Arial" w:cs="Arial" w:eastAsia="Arial" w:hAnsi="Arial"/>
          <w:sz w:val="17"/>
          <w:szCs w:val="17"/>
          <w:color w:val="auto"/>
        </w:rPr>
        <w:t>” has the meaning set forth in Section 4.4.</w:t>
      </w:r>
    </w:p>
    <w:p>
      <w:pPr>
        <w:spacing w:after="0" w:line="212"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2.51 </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u w:val="single" w:color="auto"/>
          <w:color w:val="auto"/>
        </w:rPr>
        <w:t>Stock</w:t>
      </w:r>
      <w:r>
        <w:rPr>
          <w:rFonts w:ascii="Arial" w:cs="Arial" w:eastAsia="Arial" w:hAnsi="Arial"/>
          <w:sz w:val="17"/>
          <w:szCs w:val="17"/>
          <w:color w:val="auto"/>
        </w:rPr>
        <w:t>” means the common stock, par value $0.001 per share, of the Company.</w:t>
      </w:r>
    </w:p>
    <w:p>
      <w:pPr>
        <w:spacing w:after="0" w:line="212"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2.52 </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u w:val="single" w:color="auto"/>
          <w:color w:val="auto"/>
        </w:rPr>
        <w:t>Stock Appreciation Right</w:t>
      </w:r>
      <w:r>
        <w:rPr>
          <w:rFonts w:ascii="Arial" w:cs="Arial" w:eastAsia="Arial" w:hAnsi="Arial"/>
          <w:sz w:val="17"/>
          <w:szCs w:val="17"/>
          <w:color w:val="auto"/>
        </w:rPr>
        <w:t>” or “</w:t>
      </w:r>
      <w:r>
        <w:rPr>
          <w:rFonts w:ascii="Arial" w:cs="Arial" w:eastAsia="Arial" w:hAnsi="Arial"/>
          <w:sz w:val="17"/>
          <w:szCs w:val="17"/>
          <w:b w:val="1"/>
          <w:bCs w:val="1"/>
          <w:u w:val="single" w:color="auto"/>
          <w:color w:val="auto"/>
        </w:rPr>
        <w:t>SAR</w:t>
      </w:r>
      <w:r>
        <w:rPr>
          <w:rFonts w:ascii="Arial" w:cs="Arial" w:eastAsia="Arial" w:hAnsi="Arial"/>
          <w:sz w:val="17"/>
          <w:szCs w:val="17"/>
          <w:color w:val="auto"/>
        </w:rPr>
        <w:t>” means a right granted to a Grantee under Section 9 hereof.</w:t>
      </w:r>
    </w:p>
    <w:p>
      <w:pPr>
        <w:spacing w:after="0" w:line="212" w:lineRule="exact"/>
        <w:rPr>
          <w:sz w:val="20"/>
          <w:szCs w:val="20"/>
          <w:color w:val="auto"/>
        </w:rPr>
      </w:pPr>
    </w:p>
    <w:p>
      <w:pPr>
        <w:jc w:val="both"/>
        <w:ind w:right="20" w:firstLine="441"/>
        <w:spacing w:after="0" w:line="271" w:lineRule="auto"/>
        <w:rPr>
          <w:sz w:val="20"/>
          <w:szCs w:val="20"/>
          <w:color w:val="auto"/>
        </w:rPr>
      </w:pPr>
      <w:r>
        <w:rPr>
          <w:rFonts w:ascii="Arial" w:cs="Arial" w:eastAsia="Arial" w:hAnsi="Arial"/>
          <w:sz w:val="18"/>
          <w:szCs w:val="18"/>
          <w:color w:val="auto"/>
        </w:rPr>
        <w:t>2.53  “</w:t>
      </w:r>
      <w:r>
        <w:rPr>
          <w:rFonts w:ascii="Arial" w:cs="Arial" w:eastAsia="Arial" w:hAnsi="Arial"/>
          <w:sz w:val="18"/>
          <w:szCs w:val="18"/>
          <w:b w:val="1"/>
          <w:bCs w:val="1"/>
          <w:u w:val="single" w:color="auto"/>
          <w:color w:val="auto"/>
        </w:rPr>
        <w:t>Stock Unit</w:t>
      </w:r>
      <w:r>
        <w:rPr>
          <w:rFonts w:ascii="Arial" w:cs="Arial" w:eastAsia="Arial" w:hAnsi="Arial"/>
          <w:sz w:val="18"/>
          <w:szCs w:val="18"/>
          <w:color w:val="auto"/>
        </w:rPr>
        <w:t>” means a bookkeeping entry representing the equivalent of one share of Stock awarded to a Grantee pursuant to Section 10 hereof.</w:t>
      </w:r>
    </w:p>
    <w:p>
      <w:pPr>
        <w:spacing w:after="0" w:line="154"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2.54 </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u w:val="single" w:color="auto"/>
          <w:color w:val="auto"/>
        </w:rPr>
        <w:t>Subsidiary</w:t>
      </w:r>
      <w:r>
        <w:rPr>
          <w:rFonts w:ascii="Arial" w:cs="Arial" w:eastAsia="Arial" w:hAnsi="Arial"/>
          <w:sz w:val="17"/>
          <w:szCs w:val="17"/>
          <w:color w:val="auto"/>
        </w:rPr>
        <w:t>” means any “subsidiary corporation” of the Company within the meaning of Section 424(f) of the Code.</w:t>
      </w:r>
    </w:p>
    <w:p>
      <w:pPr>
        <w:spacing w:after="0" w:line="212" w:lineRule="exact"/>
        <w:rPr>
          <w:sz w:val="20"/>
          <w:szCs w:val="20"/>
          <w:color w:val="auto"/>
        </w:rPr>
      </w:pPr>
    </w:p>
    <w:p>
      <w:pPr>
        <w:jc w:val="both"/>
        <w:ind w:right="20" w:firstLine="441"/>
        <w:spacing w:after="0" w:line="271" w:lineRule="auto"/>
        <w:rPr>
          <w:sz w:val="20"/>
          <w:szCs w:val="20"/>
          <w:color w:val="auto"/>
        </w:rPr>
      </w:pPr>
      <w:r>
        <w:rPr>
          <w:rFonts w:ascii="Arial" w:cs="Arial" w:eastAsia="Arial" w:hAnsi="Arial"/>
          <w:sz w:val="18"/>
          <w:szCs w:val="18"/>
          <w:color w:val="auto"/>
        </w:rPr>
        <w:t>2.55  “</w:t>
      </w:r>
      <w:r>
        <w:rPr>
          <w:rFonts w:ascii="Arial" w:cs="Arial" w:eastAsia="Arial" w:hAnsi="Arial"/>
          <w:sz w:val="18"/>
          <w:szCs w:val="18"/>
          <w:b w:val="1"/>
          <w:bCs w:val="1"/>
          <w:u w:val="single" w:color="auto"/>
          <w:color w:val="auto"/>
        </w:rPr>
        <w:t>Substitute Award</w:t>
      </w:r>
      <w:r>
        <w:rPr>
          <w:rFonts w:ascii="Arial" w:cs="Arial" w:eastAsia="Arial" w:hAnsi="Arial"/>
          <w:sz w:val="18"/>
          <w:szCs w:val="18"/>
          <w:color w:val="auto"/>
        </w:rPr>
        <w:t>” means an Award granted upon assumption of, or in substitution for, an outstanding award previously granted by a company or other entity acquired by the Company or any Affiliate or with which the Company or any Affiliate combines.</w:t>
      </w:r>
    </w:p>
    <w:p>
      <w:pPr>
        <w:spacing w:after="0" w:line="154" w:lineRule="exact"/>
        <w:rPr>
          <w:sz w:val="20"/>
          <w:szCs w:val="20"/>
          <w:color w:val="auto"/>
        </w:rPr>
      </w:pPr>
    </w:p>
    <w:p>
      <w:pPr>
        <w:jc w:val="both"/>
        <w:ind w:right="20" w:firstLine="441"/>
        <w:spacing w:after="0" w:line="253" w:lineRule="auto"/>
        <w:rPr>
          <w:sz w:val="20"/>
          <w:szCs w:val="20"/>
          <w:color w:val="auto"/>
        </w:rPr>
      </w:pPr>
      <w:r>
        <w:rPr>
          <w:rFonts w:ascii="Arial" w:cs="Arial" w:eastAsia="Arial" w:hAnsi="Arial"/>
          <w:sz w:val="18"/>
          <w:szCs w:val="18"/>
          <w:color w:val="auto"/>
        </w:rPr>
        <w:t>2.56  “</w:t>
      </w:r>
      <w:r>
        <w:rPr>
          <w:rFonts w:ascii="Arial" w:cs="Arial" w:eastAsia="Arial" w:hAnsi="Arial"/>
          <w:sz w:val="18"/>
          <w:szCs w:val="18"/>
          <w:b w:val="1"/>
          <w:bCs w:val="1"/>
          <w:u w:val="single" w:color="auto"/>
          <w:color w:val="auto"/>
        </w:rPr>
        <w:t>Ten Percent Stockholder</w:t>
      </w:r>
      <w:r>
        <w:rPr>
          <w:rFonts w:ascii="Arial" w:cs="Arial" w:eastAsia="Arial" w:hAnsi="Arial"/>
          <w:sz w:val="18"/>
          <w:szCs w:val="18"/>
          <w:color w:val="auto"/>
        </w:rPr>
        <w:t>” means an individual who owns more than ten percent (10%) of the total combined voting power of all classes of outstanding stock of the Company, its parent or any of its Subsidiaries, within the meaning of Section 422(b)(6) of the Code. In determining stock ownership, the attribution rules of Section 424(d) of the Code shall be applied.</w:t>
      </w:r>
    </w:p>
    <w:p>
      <w:pPr>
        <w:spacing w:after="0" w:line="169"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2.57 </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u w:val="single" w:color="auto"/>
          <w:color w:val="auto"/>
        </w:rPr>
        <w:t>Total Available Shares</w:t>
      </w:r>
      <w:r>
        <w:rPr>
          <w:rFonts w:ascii="Arial" w:cs="Arial" w:eastAsia="Arial" w:hAnsi="Arial"/>
          <w:sz w:val="17"/>
          <w:szCs w:val="17"/>
          <w:color w:val="auto"/>
        </w:rPr>
        <w:t>” has the meaning set forth in Section 4.1.</w:t>
      </w:r>
    </w:p>
    <w:p>
      <w:pPr>
        <w:spacing w:after="0" w:line="212"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2.58 </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u w:val="single" w:color="auto"/>
          <w:color w:val="auto"/>
        </w:rPr>
        <w:t>Unrestricted Stock</w:t>
      </w:r>
      <w:r>
        <w:rPr>
          <w:rFonts w:ascii="Arial" w:cs="Arial" w:eastAsia="Arial" w:hAnsi="Arial"/>
          <w:sz w:val="17"/>
          <w:szCs w:val="17"/>
          <w:color w:val="auto"/>
        </w:rPr>
        <w:t>” means one or more shares of Stock, awarded to a Grantee pursuant to Section 11 hereof.</w:t>
      </w:r>
    </w:p>
    <w:p>
      <w:pPr>
        <w:spacing w:after="0" w:line="212"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2.59 </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u w:val="single" w:color="auto"/>
          <w:color w:val="auto"/>
        </w:rPr>
        <w:t>Voting Stock</w:t>
      </w:r>
      <w:r>
        <w:rPr>
          <w:rFonts w:ascii="Arial" w:cs="Arial" w:eastAsia="Arial" w:hAnsi="Arial"/>
          <w:sz w:val="17"/>
          <w:szCs w:val="17"/>
          <w:color w:val="auto"/>
        </w:rPr>
        <w:t>” has the meaning set forth in Section 2.8(1).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-118745</wp:posOffset>
            </wp:positionV>
            <wp:extent cx="762635" cy="38608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62635" cy="38608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699516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688" w:right="4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SECTION 3.  ADMINISTRATION OF THE PLAN</w:t>
      </w:r>
    </w:p>
    <w:p>
      <w:pPr>
        <w:spacing w:after="0" w:line="212" w:lineRule="exact"/>
        <w:rPr>
          <w:sz w:val="20"/>
          <w:szCs w:val="20"/>
          <w:color w:val="auto"/>
        </w:rPr>
      </w:pPr>
    </w:p>
    <w:p>
      <w:pPr>
        <w:jc w:val="both"/>
        <w:ind w:right="20" w:firstLine="441"/>
        <w:spacing w:after="0" w:line="23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b w:val="1"/>
          <w:bCs w:val="1"/>
          <w:u w:val="single" w:color="auto"/>
          <w:color w:val="auto"/>
        </w:rPr>
        <w:t>Board</w:t>
      </w:r>
      <w:r>
        <w:rPr>
          <w:rFonts w:ascii="Arial" w:cs="Arial" w:eastAsia="Arial" w:hAnsi="Arial"/>
          <w:sz w:val="18"/>
          <w:szCs w:val="18"/>
          <w:color w:val="auto"/>
        </w:rPr>
        <w:t>. The Board shall have such powers and authorities related to the administration of the Plan as are consistent with the Company’s certificate of incorporation and by-laws and applicable law. The Board shall have full power and authority to take all actions and to make all determinations required or provided for under the Plan, any Award or any Award Agreement, and shall have full power and authority to take all such other actions and make all such other determinations not inconsistent with the specific terms and provisions of the Plan that the Board deems to be necessary or appropriate to the administration of the Plan, any Award or any Award Agreement. All such actions and determinations shall be by the affirmative vote of a majority of the members of the Board present at a meeting or by unanimous consent of the Board executed in writing in accordance with the Company’s certificate of incorporation and by-laws and applicable law. The interpretation and construction by the Board of any provision of the Plan, any Award or any Award Agreement shall be final, binding and conclusive.</w:t>
      </w:r>
    </w:p>
    <w:p>
      <w:pPr>
        <w:spacing w:after="0" w:line="183" w:lineRule="exact"/>
        <w:rPr>
          <w:sz w:val="20"/>
          <w:szCs w:val="20"/>
          <w:color w:val="auto"/>
        </w:rPr>
      </w:pPr>
    </w:p>
    <w:p>
      <w:pPr>
        <w:jc w:val="both"/>
        <w:ind w:firstLine="441"/>
        <w:spacing w:after="0" w:line="253"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u w:val="single" w:color="auto"/>
          <w:color w:val="auto"/>
        </w:rPr>
        <w:t>Committee</w:t>
      </w:r>
      <w:r>
        <w:rPr>
          <w:rFonts w:ascii="Arial" w:cs="Arial" w:eastAsia="Arial" w:hAnsi="Arial"/>
          <w:sz w:val="18"/>
          <w:szCs w:val="18"/>
          <w:color w:val="auto"/>
        </w:rPr>
        <w:t>. The Board hereby delegates to the Compensation Committee of the Board, which shall be the Committee hereunder until such time as a replacement Committee is so designated by the Board, such powers and authorities related to the administration and implementation of the Plan, as set forth in Section 3.1 above and Section 3.3 below.</w:t>
      </w:r>
    </w:p>
    <w:p>
      <w:pPr>
        <w:spacing w:after="0" w:line="169" w:lineRule="exact"/>
        <w:rPr>
          <w:sz w:val="20"/>
          <w:szCs w:val="20"/>
          <w:color w:val="auto"/>
        </w:rPr>
      </w:pPr>
    </w:p>
    <w:p>
      <w:pPr>
        <w:ind w:left="440" w:right="100" w:firstLine="441"/>
        <w:spacing w:after="0" w:line="244" w:lineRule="auto"/>
        <w:rPr>
          <w:sz w:val="20"/>
          <w:szCs w:val="20"/>
          <w:color w:val="auto"/>
        </w:rPr>
      </w:pPr>
      <w:r>
        <w:rPr>
          <w:rFonts w:ascii="Arial" w:cs="Arial" w:eastAsia="Arial" w:hAnsi="Arial"/>
          <w:sz w:val="18"/>
          <w:szCs w:val="18"/>
          <w:color w:val="auto"/>
        </w:rPr>
        <w:t>(i)  Except as provided in Subsection (ii) and except as the Board may otherwise determine, the Committee, and any successor thereto appointed by the Board to administer the Plan shall consist of two or more Outside Directors of the Company who meet such requirements as may be established from time to time by the Securities and Exchange Commission for plans intended to qualify for exemption under Rule 16b-3 (or its successor) under the Exchange Act, and who comply with the independence requirements of the stock exchange on which the Stock is listed.</w:t>
      </w:r>
    </w:p>
    <w:p>
      <w:pPr>
        <w:spacing w:after="0" w:line="176" w:lineRule="exact"/>
        <w:rPr>
          <w:sz w:val="20"/>
          <w:szCs w:val="20"/>
          <w:color w:val="auto"/>
        </w:rPr>
      </w:pPr>
    </w:p>
    <w:p>
      <w:pPr>
        <w:ind w:left="440" w:right="60" w:firstLine="441"/>
        <w:spacing w:after="0" w:line="244" w:lineRule="auto"/>
        <w:rPr>
          <w:sz w:val="20"/>
          <w:szCs w:val="20"/>
          <w:color w:val="auto"/>
        </w:rPr>
      </w:pPr>
      <w:r>
        <w:rPr>
          <w:rFonts w:ascii="Arial" w:cs="Arial" w:eastAsia="Arial" w:hAnsi="Arial"/>
          <w:sz w:val="18"/>
          <w:szCs w:val="18"/>
          <w:color w:val="auto"/>
        </w:rPr>
        <w:t>(ii)  The Board may also appoint one or more separate committees, each composed of one or more directors of the Company who need not be Outside Directors or one or more officers of the Company who need not be members of the Board, who may, within specified parameters, administer the Plan with respect to employees or other Service Providers who are not officers or directors of the Company, may grant Awards under the Plan to such employees or other Service Providers, and may determine all terms of such Awards.</w:t>
      </w:r>
    </w:p>
    <w:p>
      <w:pPr>
        <w:spacing w:after="0" w:line="176" w:lineRule="exact"/>
        <w:rPr>
          <w:sz w:val="20"/>
          <w:szCs w:val="20"/>
          <w:color w:val="auto"/>
        </w:rPr>
      </w:pPr>
    </w:p>
    <w:p>
      <w:pPr>
        <w:ind w:left="440" w:right="480" w:firstLine="441"/>
        <w:spacing w:after="0" w:line="271" w:lineRule="auto"/>
        <w:rPr>
          <w:sz w:val="20"/>
          <w:szCs w:val="20"/>
          <w:color w:val="auto"/>
        </w:rPr>
      </w:pPr>
      <w:r>
        <w:rPr>
          <w:rFonts w:ascii="Arial" w:cs="Arial" w:eastAsia="Arial" w:hAnsi="Arial"/>
          <w:sz w:val="18"/>
          <w:szCs w:val="18"/>
          <w:color w:val="auto"/>
        </w:rPr>
        <w:t>(iii)  The Committee may delegate to any appropriate officer or employee of the Company or an Affiliate responsibility for performing ministerial and administrative functions under the Plan.</w:t>
      </w:r>
    </w:p>
    <w:p>
      <w:pPr>
        <w:spacing w:after="0" w:line="154" w:lineRule="exact"/>
        <w:rPr>
          <w:sz w:val="20"/>
          <w:szCs w:val="20"/>
          <w:color w:val="auto"/>
        </w:rPr>
      </w:pPr>
    </w:p>
    <w:p>
      <w:pPr>
        <w:ind w:left="440" w:right="120" w:firstLine="441"/>
        <w:spacing w:after="0" w:line="247" w:lineRule="auto"/>
        <w:rPr>
          <w:sz w:val="20"/>
          <w:szCs w:val="20"/>
          <w:color w:val="auto"/>
        </w:rPr>
      </w:pPr>
      <w:r>
        <w:rPr>
          <w:rFonts w:ascii="Arial" w:cs="Arial" w:eastAsia="Arial" w:hAnsi="Arial"/>
          <w:sz w:val="18"/>
          <w:szCs w:val="18"/>
          <w:color w:val="auto"/>
        </w:rPr>
        <w:t>(iv)  In the event that the Committee’s authority is delegated to any officer or employee in accordance with this Section 3.2, any actions undertaken by such person in accordance with the Committee’s delegation of authority shall have the same force and effect as if undertaken directly by the Committee, and any reference in the Plan to the Committee shall, to the extent consistent with the terms and limitations of such delegation, be deemed to include a reference to such officer or employee.</w:t>
      </w:r>
    </w:p>
    <w:p>
      <w:pPr>
        <w:spacing w:after="0" w:line="174" w:lineRule="exact"/>
        <w:rPr>
          <w:sz w:val="20"/>
          <w:szCs w:val="20"/>
          <w:color w:val="auto"/>
        </w:rPr>
      </w:pPr>
    </w:p>
    <w:p>
      <w:pPr>
        <w:jc w:val="both"/>
        <w:ind w:firstLine="441"/>
        <w:spacing w:after="0" w:line="244" w:lineRule="auto"/>
        <w:rPr>
          <w:sz w:val="20"/>
          <w:szCs w:val="20"/>
          <w:color w:val="auto"/>
        </w:rPr>
      </w:pPr>
      <w:r>
        <w:rPr>
          <w:rFonts w:ascii="Arial" w:cs="Arial" w:eastAsia="Arial" w:hAnsi="Arial"/>
          <w:sz w:val="18"/>
          <w:szCs w:val="18"/>
          <w:color w:val="auto"/>
        </w:rPr>
        <w:t>In the event that the Plan, any Award or any Award Agreement entered into hereunder provides for any action to be taken by or determination to be made by the Board, such action may be taken or such determination may be made by the Committee if the power and authority to do so has been delegated to the Committee by the Board as provided for in this Section. Unless otherwise expressly determined by the Board, any such action or determination by the Committee shall be final, binding and conclusive. To the extent permitted by law, the Committee may delegate its authority under the Plan to a member of the Board.</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u w:val="single" w:color="auto"/>
          <w:color w:val="auto"/>
        </w:rPr>
        <w:t>Committee Authority</w:t>
      </w:r>
      <w:r>
        <w:rPr>
          <w:rFonts w:ascii="Arial" w:cs="Arial" w:eastAsia="Arial" w:hAnsi="Arial"/>
          <w:sz w:val="18"/>
          <w:szCs w:val="18"/>
          <w:color w:val="auto"/>
        </w:rPr>
        <w:t>. Subject to the other terms and conditions of the Plan, the Committee shall have full and final authority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194" w:lineRule="exact"/>
        <w:rPr>
          <w:sz w:val="20"/>
          <w:szCs w:val="20"/>
          <w:color w:val="auto"/>
        </w:rPr>
      </w:pPr>
    </w:p>
    <w:p>
      <w:pPr>
        <w:ind w:left="880"/>
        <w:spacing w:after="0"/>
        <w:tabs>
          <w:tab w:leader="none" w:pos="1240" w:val="left"/>
        </w:tabs>
        <w:rPr>
          <w:sz w:val="20"/>
          <w:szCs w:val="20"/>
          <w:color w:val="auto"/>
        </w:rPr>
      </w:pPr>
      <w:r>
        <w:rPr>
          <w:rFonts w:ascii="Arial" w:cs="Arial" w:eastAsia="Arial" w:hAnsi="Arial"/>
          <w:sz w:val="18"/>
          <w:szCs w:val="18"/>
          <w:color w:val="auto"/>
        </w:rPr>
        <w:t xml:space="preserve">(i) </w:t>
      </w:r>
      <w:r>
        <w:rPr>
          <w:sz w:val="20"/>
          <w:szCs w:val="20"/>
          <w:color w:val="auto"/>
        </w:rPr>
        <w:tab/>
      </w:r>
      <w:r>
        <w:rPr>
          <w:rFonts w:ascii="Arial" w:cs="Arial" w:eastAsia="Arial" w:hAnsi="Arial"/>
          <w:sz w:val="17"/>
          <w:szCs w:val="17"/>
          <w:color w:val="auto"/>
        </w:rPr>
        <w:t>designate Grantees;</w:t>
      </w:r>
    </w:p>
    <w:p>
      <w:pPr>
        <w:spacing w:after="0" w:line="212" w:lineRule="exact"/>
        <w:rPr>
          <w:sz w:val="20"/>
          <w:szCs w:val="20"/>
          <w:color w:val="auto"/>
        </w:rPr>
      </w:pPr>
    </w:p>
    <w:p>
      <w:pPr>
        <w:ind w:left="880"/>
        <w:spacing w:after="0"/>
        <w:tabs>
          <w:tab w:leader="none" w:pos="1280" w:val="left"/>
        </w:tabs>
        <w:rPr>
          <w:sz w:val="20"/>
          <w:szCs w:val="20"/>
          <w:color w:val="auto"/>
        </w:rPr>
      </w:pPr>
      <w:r>
        <w:rPr>
          <w:rFonts w:ascii="Arial" w:cs="Arial" w:eastAsia="Arial" w:hAnsi="Arial"/>
          <w:sz w:val="18"/>
          <w:szCs w:val="18"/>
          <w:color w:val="auto"/>
        </w:rPr>
        <w:t xml:space="preserve">(ii) </w:t>
      </w:r>
      <w:r>
        <w:rPr>
          <w:sz w:val="20"/>
          <w:szCs w:val="20"/>
          <w:color w:val="auto"/>
        </w:rPr>
        <w:tab/>
      </w:r>
      <w:r>
        <w:rPr>
          <w:rFonts w:ascii="Arial" w:cs="Arial" w:eastAsia="Arial" w:hAnsi="Arial"/>
          <w:sz w:val="17"/>
          <w:szCs w:val="17"/>
          <w:color w:val="auto"/>
        </w:rPr>
        <w:t>determine the type or types of Awards to be made to a Grantee;</w:t>
      </w:r>
    </w:p>
    <w:p>
      <w:pPr>
        <w:spacing w:after="0" w:line="212" w:lineRule="exact"/>
        <w:rPr>
          <w:sz w:val="20"/>
          <w:szCs w:val="20"/>
          <w:color w:val="auto"/>
        </w:rPr>
      </w:pPr>
    </w:p>
    <w:p>
      <w:pPr>
        <w:ind w:left="880"/>
        <w:spacing w:after="0"/>
        <w:tabs>
          <w:tab w:leader="none" w:pos="1320" w:val="left"/>
        </w:tabs>
        <w:rPr>
          <w:sz w:val="20"/>
          <w:szCs w:val="20"/>
          <w:color w:val="auto"/>
        </w:rPr>
      </w:pPr>
      <w:r>
        <w:rPr>
          <w:rFonts w:ascii="Arial" w:cs="Arial" w:eastAsia="Arial" w:hAnsi="Arial"/>
          <w:sz w:val="18"/>
          <w:szCs w:val="18"/>
          <w:color w:val="auto"/>
        </w:rPr>
        <w:t xml:space="preserve">(iii) </w:t>
      </w:r>
      <w:r>
        <w:rPr>
          <w:sz w:val="20"/>
          <w:szCs w:val="20"/>
          <w:color w:val="auto"/>
        </w:rPr>
        <w:tab/>
      </w:r>
      <w:r>
        <w:rPr>
          <w:rFonts w:ascii="Arial" w:cs="Arial" w:eastAsia="Arial" w:hAnsi="Arial"/>
          <w:sz w:val="17"/>
          <w:szCs w:val="17"/>
          <w:color w:val="auto"/>
        </w:rPr>
        <w:t>determine the number of shares of Stock to be subject to an Award;</w:t>
      </w:r>
    </w:p>
    <w:p>
      <w:pPr>
        <w:spacing w:after="0" w:line="212" w:lineRule="exact"/>
        <w:rPr>
          <w:sz w:val="20"/>
          <w:szCs w:val="20"/>
          <w:color w:val="auto"/>
        </w:rPr>
      </w:pPr>
    </w:p>
    <w:p>
      <w:pPr>
        <w:ind w:left="10740"/>
        <w:spacing w:after="0"/>
        <w:rPr>
          <w:sz w:val="20"/>
          <w:szCs w:val="20"/>
          <w:color w:val="auto"/>
        </w:rPr>
      </w:pPr>
      <w:r>
        <w:rPr>
          <w:rFonts w:ascii="Arial" w:cs="Arial" w:eastAsia="Arial" w:hAnsi="Arial"/>
          <w:sz w:val="18"/>
          <w:szCs w:val="18"/>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6777990</wp:posOffset>
            </wp:positionH>
            <wp:positionV relativeFrom="paragraph">
              <wp:posOffset>-118745</wp:posOffset>
            </wp:positionV>
            <wp:extent cx="17145" cy="38608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7145" cy="386080"/>
                    </a:xfrm>
                    <a:prstGeom prst="rect">
                      <a:avLst/>
                    </a:prstGeom>
                    <a:noFill/>
                  </pic:spPr>
                </pic:pic>
              </a:graphicData>
            </a:graphic>
          </wp:anchor>
        </w:drawing>
        <w:drawing>
          <wp:anchor simplePos="0" relativeHeight="251657728" behindDoc="1" locked="0" layoutInCell="0" allowOverlap="1">
            <wp:simplePos x="0" y="0"/>
            <wp:positionH relativeFrom="column">
              <wp:posOffset>4798060</wp:posOffset>
            </wp:positionH>
            <wp:positionV relativeFrom="paragraph">
              <wp:posOffset>-50165</wp:posOffset>
            </wp:positionV>
            <wp:extent cx="685800" cy="16256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0" cy="162560"/>
                    </a:xfrm>
                    <a:prstGeom prst="rect">
                      <a:avLst/>
                    </a:prstGeom>
                    <a:noFill/>
                  </pic:spPr>
                </pic:pic>
              </a:graphicData>
            </a:graphic>
          </wp:anchor>
        </w:drawing>
      </w:r>
    </w:p>
    <w:p>
      <w:pPr>
        <w:ind w:left="8680"/>
        <w:spacing w:after="0"/>
        <w:rPr>
          <w:sz w:val="20"/>
          <w:szCs w:val="20"/>
          <w:color w:val="auto"/>
        </w:rPr>
      </w:pPr>
      <w:r>
        <w:rPr>
          <w:rFonts w:ascii="Arial" w:cs="Arial" w:eastAsia="Arial" w:hAnsi="Arial"/>
          <w:sz w:val="18"/>
          <w:szCs w:val="18"/>
          <w:color w:val="auto"/>
        </w:rPr>
        <w:t xml:space="preserve">- 2024 Proxy Statement  </w:t>
      </w:r>
      <w:r>
        <w:rPr>
          <w:rFonts w:ascii="Arial" w:cs="Arial" w:eastAsia="Arial" w:hAnsi="Arial"/>
          <w:sz w:val="18"/>
          <w:szCs w:val="18"/>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699516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661" w:right="439" w:bottom="1440" w:gutter="0" w:footer="0" w:header="0"/>
        </w:sectPr>
      </w:pPr>
    </w:p>
    <w:bookmarkStart w:id="88" w:name="page89"/>
    <w:bookmarkEnd w:id="88"/>
    <w:p>
      <w:pPr>
        <w:ind w:left="440" w:right="120" w:firstLine="441"/>
        <w:spacing w:after="0" w:line="247" w:lineRule="auto"/>
        <w:rPr>
          <w:sz w:val="20"/>
          <w:szCs w:val="20"/>
          <w:color w:val="auto"/>
        </w:rPr>
      </w:pPr>
      <w:r>
        <w:rPr>
          <w:rFonts w:ascii="Arial" w:cs="Arial" w:eastAsia="Arial" w:hAnsi="Arial"/>
          <w:sz w:val="18"/>
          <w:szCs w:val="18"/>
          <w:color w:val="auto"/>
        </w:rPr>
        <w:t>(iv)  subject to the Minimum Vesting Requirements, establish the terms, conditions, restrictions and other provisions of each Award (including, but not limited to, the exercise price of any Option, the nature and duration of any restriction or condition (or provision for lapse thereof) relating to the vesting, exercise, transfer, or forfeiture of an Award or the shares of Stock subject thereto, and any terms or conditions that may be necessary to qualify Options as Incentive Stock Options);</w:t>
      </w:r>
    </w:p>
    <w:p>
      <w:pPr>
        <w:spacing w:after="0" w:line="174" w:lineRule="exact"/>
        <w:rPr>
          <w:sz w:val="20"/>
          <w:szCs w:val="20"/>
          <w:color w:val="auto"/>
        </w:rPr>
      </w:pPr>
    </w:p>
    <w:p>
      <w:pPr>
        <w:ind w:left="880"/>
        <w:spacing w:after="0"/>
        <w:tabs>
          <w:tab w:leader="none" w:pos="1300" w:val="left"/>
        </w:tabs>
        <w:rPr>
          <w:sz w:val="20"/>
          <w:szCs w:val="20"/>
          <w:color w:val="auto"/>
        </w:rPr>
      </w:pPr>
      <w:r>
        <w:rPr>
          <w:rFonts w:ascii="Arial" w:cs="Arial" w:eastAsia="Arial" w:hAnsi="Arial"/>
          <w:sz w:val="18"/>
          <w:szCs w:val="18"/>
          <w:color w:val="auto"/>
        </w:rPr>
        <w:t xml:space="preserve">(v) </w:t>
      </w:r>
      <w:r>
        <w:rPr>
          <w:sz w:val="20"/>
          <w:szCs w:val="20"/>
          <w:color w:val="auto"/>
        </w:rPr>
        <w:tab/>
      </w:r>
      <w:r>
        <w:rPr>
          <w:rFonts w:ascii="Arial" w:cs="Arial" w:eastAsia="Arial" w:hAnsi="Arial"/>
          <w:sz w:val="17"/>
          <w:szCs w:val="17"/>
          <w:color w:val="auto"/>
        </w:rPr>
        <w:t>prescribe the form of each Award Agreement evidencing an Award, which need not be identical for each Grantee;</w:t>
      </w:r>
    </w:p>
    <w:p>
      <w:pPr>
        <w:spacing w:after="0" w:line="212" w:lineRule="exact"/>
        <w:rPr>
          <w:sz w:val="20"/>
          <w:szCs w:val="20"/>
          <w:color w:val="auto"/>
        </w:rPr>
      </w:pPr>
    </w:p>
    <w:p>
      <w:pPr>
        <w:ind w:left="880"/>
        <w:spacing w:after="0"/>
        <w:tabs>
          <w:tab w:leader="none" w:pos="1340" w:val="left"/>
        </w:tabs>
        <w:rPr>
          <w:sz w:val="20"/>
          <w:szCs w:val="20"/>
          <w:color w:val="auto"/>
        </w:rPr>
      </w:pPr>
      <w:r>
        <w:rPr>
          <w:rFonts w:ascii="Arial" w:cs="Arial" w:eastAsia="Arial" w:hAnsi="Arial"/>
          <w:sz w:val="18"/>
          <w:szCs w:val="18"/>
          <w:color w:val="auto"/>
        </w:rPr>
        <w:t xml:space="preserve">(vi) </w:t>
      </w:r>
      <w:r>
        <w:rPr>
          <w:sz w:val="20"/>
          <w:szCs w:val="20"/>
          <w:color w:val="auto"/>
        </w:rPr>
        <w:tab/>
      </w:r>
      <w:r>
        <w:rPr>
          <w:rFonts w:ascii="Arial" w:cs="Arial" w:eastAsia="Arial" w:hAnsi="Arial"/>
          <w:sz w:val="17"/>
          <w:szCs w:val="17"/>
          <w:color w:val="auto"/>
        </w:rPr>
        <w:t>Grant Awards;</w:t>
      </w:r>
    </w:p>
    <w:p>
      <w:pPr>
        <w:spacing w:after="0" w:line="212" w:lineRule="exact"/>
        <w:rPr>
          <w:sz w:val="20"/>
          <w:szCs w:val="20"/>
          <w:color w:val="auto"/>
        </w:rPr>
      </w:pPr>
    </w:p>
    <w:p>
      <w:pPr>
        <w:ind w:left="440" w:right="240" w:firstLine="441"/>
        <w:spacing w:after="0" w:line="271" w:lineRule="auto"/>
        <w:rPr>
          <w:sz w:val="20"/>
          <w:szCs w:val="20"/>
          <w:color w:val="auto"/>
        </w:rPr>
      </w:pPr>
      <w:r>
        <w:rPr>
          <w:rFonts w:ascii="Arial" w:cs="Arial" w:eastAsia="Arial" w:hAnsi="Arial"/>
          <w:sz w:val="18"/>
          <w:szCs w:val="18"/>
          <w:color w:val="auto"/>
        </w:rPr>
        <w:t>(vii)  Establish performance conditions and goals for Performance Awards, and verify the level of performance attained with respect to such performance conditions and goals;</w:t>
      </w:r>
    </w:p>
    <w:p>
      <w:pPr>
        <w:spacing w:after="0" w:line="154" w:lineRule="exact"/>
        <w:rPr>
          <w:sz w:val="20"/>
          <w:szCs w:val="20"/>
          <w:color w:val="auto"/>
        </w:rPr>
      </w:pPr>
    </w:p>
    <w:p>
      <w:pPr>
        <w:ind w:left="440" w:right="80" w:firstLine="441"/>
        <w:spacing w:after="0" w:line="271" w:lineRule="auto"/>
        <w:rPr>
          <w:sz w:val="20"/>
          <w:szCs w:val="20"/>
          <w:color w:val="auto"/>
        </w:rPr>
      </w:pPr>
      <w:r>
        <w:rPr>
          <w:rFonts w:ascii="Arial" w:cs="Arial" w:eastAsia="Arial" w:hAnsi="Arial"/>
          <w:sz w:val="18"/>
          <w:szCs w:val="18"/>
          <w:color w:val="auto"/>
        </w:rPr>
        <w:t>(viii)  Adopt sub-plans or supplements to, or alternative versions of, the Plan as the Committee deems necessary or desirable to comply with laws or regulations or to accommodate the tax policy or custom of, foreign jurisdictions.</w:t>
      </w:r>
    </w:p>
    <w:p>
      <w:pPr>
        <w:spacing w:after="0" w:line="154" w:lineRule="exact"/>
        <w:rPr>
          <w:sz w:val="20"/>
          <w:szCs w:val="20"/>
          <w:color w:val="auto"/>
        </w:rPr>
      </w:pPr>
    </w:p>
    <w:p>
      <w:pPr>
        <w:ind w:left="880"/>
        <w:spacing w:after="0"/>
        <w:tabs>
          <w:tab w:leader="none" w:pos="1340" w:val="left"/>
        </w:tabs>
        <w:rPr>
          <w:sz w:val="20"/>
          <w:szCs w:val="20"/>
          <w:color w:val="auto"/>
        </w:rPr>
      </w:pPr>
      <w:r>
        <w:rPr>
          <w:rFonts w:ascii="Arial" w:cs="Arial" w:eastAsia="Arial" w:hAnsi="Arial"/>
          <w:sz w:val="18"/>
          <w:szCs w:val="18"/>
          <w:color w:val="auto"/>
        </w:rPr>
        <w:t xml:space="preserve">(ix) </w:t>
      </w:r>
      <w:r>
        <w:rPr>
          <w:sz w:val="20"/>
          <w:szCs w:val="20"/>
          <w:color w:val="auto"/>
        </w:rPr>
        <w:tab/>
      </w:r>
      <w:r>
        <w:rPr>
          <w:rFonts w:ascii="Arial" w:cs="Arial" w:eastAsia="Arial" w:hAnsi="Arial"/>
          <w:sz w:val="17"/>
          <w:szCs w:val="17"/>
          <w:color w:val="auto"/>
        </w:rPr>
        <w:t>correct any defect, supply any omission or reconcile any inconsistency in this Plan, any Award or any Award Agreement,</w:t>
      </w:r>
    </w:p>
    <w:p>
      <w:pPr>
        <w:spacing w:after="0" w:line="212" w:lineRule="exact"/>
        <w:rPr>
          <w:sz w:val="20"/>
          <w:szCs w:val="20"/>
          <w:color w:val="auto"/>
        </w:rPr>
      </w:pPr>
    </w:p>
    <w:p>
      <w:pPr>
        <w:ind w:left="880"/>
        <w:spacing w:after="0"/>
        <w:tabs>
          <w:tab w:leader="none" w:pos="1300" w:val="left"/>
        </w:tabs>
        <w:rPr>
          <w:sz w:val="20"/>
          <w:szCs w:val="20"/>
          <w:color w:val="auto"/>
        </w:rPr>
      </w:pPr>
      <w:r>
        <w:rPr>
          <w:rFonts w:ascii="Arial" w:cs="Arial" w:eastAsia="Arial" w:hAnsi="Arial"/>
          <w:sz w:val="18"/>
          <w:szCs w:val="18"/>
          <w:color w:val="auto"/>
        </w:rPr>
        <w:t xml:space="preserve">(x) </w:t>
      </w:r>
      <w:r>
        <w:rPr>
          <w:sz w:val="20"/>
          <w:szCs w:val="20"/>
          <w:color w:val="auto"/>
        </w:rPr>
        <w:tab/>
      </w:r>
      <w:r>
        <w:rPr>
          <w:rFonts w:ascii="Arial" w:cs="Arial" w:eastAsia="Arial" w:hAnsi="Arial"/>
          <w:sz w:val="17"/>
          <w:szCs w:val="17"/>
          <w:color w:val="auto"/>
        </w:rPr>
        <w:t>establish, adopt or revise rules, guidelines and policies for the administration of the Plan;</w:t>
      </w:r>
    </w:p>
    <w:p>
      <w:pPr>
        <w:spacing w:after="0" w:line="212" w:lineRule="exact"/>
        <w:rPr>
          <w:sz w:val="20"/>
          <w:szCs w:val="20"/>
          <w:color w:val="auto"/>
        </w:rPr>
      </w:pPr>
    </w:p>
    <w:p>
      <w:pPr>
        <w:ind w:left="440" w:right="180" w:firstLine="441"/>
        <w:spacing w:after="0"/>
        <w:rPr>
          <w:sz w:val="20"/>
          <w:szCs w:val="20"/>
          <w:color w:val="auto"/>
        </w:rPr>
      </w:pPr>
      <w:r>
        <w:rPr>
          <w:rFonts w:ascii="Arial" w:cs="Arial" w:eastAsia="Arial" w:hAnsi="Arial"/>
          <w:sz w:val="18"/>
          <w:szCs w:val="18"/>
          <w:color w:val="auto"/>
        </w:rPr>
        <w:t>(xi)  amend, modify, or supplement the terms of any outstanding Award. Such authority specifically includes the authority, in order to effectuate the purposes of the Plan but without amending the Plan, to modify Awards to eligible individuals who are foreign nationals or are individuals who are employed outside the United States to recognize differences in local law, tax policy, or custom. Notwithstanding the foregoing, no amendment, modification or supplement of any Award shall, without the consent of the Grantee, materially impair the Grantee’s rights under such Award. In addition, notwithstanding anything in the Plan to the contrary, the Committee shall not have the discretion to accelerate the vesting of any outstanding Awards, except that the Committee may accelerate the vesting of Awards in the event of a Grantee’s death or Disability or as provided in Section 17 of the Plan; and</w:t>
      </w:r>
    </w:p>
    <w:p>
      <w:pPr>
        <w:spacing w:after="0" w:line="185" w:lineRule="exact"/>
        <w:rPr>
          <w:sz w:val="20"/>
          <w:szCs w:val="20"/>
          <w:color w:val="auto"/>
        </w:rPr>
      </w:pPr>
    </w:p>
    <w:p>
      <w:pPr>
        <w:ind w:left="440" w:right="240" w:firstLine="441"/>
        <w:spacing w:after="0" w:line="271" w:lineRule="auto"/>
        <w:rPr>
          <w:sz w:val="20"/>
          <w:szCs w:val="20"/>
          <w:color w:val="auto"/>
        </w:rPr>
      </w:pPr>
      <w:r>
        <w:rPr>
          <w:rFonts w:ascii="Arial" w:cs="Arial" w:eastAsia="Arial" w:hAnsi="Arial"/>
          <w:sz w:val="18"/>
          <w:szCs w:val="18"/>
          <w:color w:val="auto"/>
        </w:rPr>
        <w:t>(xii)  make all other decisions and determinations, and take such other actions with respect to the Plan or any Award as the Committee shall deem necessary, appropriate or advisable for the administration of the Plan and any Award.</w:t>
      </w:r>
    </w:p>
    <w:p>
      <w:pPr>
        <w:spacing w:after="0" w:line="154" w:lineRule="exact"/>
        <w:rPr>
          <w:sz w:val="20"/>
          <w:szCs w:val="20"/>
          <w:color w:val="auto"/>
        </w:rPr>
      </w:pPr>
    </w:p>
    <w:p>
      <w:pPr>
        <w:jc w:val="both"/>
        <w:ind w:right="20" w:firstLine="441"/>
        <w:spacing w:after="0"/>
        <w:rPr>
          <w:sz w:val="20"/>
          <w:szCs w:val="20"/>
          <w:color w:val="auto"/>
        </w:rPr>
      </w:pPr>
      <w:r>
        <w:rPr>
          <w:rFonts w:ascii="Arial" w:cs="Arial" w:eastAsia="Arial" w:hAnsi="Arial"/>
          <w:sz w:val="18"/>
          <w:szCs w:val="18"/>
          <w:color w:val="auto"/>
        </w:rPr>
        <w:t>The express grant of any specific power to the Committee, and the taking of any action by the Committee, shall not be construed as limiting any power or authority of the Committee. The Company may retain the right in an Award Agreement to cause a forfeiture of the gain realized by a Grantee on account of actions taken by the Grantee in violation or breach of or in conflict with any employment agreement, non-competition agreement, any agreement prohibiting solicitation of employees or clients of the Company or any Affiliate thereof or any confidentiality obligation with respect to the Company or any Affiliate thereof or otherwise in competition with the Company or any Affiliate thereof, to the extent specified in such Award Agreement applicable to the Grantee. Furthermore, the Company may annul an Award if the Grantee is an employee of the Company or an Affiliate thereof and is terminated for Cause.</w:t>
      </w:r>
    </w:p>
    <w:p>
      <w:pPr>
        <w:spacing w:after="0" w:line="185" w:lineRule="exact"/>
        <w:rPr>
          <w:sz w:val="20"/>
          <w:szCs w:val="20"/>
          <w:color w:val="auto"/>
        </w:rPr>
      </w:pPr>
    </w:p>
    <w:p>
      <w:pPr>
        <w:jc w:val="both"/>
        <w:ind w:right="20" w:firstLine="441"/>
        <w:spacing w:after="0" w:line="24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b w:val="1"/>
          <w:bCs w:val="1"/>
          <w:u w:val="single" w:color="auto"/>
          <w:color w:val="auto"/>
        </w:rPr>
        <w:t>Deferral Arrangement</w:t>
      </w:r>
      <w:r>
        <w:rPr>
          <w:rFonts w:ascii="Arial" w:cs="Arial" w:eastAsia="Arial" w:hAnsi="Arial"/>
          <w:sz w:val="18"/>
          <w:szCs w:val="18"/>
          <w:color w:val="auto"/>
        </w:rPr>
        <w:t>. The Board or the Committee may permit or require the deferral of any Award payment into a deferred compensation arrangement, subject to such rules and procedures as it may establish, which may include provisions for the payment or crediting of interest or dividend equivalents, including converting such credits into deferred Stock equivalents. Any such deferrals shall be made in a manner that complies with Code Section 409A.</w:t>
      </w:r>
    </w:p>
    <w:p>
      <w:pPr>
        <w:spacing w:after="0" w:line="174"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b w:val="1"/>
          <w:bCs w:val="1"/>
          <w:u w:val="single" w:color="auto"/>
          <w:color w:val="auto"/>
        </w:rPr>
        <w:t>No Liability</w:t>
      </w:r>
      <w:r>
        <w:rPr>
          <w:rFonts w:ascii="Arial" w:cs="Arial" w:eastAsia="Arial" w:hAnsi="Arial"/>
          <w:sz w:val="18"/>
          <w:szCs w:val="18"/>
          <w:color w:val="auto"/>
        </w:rPr>
        <w:t>. No member of the Board or of the Committee shall be liable for any action or determination made in good faith with respect to the Plan or any Award or Award Agreement.</w:t>
      </w:r>
    </w:p>
    <w:p>
      <w:pPr>
        <w:spacing w:after="0" w:line="154" w:lineRule="exact"/>
        <w:rPr>
          <w:sz w:val="20"/>
          <w:szCs w:val="20"/>
          <w:color w:val="auto"/>
        </w:rPr>
      </w:pPr>
    </w:p>
    <w:p>
      <w:pPr>
        <w:jc w:val="both"/>
        <w:ind w:right="20" w:firstLine="441"/>
        <w:spacing w:after="0" w:line="271"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b w:val="1"/>
          <w:bCs w:val="1"/>
          <w:u w:val="single" w:color="auto"/>
          <w:color w:val="auto"/>
        </w:rPr>
        <w:t>Share Issuance/Book-Entry</w:t>
      </w:r>
      <w:r>
        <w:rPr>
          <w:rFonts w:ascii="Arial" w:cs="Arial" w:eastAsia="Arial" w:hAnsi="Arial"/>
          <w:sz w:val="18"/>
          <w:szCs w:val="18"/>
          <w:color w:val="auto"/>
        </w:rPr>
        <w:t>. Notwithstanding any provision of this Plan to the contrary, the issuance of shares of Stock under the Plan may be evidenced in such a manner as the Board or Committee, in its discretion, deems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-118745</wp:posOffset>
            </wp:positionV>
            <wp:extent cx="17145" cy="5143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7145" cy="5143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-59055</wp:posOffset>
            </wp:positionV>
            <wp:extent cx="685800" cy="16319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0" cy="163195"/>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699516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688" w:right="439" w:bottom="1440" w:gutter="0" w:footer="0" w:header="0"/>
        </w:sectPr>
      </w:pPr>
    </w:p>
    <w:bookmarkStart w:id="89" w:name="page90"/>
    <w:bookmarkEnd w:id="89"/>
    <w:p>
      <w:pPr>
        <w:jc w:val="both"/>
        <w:ind w:right="20"/>
        <w:spacing w:after="0" w:line="253" w:lineRule="auto"/>
        <w:rPr>
          <w:sz w:val="20"/>
          <w:szCs w:val="20"/>
          <w:color w:val="auto"/>
        </w:rPr>
      </w:pPr>
      <w:r>
        <w:rPr>
          <w:rFonts w:ascii="Arial" w:cs="Arial" w:eastAsia="Arial" w:hAnsi="Arial"/>
          <w:sz w:val="18"/>
          <w:szCs w:val="18"/>
          <w:color w:val="auto"/>
        </w:rPr>
        <w:t>appropriate, including, without limitation, book-entry registration on a non-certificated basis or issuance of one or more Stock certificates, subject to applicable law and the rules of the applicable stock exchange. Any reference to the issuance of Stock certificates to a Grantee shall be deemed to include any such issuance of the Stock.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STOCK SUBJECT TO THE PLAN</w:t>
      </w:r>
    </w:p>
    <w:p>
      <w:pPr>
        <w:spacing w:after="0" w:line="212" w:lineRule="exact"/>
        <w:rPr>
          <w:sz w:val="20"/>
          <w:szCs w:val="20"/>
          <w:color w:val="auto"/>
        </w:rPr>
      </w:pPr>
    </w:p>
    <w:p>
      <w:pPr>
        <w:jc w:val="both"/>
        <w:ind w:firstLine="441"/>
        <w:spacing w:after="0" w:line="24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u w:val="single" w:color="auto"/>
          <w:color w:val="auto"/>
        </w:rPr>
        <w:t>Number of Shares</w:t>
      </w:r>
      <w:r>
        <w:rPr>
          <w:rFonts w:ascii="Arial" w:cs="Arial" w:eastAsia="Arial" w:hAnsi="Arial"/>
          <w:sz w:val="18"/>
          <w:szCs w:val="18"/>
          <w:color w:val="auto"/>
        </w:rPr>
        <w:t>. Subject to the Share Counting rules set forth in Section 4.4 and to adjustment as provided in Section 17, the aggregate number of shares of Stock reserved and available for issuance pursuant to Awards granted under the Plan shall be 4,430,000 shares, which number may be increased by the number of shares available for issuance under a stockholder-approved plan of a business entity that is a party to an acquisition, merger or other transaction in which the Company or an Affiliate acquires the business entity (as appropriately adjusted, if necessary, to reflect such transaction) (“</w:t>
      </w:r>
      <w:r>
        <w:rPr>
          <w:rFonts w:ascii="Arial" w:cs="Arial" w:eastAsia="Arial" w:hAnsi="Arial"/>
          <w:sz w:val="18"/>
          <w:szCs w:val="18"/>
          <w:u w:val="single" w:color="auto"/>
          <w:color w:val="auto"/>
        </w:rPr>
        <w:t>Total Available Shares</w:t>
      </w:r>
      <w:r>
        <w:rPr>
          <w:rFonts w:ascii="Arial" w:cs="Arial" w:eastAsia="Arial" w:hAnsi="Arial"/>
          <w:sz w:val="18"/>
          <w:szCs w:val="18"/>
          <w:color w:val="auto"/>
        </w:rPr>
        <w:t>”).</w:t>
      </w:r>
    </w:p>
    <w:p>
      <w:pPr>
        <w:spacing w:after="0" w:line="176" w:lineRule="exact"/>
        <w:rPr>
          <w:sz w:val="20"/>
          <w:szCs w:val="20"/>
          <w:color w:val="auto"/>
        </w:rPr>
      </w:pPr>
    </w:p>
    <w:p>
      <w:pPr>
        <w:jc w:val="both"/>
        <w:ind w:right="20" w:firstLine="441"/>
        <w:spacing w:after="0" w:line="271"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u w:val="single" w:color="auto"/>
          <w:color w:val="auto"/>
        </w:rPr>
        <w:t>Incentive Stock Options</w:t>
      </w:r>
      <w:r>
        <w:rPr>
          <w:rFonts w:ascii="Arial" w:cs="Arial" w:eastAsia="Arial" w:hAnsi="Arial"/>
          <w:sz w:val="18"/>
          <w:szCs w:val="18"/>
          <w:color w:val="auto"/>
        </w:rPr>
        <w:t>. The maximum number of shares of Stock that may be issued upon exercise of Incentive Stock Options granted under the Plan shall be 4,430,000 shares, subject to adjustment as provided in Section 17.</w:t>
      </w:r>
    </w:p>
    <w:p>
      <w:pPr>
        <w:spacing w:after="0" w:line="154" w:lineRule="exact"/>
        <w:rPr>
          <w:sz w:val="20"/>
          <w:szCs w:val="20"/>
          <w:color w:val="auto"/>
        </w:rPr>
      </w:pPr>
    </w:p>
    <w:p>
      <w:pPr>
        <w:jc w:val="both"/>
        <w:ind w:firstLine="441"/>
        <w:spacing w:after="0" w:line="253"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u w:val="single" w:color="auto"/>
          <w:color w:val="auto"/>
        </w:rPr>
        <w:t>Prior Plan</w:t>
      </w:r>
      <w:r>
        <w:rPr>
          <w:rFonts w:ascii="Arial" w:cs="Arial" w:eastAsia="Arial" w:hAnsi="Arial"/>
          <w:sz w:val="18"/>
          <w:szCs w:val="18"/>
          <w:color w:val="auto"/>
        </w:rPr>
        <w:t>. On or after the Effective Date, no further awards shall be granted under the Prior Plan, it being understood that awards granted under the Prior Plan as of the Effective Date shall remain in full force and effect under the Prior Plan according to their respective terms.</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b w:val="1"/>
          <w:bCs w:val="1"/>
          <w:u w:val="single" w:color="auto"/>
          <w:color w:val="auto"/>
        </w:rPr>
        <w:t>Share Counting</w:t>
      </w:r>
      <w:r>
        <w:rPr>
          <w:rFonts w:ascii="Arial" w:cs="Arial" w:eastAsia="Arial" w:hAnsi="Arial"/>
          <w:sz w:val="18"/>
          <w:szCs w:val="18"/>
          <w:color w:val="auto"/>
        </w:rPr>
        <w:t>.</w:t>
      </w:r>
    </w:p>
    <w:p>
      <w:pPr>
        <w:spacing w:after="0" w:line="212" w:lineRule="exact"/>
        <w:rPr>
          <w:sz w:val="20"/>
          <w:szCs w:val="20"/>
          <w:color w:val="auto"/>
        </w:rPr>
      </w:pPr>
    </w:p>
    <w:p>
      <w:pPr>
        <w:ind w:left="440" w:right="440" w:firstLine="441"/>
        <w:spacing w:after="0" w:line="271" w:lineRule="auto"/>
        <w:rPr>
          <w:sz w:val="20"/>
          <w:szCs w:val="20"/>
          <w:color w:val="auto"/>
        </w:rPr>
      </w:pPr>
      <w:r>
        <w:rPr>
          <w:rFonts w:ascii="Arial" w:cs="Arial" w:eastAsia="Arial" w:hAnsi="Arial"/>
          <w:sz w:val="18"/>
          <w:szCs w:val="18"/>
          <w:color w:val="auto"/>
        </w:rPr>
        <w:t>(i)  The number of shares of Stock covered by an Award, or to which an Award relates, shall be subtracted from the Total Available Shares reserve as of the Grant Date.</w:t>
      </w:r>
    </w:p>
    <w:p>
      <w:pPr>
        <w:spacing w:after="0" w:line="154" w:lineRule="exact"/>
        <w:rPr>
          <w:sz w:val="20"/>
          <w:szCs w:val="20"/>
          <w:color w:val="auto"/>
        </w:rPr>
      </w:pPr>
    </w:p>
    <w:p>
      <w:pPr>
        <w:ind w:left="440" w:right="240" w:firstLine="441"/>
        <w:spacing w:after="0" w:line="253" w:lineRule="auto"/>
        <w:rPr>
          <w:sz w:val="20"/>
          <w:szCs w:val="20"/>
          <w:color w:val="auto"/>
        </w:rPr>
      </w:pPr>
      <w:r>
        <w:rPr>
          <w:rFonts w:ascii="Arial" w:cs="Arial" w:eastAsia="Arial" w:hAnsi="Arial"/>
          <w:sz w:val="18"/>
          <w:szCs w:val="18"/>
          <w:color w:val="auto"/>
        </w:rPr>
        <w:t>(ii)  To the extent an Award is canceled, terminates, expires, is forfeited or lapses for any reason (in whole or in part), any unissued or forfeited shares of Stock subject to the Award shall be added back to the Total Available Shares reserve and available again for issuance pursuant to Awards granted under the Plan.</w:t>
      </w:r>
    </w:p>
    <w:p>
      <w:pPr>
        <w:spacing w:after="0" w:line="169" w:lineRule="exact"/>
        <w:rPr>
          <w:sz w:val="20"/>
          <w:szCs w:val="20"/>
          <w:color w:val="auto"/>
        </w:rPr>
      </w:pPr>
    </w:p>
    <w:p>
      <w:pPr>
        <w:ind w:left="440" w:right="300" w:firstLine="441"/>
        <w:spacing w:after="0" w:line="271" w:lineRule="auto"/>
        <w:rPr>
          <w:sz w:val="20"/>
          <w:szCs w:val="20"/>
          <w:color w:val="auto"/>
        </w:rPr>
      </w:pPr>
      <w:r>
        <w:rPr>
          <w:rFonts w:ascii="Arial" w:cs="Arial" w:eastAsia="Arial" w:hAnsi="Arial"/>
          <w:sz w:val="18"/>
          <w:szCs w:val="18"/>
          <w:color w:val="auto"/>
        </w:rPr>
        <w:t>(iii)  Any shares of Stock related to Awards that are settled in cash or other consideration in lieu of shares of Stock shall be added back to the Total Available Shares reserve and available again for issuance pursuant to Awards granted under the Plan.</w:t>
      </w:r>
    </w:p>
    <w:p>
      <w:pPr>
        <w:spacing w:after="0" w:line="154" w:lineRule="exact"/>
        <w:rPr>
          <w:sz w:val="20"/>
          <w:szCs w:val="20"/>
          <w:color w:val="auto"/>
        </w:rPr>
      </w:pPr>
    </w:p>
    <w:p>
      <w:pPr>
        <w:ind w:left="440" w:right="120" w:firstLine="441"/>
        <w:spacing w:after="0"/>
        <w:rPr>
          <w:sz w:val="20"/>
          <w:szCs w:val="20"/>
          <w:color w:val="auto"/>
        </w:rPr>
      </w:pPr>
      <w:r>
        <w:rPr>
          <w:rFonts w:ascii="Arial" w:cs="Arial" w:eastAsia="Arial" w:hAnsi="Arial"/>
          <w:sz w:val="18"/>
          <w:szCs w:val="18"/>
          <w:color w:val="auto"/>
        </w:rPr>
        <w:t>(iv)  Shares of Stock withheld or deducted from an Award by the Company to satisfy tax withholding requirements relating to Options or Stock Appreciation Rights shall not be added back to the Total Available Shares reserve and shall not again be available for issuance pursuant to Awards granted under the Plan, but shares of Stock withheld or deducted by the Company to satisfy tax withholding requirements relating to Full Value Awards shall be added back to the Total Available Shares reserve and available again for issuance pursuant to Awards granted under the Plan. Shares of Stock delivered by a Grantee to the Company to satisfy tax withholding requirements shall be treated in the same way as shares of Stock withheld or deducted from an Award as specified above for purposes of Share Counting under this Section 4.4.</w:t>
      </w:r>
    </w:p>
    <w:p>
      <w:pPr>
        <w:spacing w:after="0" w:line="185" w:lineRule="exact"/>
        <w:rPr>
          <w:sz w:val="20"/>
          <w:szCs w:val="20"/>
          <w:color w:val="auto"/>
        </w:rPr>
      </w:pPr>
    </w:p>
    <w:p>
      <w:pPr>
        <w:ind w:left="440" w:right="20" w:firstLine="441"/>
        <w:spacing w:after="0" w:line="247" w:lineRule="auto"/>
        <w:rPr>
          <w:sz w:val="20"/>
          <w:szCs w:val="20"/>
          <w:color w:val="auto"/>
        </w:rPr>
      </w:pPr>
      <w:r>
        <w:rPr>
          <w:rFonts w:ascii="Arial" w:cs="Arial" w:eastAsia="Arial" w:hAnsi="Arial"/>
          <w:sz w:val="18"/>
          <w:szCs w:val="18"/>
          <w:color w:val="auto"/>
        </w:rPr>
        <w:t>(v)  If the full number of shares of Stock subject to an Option or a Stock-settled Stock Appreciation Right is not issued upon exercise of such Option or Stock Appreciation Right for any reason, including by reason of a net settlement or Net Exercise, all such shares of Stock that were covered by the exercised Option or SAR shall not be added back to the Total Available Shares reserve and shall not again be available for issuance pursuant to Awards granted under the Plan.</w:t>
      </w:r>
    </w:p>
    <w:p>
      <w:pPr>
        <w:spacing w:after="0" w:line="174" w:lineRule="exact"/>
        <w:rPr>
          <w:sz w:val="20"/>
          <w:szCs w:val="20"/>
          <w:color w:val="auto"/>
        </w:rPr>
      </w:pPr>
    </w:p>
    <w:p>
      <w:pPr>
        <w:jc w:val="both"/>
        <w:ind w:left="440" w:right="140" w:firstLine="441"/>
        <w:spacing w:after="0" w:line="253" w:lineRule="auto"/>
        <w:rPr>
          <w:sz w:val="20"/>
          <w:szCs w:val="20"/>
          <w:color w:val="auto"/>
        </w:rPr>
      </w:pPr>
      <w:r>
        <w:rPr>
          <w:rFonts w:ascii="Arial" w:cs="Arial" w:eastAsia="Arial" w:hAnsi="Arial"/>
          <w:sz w:val="18"/>
          <w:szCs w:val="18"/>
          <w:color w:val="auto"/>
        </w:rPr>
        <w:t>(vi)  If the Exercise Price of an Option is satisfied by the Grantee delivering shares of Stock to the Company (by either actual delivery or attestation), such shares of Stock shall not be added to the Total Available Shares reserve and shall not be available for issuance pursuant to Awards granted under the Plan.</w:t>
      </w:r>
    </w:p>
    <w:p>
      <w:pPr>
        <w:spacing w:after="0" w:line="169" w:lineRule="exact"/>
        <w:rPr>
          <w:sz w:val="20"/>
          <w:szCs w:val="20"/>
          <w:color w:val="auto"/>
        </w:rPr>
      </w:pPr>
    </w:p>
    <w:p>
      <w:pPr>
        <w:ind w:left="440" w:right="380" w:firstLine="441"/>
        <w:spacing w:after="0" w:line="247" w:lineRule="auto"/>
        <w:rPr>
          <w:sz w:val="20"/>
          <w:szCs w:val="20"/>
          <w:color w:val="auto"/>
        </w:rPr>
      </w:pPr>
      <w:r>
        <w:rPr>
          <w:rFonts w:ascii="Arial" w:cs="Arial" w:eastAsia="Arial" w:hAnsi="Arial"/>
          <w:sz w:val="18"/>
          <w:szCs w:val="18"/>
          <w:color w:val="auto"/>
        </w:rPr>
        <w:t>(vii)  To the extent that the full number of shares of Stock subject to a Performance Award (other than an Option or Stock Appreciation Right) is not issued by reason of failure to achieve maximum performance goals, the number of shares of Stock not issued shall be added back to the Total Available Shares reserve and shall be available again for issuance pursuant to Awards granted under the Plan.</w:t>
      </w:r>
    </w:p>
    <w:p>
      <w:pPr>
        <w:spacing w:after="0" w:line="174" w:lineRule="exact"/>
        <w:rPr>
          <w:sz w:val="20"/>
          <w:szCs w:val="20"/>
          <w:color w:val="auto"/>
        </w:rPr>
      </w:pPr>
    </w:p>
    <w:p>
      <w:pPr>
        <w:jc w:val="right"/>
        <w:ind w:right="80"/>
        <w:spacing w:after="0"/>
        <w:rPr>
          <w:sz w:val="20"/>
          <w:szCs w:val="20"/>
          <w:color w:val="auto"/>
        </w:rPr>
      </w:pPr>
      <w:r>
        <w:rPr>
          <w:rFonts w:ascii="Arial" w:cs="Arial" w:eastAsia="Arial" w:hAnsi="Arial"/>
          <w:sz w:val="18"/>
          <w:szCs w:val="18"/>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6777990</wp:posOffset>
            </wp:positionH>
            <wp:positionV relativeFrom="paragraph">
              <wp:posOffset>-118745</wp:posOffset>
            </wp:positionV>
            <wp:extent cx="17145" cy="3854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7145" cy="385445"/>
                    </a:xfrm>
                    <a:prstGeom prst="rect">
                      <a:avLst/>
                    </a:prstGeom>
                    <a:noFill/>
                  </pic:spPr>
                </pic:pic>
              </a:graphicData>
            </a:graphic>
          </wp:anchor>
        </w:drawing>
        <w:drawing>
          <wp:anchor simplePos="0" relativeHeight="251657728" behindDoc="1" locked="0" layoutInCell="0" allowOverlap="1">
            <wp:simplePos x="0" y="0"/>
            <wp:positionH relativeFrom="column">
              <wp:posOffset>4798060</wp:posOffset>
            </wp:positionH>
            <wp:positionV relativeFrom="paragraph">
              <wp:posOffset>-50165</wp:posOffset>
            </wp:positionV>
            <wp:extent cx="685800" cy="16319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0" cy="163195"/>
                    </a:xfrm>
                    <a:prstGeom prst="rect">
                      <a:avLst/>
                    </a:prstGeom>
                    <a:noFill/>
                  </pic:spPr>
                </pic:pic>
              </a:graphicData>
            </a:graphic>
          </wp:anchor>
        </w:drawing>
      </w:r>
    </w:p>
    <w:p>
      <w:pPr>
        <w:jc w:val="right"/>
        <w:ind w:right="120"/>
        <w:spacing w:after="0"/>
        <w:rPr>
          <w:sz w:val="20"/>
          <w:szCs w:val="20"/>
          <w:color w:val="auto"/>
        </w:rPr>
      </w:pPr>
      <w:r>
        <w:rPr>
          <w:rFonts w:ascii="Arial" w:cs="Arial" w:eastAsia="Arial" w:hAnsi="Arial"/>
          <w:sz w:val="18"/>
          <w:szCs w:val="18"/>
          <w:color w:val="auto"/>
        </w:rPr>
        <w:t xml:space="preserve">- 2024 Proxy Statement  </w:t>
      </w:r>
      <w:r>
        <w:rPr>
          <w:rFonts w:ascii="Arial" w:cs="Arial" w:eastAsia="Arial" w:hAnsi="Arial"/>
          <w:sz w:val="18"/>
          <w:szCs w:val="18"/>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699516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661" w:right="439" w:bottom="1440" w:gutter="0" w:footer="0" w:header="0"/>
        </w:sectPr>
      </w:pPr>
    </w:p>
    <w:bookmarkStart w:id="90" w:name="page91"/>
    <w:bookmarkEnd w:id="90"/>
    <w:p>
      <w:pPr>
        <w:ind w:left="440" w:right="440" w:firstLine="441"/>
        <w:spacing w:after="0" w:line="271" w:lineRule="auto"/>
        <w:rPr>
          <w:sz w:val="20"/>
          <w:szCs w:val="20"/>
          <w:color w:val="auto"/>
        </w:rPr>
      </w:pPr>
      <w:r>
        <w:rPr>
          <w:rFonts w:ascii="Arial" w:cs="Arial" w:eastAsia="Arial" w:hAnsi="Arial"/>
          <w:sz w:val="18"/>
          <w:szCs w:val="18"/>
          <w:color w:val="auto"/>
        </w:rPr>
        <w:t>(viii)  Shares of Stock repurchased on the open market with the proceeds of an Option exercise shall not be added to the Total Available Shares reserve and shall not be available for issuance pursuant to Awards granted under the Plan.</w:t>
      </w:r>
    </w:p>
    <w:p>
      <w:pPr>
        <w:spacing w:after="0" w:line="154" w:lineRule="exact"/>
        <w:rPr>
          <w:sz w:val="20"/>
          <w:szCs w:val="20"/>
          <w:color w:val="auto"/>
        </w:rPr>
      </w:pPr>
    </w:p>
    <w:p>
      <w:pPr>
        <w:ind w:left="440" w:right="420" w:firstLine="441"/>
        <w:spacing w:after="0" w:line="271" w:lineRule="auto"/>
        <w:rPr>
          <w:sz w:val="20"/>
          <w:szCs w:val="20"/>
          <w:color w:val="auto"/>
        </w:rPr>
      </w:pPr>
      <w:r>
        <w:rPr>
          <w:rFonts w:ascii="Arial" w:cs="Arial" w:eastAsia="Arial" w:hAnsi="Arial"/>
          <w:sz w:val="18"/>
          <w:szCs w:val="18"/>
          <w:color w:val="auto"/>
        </w:rPr>
        <w:t>(ix)  Any Dividend Equivalent denominated in shares of Stock shall be counted against the Total Available Shares in such amount and at such time as the Dividend Equivalent first constitutes a commitment to issue shares of Stock.</w:t>
      </w:r>
    </w:p>
    <w:p>
      <w:pPr>
        <w:spacing w:after="0" w:line="154" w:lineRule="exact"/>
        <w:rPr>
          <w:sz w:val="20"/>
          <w:szCs w:val="20"/>
          <w:color w:val="auto"/>
        </w:rPr>
      </w:pPr>
    </w:p>
    <w:p>
      <w:pPr>
        <w:ind w:left="880"/>
        <w:spacing w:after="0"/>
        <w:tabs>
          <w:tab w:leader="none" w:pos="1300" w:val="left"/>
        </w:tabs>
        <w:rPr>
          <w:sz w:val="20"/>
          <w:szCs w:val="20"/>
          <w:color w:val="auto"/>
        </w:rPr>
      </w:pPr>
      <w:r>
        <w:rPr>
          <w:rFonts w:ascii="Arial" w:cs="Arial" w:eastAsia="Arial" w:hAnsi="Arial"/>
          <w:sz w:val="18"/>
          <w:szCs w:val="18"/>
          <w:color w:val="auto"/>
        </w:rPr>
        <w:t xml:space="preserve">(x) </w:t>
      </w:r>
      <w:r>
        <w:rPr>
          <w:sz w:val="20"/>
          <w:szCs w:val="20"/>
          <w:color w:val="auto"/>
        </w:rPr>
        <w:tab/>
      </w:r>
      <w:r>
        <w:rPr>
          <w:rFonts w:ascii="Arial" w:cs="Arial" w:eastAsia="Arial" w:hAnsi="Arial"/>
          <w:sz w:val="17"/>
          <w:szCs w:val="17"/>
          <w:color w:val="auto"/>
        </w:rPr>
        <w:t>Substitute Awards granted shall not count against the Total Available Shares reserve.</w:t>
      </w:r>
    </w:p>
    <w:p>
      <w:pPr>
        <w:spacing w:after="0" w:line="212"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b w:val="1"/>
          <w:bCs w:val="1"/>
          <w:u w:val="single" w:color="auto"/>
          <w:color w:val="auto"/>
        </w:rPr>
        <w:t>Source of Shares of Stock</w:t>
      </w:r>
      <w:r>
        <w:rPr>
          <w:rFonts w:ascii="Arial" w:cs="Arial" w:eastAsia="Arial" w:hAnsi="Arial"/>
          <w:sz w:val="18"/>
          <w:szCs w:val="18"/>
          <w:color w:val="auto"/>
        </w:rPr>
        <w:t>. Shares of Stock issued under the Plan may consist, in whole or in part, of authorized but unissued shares or treasury shares of Stock.</w:t>
      </w:r>
    </w:p>
    <w:p>
      <w:pPr>
        <w:spacing w:after="0" w:line="154" w:lineRule="exact"/>
        <w:rPr>
          <w:sz w:val="20"/>
          <w:szCs w:val="20"/>
          <w:color w:val="auto"/>
        </w:rPr>
      </w:pPr>
    </w:p>
    <w:p>
      <w:pPr>
        <w:jc w:val="both"/>
        <w:ind w:right="20" w:firstLine="441"/>
        <w:spacing w:after="0" w:line="253"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b w:val="1"/>
          <w:bCs w:val="1"/>
          <w:u w:val="single" w:color="auto"/>
          <w:color w:val="auto"/>
        </w:rPr>
        <w:t>Fractional Shares of Stock</w:t>
      </w:r>
      <w:r>
        <w:rPr>
          <w:rFonts w:ascii="Arial" w:cs="Arial" w:eastAsia="Arial" w:hAnsi="Arial"/>
          <w:sz w:val="18"/>
          <w:szCs w:val="18"/>
          <w:color w:val="auto"/>
        </w:rPr>
        <w:t>. No fractional shares of Stock shall be issued under or pursuant to the Plan or any Award and the Committee shall determine, in its sole discretion, whether cash shall be given in lieu of fractional shares of Stock or whether such fractional shares of Stock shall be eliminated by rounding down.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EFFECTIVE DATE, DURATION AND AMENDMENTS</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 The Plan shall be effective on the Effective Date.</w:t>
      </w:r>
    </w:p>
    <w:p>
      <w:pPr>
        <w:spacing w:after="0" w:line="212" w:lineRule="exact"/>
        <w:rPr>
          <w:sz w:val="20"/>
          <w:szCs w:val="20"/>
          <w:color w:val="auto"/>
        </w:rPr>
      </w:pPr>
    </w:p>
    <w:p>
      <w:pPr>
        <w:jc w:val="both"/>
        <w:ind w:right="20" w:firstLine="441"/>
        <w:spacing w:after="0" w:line="253"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The Plan shall terminate automatically on the ten (10) year anniversary of the Effective Date set forth in Section 5.1 and may be terminated on any earlier date as provided in Section 5.3. Any Awards of Incentive Stock Options shall be granted within the time periods provided in Section 8.3. No termination of the Plan shall have any effect on any Awards then outstanding under the Plan.</w:t>
      </w:r>
    </w:p>
    <w:p>
      <w:pPr>
        <w:spacing w:after="0" w:line="169" w:lineRule="exact"/>
        <w:rPr>
          <w:sz w:val="20"/>
          <w:szCs w:val="20"/>
          <w:color w:val="auto"/>
        </w:rPr>
      </w:pPr>
    </w:p>
    <w:p>
      <w:pPr>
        <w:jc w:val="both"/>
        <w:ind w:firstLine="441"/>
        <w:spacing w:after="0" w:line="24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u w:val="single" w:color="auto"/>
          <w:color w:val="auto"/>
        </w:rPr>
        <w:t>Amendment and Termination of the Plan</w:t>
      </w:r>
      <w:r>
        <w:rPr>
          <w:rFonts w:ascii="Arial" w:cs="Arial" w:eastAsia="Arial" w:hAnsi="Arial"/>
          <w:sz w:val="18"/>
          <w:szCs w:val="18"/>
          <w:color w:val="auto"/>
        </w:rPr>
        <w:t>. The Board may, at any time and from time to time, amend, suspend, or terminate the Plan as to any shares of Stock as to which Awards have not been made. An amendment shall be contingent on approval of the Company’s stockholders to the extent stated by the Board, required by applicable law or required by applicable stock exchange listing requirements. No Awards shall be made after termination of the Plan. No amendment, suspension, or termination of the Plan shall, without the consent of the Grantee, materially impair rights or obligations under any Award theretofore awarded under the Plan.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AWARD ELIGIBILITY AND LIMITATIONS</w:t>
      </w:r>
    </w:p>
    <w:p>
      <w:pPr>
        <w:spacing w:after="0" w:line="212" w:lineRule="exact"/>
        <w:rPr>
          <w:sz w:val="20"/>
          <w:szCs w:val="20"/>
          <w:color w:val="auto"/>
        </w:rPr>
      </w:pPr>
    </w:p>
    <w:p>
      <w:pPr>
        <w:jc w:val="both"/>
        <w:ind w:firstLine="441"/>
        <w:spacing w:after="0" w:line="253"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b w:val="1"/>
          <w:bCs w:val="1"/>
          <w:u w:val="single" w:color="auto"/>
          <w:color w:val="auto"/>
        </w:rPr>
        <w:t>Service Providers</w:t>
      </w:r>
      <w:r>
        <w:rPr>
          <w:rFonts w:ascii="Arial" w:cs="Arial" w:eastAsia="Arial" w:hAnsi="Arial"/>
          <w:sz w:val="18"/>
          <w:szCs w:val="18"/>
          <w:color w:val="auto"/>
        </w:rPr>
        <w:t>. Subject to this Section 6, Awards may be made under the Plan to any Service Provider to the Company or of any Affiliate, including any Service Provider who is an officer or director of the Company or of any Affiliate, as the Board or the Committee shall determine and designate from time to time.</w:t>
      </w:r>
    </w:p>
    <w:p>
      <w:pPr>
        <w:spacing w:after="0" w:line="169" w:lineRule="exact"/>
        <w:rPr>
          <w:sz w:val="20"/>
          <w:szCs w:val="20"/>
          <w:color w:val="auto"/>
        </w:rPr>
      </w:pPr>
    </w:p>
    <w:p>
      <w:pPr>
        <w:jc w:val="both"/>
        <w:ind w:firstLine="441"/>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u w:val="single" w:color="auto"/>
          <w:color w:val="auto"/>
        </w:rPr>
        <w:t>Successive Awards and Substitute Awards</w:t>
      </w:r>
      <w:r>
        <w:rPr>
          <w:rFonts w:ascii="Arial" w:cs="Arial" w:eastAsia="Arial" w:hAnsi="Arial"/>
          <w:sz w:val="18"/>
          <w:szCs w:val="18"/>
          <w:color w:val="auto"/>
        </w:rPr>
        <w:t>. An eligible person may receive more than one Award, subject to such restrictions as are provided herein. Notwithstanding Sections 8.1 and 9.1, the Option Price of an Option or the grant price of an SAR that is a Substitute Award may be less than one hundred percent (100%) of the Fair Market Value of a share of Stock on the original date of grant; provided, that the Option Price or grant price is determined in accordance with the principles of Code Section 424, Code Section 409A, and the regulations thereunder. Substitute Awards may be granted (on such terms and conditions as the Committee determines appropriate) in assumption of, or in substitution or exchange for, stock and stock-based awards held by employees, directors and other service providers of another entity who, pursuant to an acquisition (whether by purchase, merger or other Change in Control) by the Company or an Affiliate, become employees, directors or other service providers of the Company or an Affiliate.</w:t>
      </w:r>
    </w:p>
    <w:p>
      <w:pPr>
        <w:spacing w:after="0" w:line="180" w:lineRule="exact"/>
        <w:rPr>
          <w:sz w:val="20"/>
          <w:szCs w:val="20"/>
          <w:color w:val="auto"/>
        </w:rPr>
      </w:pPr>
    </w:p>
    <w:p>
      <w:pPr>
        <w:jc w:val="both"/>
        <w:ind w:right="20" w:firstLine="441"/>
        <w:spacing w:after="0" w:line="242"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u w:val="single" w:color="auto"/>
          <w:color w:val="auto"/>
        </w:rPr>
        <w:t>Limitation on Awards to Outside Directors</w:t>
      </w:r>
      <w:r>
        <w:rPr>
          <w:rFonts w:ascii="Arial" w:cs="Arial" w:eastAsia="Arial" w:hAnsi="Arial"/>
          <w:sz w:val="18"/>
          <w:szCs w:val="18"/>
          <w:color w:val="auto"/>
        </w:rPr>
        <w:t>. The aggregate dollar value of equity-based (based on the Grant Date’s Fair Market Value of equity-based Awards) and cash compensation granted under this Plan or otherwise during any calendar year to any Outside Director shall not exceed Three Hundred Fifty Thousand Dollars ($350,000); provided, however, that in the calendar year in which an Outside Director first joins the Board or is first designated as Chairman of the Board or Lead Director, the maximum aggregate dollar value of equity-based and cash compensation granted to the Outside Director may be up to two hundred percent (200%) of the foregoing limit.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-118745</wp:posOffset>
            </wp:positionV>
            <wp:extent cx="17145" cy="5143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7145" cy="5143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-59055</wp:posOffset>
            </wp:positionV>
            <wp:extent cx="685800" cy="16256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0" cy="1625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699516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688" w:right="439" w:bottom="1440" w:gutter="0" w:footer="0" w:header="0"/>
        </w:sectPr>
      </w:pPr>
    </w:p>
    <w:bookmarkStart w:id="91" w:name="page92"/>
    <w:bookmarkEnd w:id="91"/>
    <w:p>
      <w:pPr>
        <w:jc w:val="both"/>
        <w:ind w:firstLine="441"/>
        <w:spacing w:after="0" w:line="271"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b w:val="1"/>
          <w:bCs w:val="1"/>
          <w:u w:val="single" w:color="auto"/>
          <w:color w:val="auto"/>
        </w:rPr>
        <w:t>Maximum Awards.</w:t>
      </w:r>
      <w:r>
        <w:rPr>
          <w:rFonts w:ascii="Arial" w:cs="Arial" w:eastAsia="Arial" w:hAnsi="Arial"/>
          <w:sz w:val="18"/>
          <w:szCs w:val="18"/>
          <w:color w:val="auto"/>
        </w:rPr>
        <w:t xml:space="preserve"> Subject to adjustment as provided in Section 17, the maximum number of shares of Stock underlying Awards to any one Grantee during any fiscal year of the Company shall be 1,000,000.</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AWARD AGREEMENT</w:t>
      </w:r>
    </w:p>
    <w:p>
      <w:pPr>
        <w:spacing w:after="0" w:line="212" w:lineRule="exact"/>
        <w:rPr>
          <w:sz w:val="20"/>
          <w:szCs w:val="20"/>
          <w:color w:val="auto"/>
        </w:rPr>
      </w:pPr>
    </w:p>
    <w:p>
      <w:pPr>
        <w:jc w:val="both"/>
        <w:ind w:firstLine="441"/>
        <w:spacing w:after="0" w:line="244" w:lineRule="auto"/>
        <w:rPr>
          <w:sz w:val="20"/>
          <w:szCs w:val="20"/>
          <w:color w:val="auto"/>
        </w:rPr>
      </w:pPr>
      <w:r>
        <w:rPr>
          <w:rFonts w:ascii="Arial" w:cs="Arial" w:eastAsia="Arial" w:hAnsi="Arial"/>
          <w:sz w:val="18"/>
          <w:szCs w:val="18"/>
          <w:color w:val="auto"/>
        </w:rPr>
        <w:t>Each Award granted pursuant to the Plan shall be evidenced by an Award Agreement, in such form or forms as the Board or the Committee shall from time to time determine. Award Agreements granted from time to time or at the same time need not contain similar provisions but shall be consistent with the terms of the Plan. Each Award Agreement evidencing an Award of Options shall specify whether such Options are intended to be Non-qualified Stock Options or Incentive Stock Options, and in the absence of such specification such Options shall be deemed Non-qualified Stock Options.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TERMS AND CONDITIONS OF OPTIONS</w:t>
      </w:r>
    </w:p>
    <w:p>
      <w:pPr>
        <w:spacing w:after="0" w:line="212" w:lineRule="exact"/>
        <w:rPr>
          <w:sz w:val="20"/>
          <w:szCs w:val="20"/>
          <w:color w:val="auto"/>
        </w:rPr>
      </w:pPr>
    </w:p>
    <w:p>
      <w:pPr>
        <w:jc w:val="both"/>
        <w:ind w:firstLine="441"/>
        <w:spacing w:after="0" w:line="242"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b w:val="1"/>
          <w:bCs w:val="1"/>
          <w:u w:val="single" w:color="auto"/>
          <w:color w:val="auto"/>
        </w:rPr>
        <w:t>Option Price</w:t>
      </w:r>
      <w:r>
        <w:rPr>
          <w:rFonts w:ascii="Arial" w:cs="Arial" w:eastAsia="Arial" w:hAnsi="Arial"/>
          <w:sz w:val="18"/>
          <w:szCs w:val="18"/>
          <w:color w:val="auto"/>
        </w:rPr>
        <w:t xml:space="preserve">. The Option Price of each Option shall be fixed by the Board or the Committee and stated in the Award Agreement evidencing such Option. Except for Substitute Awards, the Option Price of each Option shall be at least the Fair Market Value on the Grant Date of a share of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that a Grantee is a Ten Percent Stockholder, the Option Price of an Option granted to such Grantee that is intended to be an Incentive Stock Option shall be not less than one hundred ten percent (110%) of the Fair Market Value of a share of Stock on the Grant Date. In no case shall the Option Price of any Option be less than the par value of a share of Stock.</w:t>
      </w:r>
    </w:p>
    <w:p>
      <w:pPr>
        <w:spacing w:after="0" w:line="179" w:lineRule="exact"/>
        <w:rPr>
          <w:sz w:val="20"/>
          <w:szCs w:val="20"/>
          <w:color w:val="auto"/>
        </w:rPr>
      </w:pPr>
    </w:p>
    <w:p>
      <w:pPr>
        <w:jc w:val="both"/>
        <w:ind w:firstLine="441"/>
        <w:spacing w:after="0" w:line="244"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u w:val="single" w:color="auto"/>
          <w:color w:val="auto"/>
        </w:rPr>
        <w:t>Vesting</w:t>
      </w:r>
      <w:r>
        <w:rPr>
          <w:rFonts w:ascii="Arial" w:cs="Arial" w:eastAsia="Arial" w:hAnsi="Arial"/>
          <w:sz w:val="18"/>
          <w:szCs w:val="18"/>
          <w:color w:val="auto"/>
        </w:rPr>
        <w:t>. Subject to Sections 8.3 and 17 hereof, each Option granted under the Plan shall become exercisable at such times and under such conditions (including conditions based on achievement of performance goals and/or future service requirements) as shall be determined by the Board or the Committee and stated in the Award Agreement. Except for Substitute Awards and the Minimum Vesting Requirements, exceptions, Options shall have a vesting period of at least twelve (12) months from the Grant Date. For purposes of this Section 8.2, fractional numbers of shares of Stock subject to an Option shall be rounded down to the next nearest whole number.</w:t>
      </w:r>
    </w:p>
    <w:p>
      <w:pPr>
        <w:spacing w:after="0" w:line="176" w:lineRule="exact"/>
        <w:rPr>
          <w:sz w:val="20"/>
          <w:szCs w:val="20"/>
          <w:color w:val="auto"/>
        </w:rPr>
      </w:pPr>
    </w:p>
    <w:p>
      <w:pPr>
        <w:jc w:val="both"/>
        <w:ind w:firstLine="441"/>
        <w:spacing w:after="0" w:line="239"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xml:space="preserve">. Each Option granted under the Plan shall terminate, and all rights to purchase shares of Stock thereunder shall cease, upon the expiration of ten (10) years from the date such Option is granted, or under such circumstances and on such date prior thereto as is set forth in the Plan or as may be fixed by the Board or the Committee and stated in the Award Agreement relating to such Option;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 in the event that the Grantee is a Ten Percent Stockholder, an Option granted to such Grantee that is intended to be an Incentive Stock Option shall not be exercisable after the expiration of five (5) years from its Grant Date; and (ii) such term shall be automatically extended by thirty (30) days (but to no longer than ten (10) years for any Option that intended to be an Incentive Stock Option or to no longer than five (5) years for any Option that intended to be an Incentive Stock Option and is granted to a Ten Percent Stockholder) in the event that the original term of the Option is set to expire during a closed window period applicable to the Grantee. Any Award of an Incentive Stock Option must be made prior to April 3, 2030.</w:t>
      </w:r>
    </w:p>
    <w:p>
      <w:pPr>
        <w:spacing w:after="0" w:line="183" w:lineRule="exact"/>
        <w:rPr>
          <w:sz w:val="20"/>
          <w:szCs w:val="20"/>
          <w:color w:val="auto"/>
        </w:rPr>
      </w:pPr>
    </w:p>
    <w:p>
      <w:pPr>
        <w:jc w:val="both"/>
        <w:ind w:firstLine="441"/>
        <w:spacing w:after="0" w:line="247"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b w:val="1"/>
          <w:bCs w:val="1"/>
          <w:u w:val="single" w:color="auto"/>
          <w:color w:val="auto"/>
        </w:rPr>
        <w:t>Termination of Service</w:t>
      </w:r>
      <w:r>
        <w:rPr>
          <w:rFonts w:ascii="Arial" w:cs="Arial" w:eastAsia="Arial" w:hAnsi="Arial"/>
          <w:sz w:val="18"/>
          <w:szCs w:val="18"/>
          <w:color w:val="auto"/>
        </w:rPr>
        <w:t>. Each Award Agreement shall set forth the extent to which the Grantee shall have the right to exercise the Option following termination of the Grantee’s Service. Such provisions shall be determined in the sole discretion of the Board or the Committee, need not be uniform among all Options granted pursuant to the Plan, and may reflect distinctions based on the reasons for termination of Service.</w:t>
      </w:r>
    </w:p>
    <w:p>
      <w:pPr>
        <w:spacing w:after="0" w:line="174" w:lineRule="exact"/>
        <w:rPr>
          <w:sz w:val="20"/>
          <w:szCs w:val="20"/>
          <w:color w:val="auto"/>
        </w:rPr>
      </w:pPr>
    </w:p>
    <w:p>
      <w:pPr>
        <w:jc w:val="both"/>
        <w:ind w:right="20" w:firstLine="441"/>
        <w:spacing w:after="0" w:line="253"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b w:val="1"/>
          <w:bCs w:val="1"/>
          <w:u w:val="single" w:color="auto"/>
          <w:color w:val="auto"/>
        </w:rPr>
        <w:t>Limitations on Exercise of Option</w:t>
      </w:r>
      <w:r>
        <w:rPr>
          <w:rFonts w:ascii="Arial" w:cs="Arial" w:eastAsia="Arial" w:hAnsi="Arial"/>
          <w:sz w:val="18"/>
          <w:szCs w:val="18"/>
          <w:color w:val="auto"/>
        </w:rPr>
        <w:t>. Notwithstanding any other provision of the Plan, in no event may any Option be exercised, in whole or in part, prior to the date the Plan is approved by the stockholders of the Company as provided herein or after the occurrence of an event referred to in Section 17 hereof which results in termination of the Option.</w:t>
      </w:r>
    </w:p>
    <w:p>
      <w:pPr>
        <w:spacing w:after="0" w:line="169" w:lineRule="exact"/>
        <w:rPr>
          <w:sz w:val="20"/>
          <w:szCs w:val="20"/>
          <w:color w:val="auto"/>
        </w:rPr>
      </w:pPr>
    </w:p>
    <w:p>
      <w:pPr>
        <w:jc w:val="both"/>
        <w:ind w:right="20" w:firstLine="441"/>
        <w:spacing w:after="0" w:line="244"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b w:val="1"/>
          <w:bCs w:val="1"/>
          <w:u w:val="single" w:color="auto"/>
          <w:color w:val="auto"/>
        </w:rPr>
        <w:t>Method of Exercise</w:t>
      </w:r>
      <w:r>
        <w:rPr>
          <w:rFonts w:ascii="Arial" w:cs="Arial" w:eastAsia="Arial" w:hAnsi="Arial"/>
          <w:sz w:val="18"/>
          <w:szCs w:val="18"/>
          <w:color w:val="auto"/>
        </w:rPr>
        <w:t>. Subject to such rules and procedures as may be established by the Board or the Committee, the provisions of this Section 8.6 shall apply to the exercise of Options. An Option that is exercisable may be exercised by the Grantee’s delivery to the Company of written notice of exercise on any business day, at the Company’s principal office, on the form specified by the Company. Such notice shall specify the number of shares of Stock with respect to which the Option is being exercised; and, subject to Section 12, unless the Board or Committee in its discretion</w:t>
      </w:r>
    </w:p>
    <w:p>
      <w:pPr>
        <w:spacing w:after="0" w:line="176" w:lineRule="exact"/>
        <w:rPr>
          <w:sz w:val="20"/>
          <w:szCs w:val="20"/>
          <w:color w:val="auto"/>
        </w:rPr>
      </w:pPr>
    </w:p>
    <w:p>
      <w:pPr>
        <w:jc w:val="right"/>
        <w:ind w:right="80"/>
        <w:spacing w:after="0"/>
        <w:rPr>
          <w:sz w:val="20"/>
          <w:szCs w:val="20"/>
          <w:color w:val="auto"/>
        </w:rPr>
      </w:pPr>
      <w:r>
        <w:rPr>
          <w:rFonts w:ascii="Arial" w:cs="Arial" w:eastAsia="Arial" w:hAnsi="Arial"/>
          <w:sz w:val="18"/>
          <w:szCs w:val="18"/>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6777990</wp:posOffset>
            </wp:positionH>
            <wp:positionV relativeFrom="paragraph">
              <wp:posOffset>-118745</wp:posOffset>
            </wp:positionV>
            <wp:extent cx="17145" cy="3854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7145" cy="385445"/>
                    </a:xfrm>
                    <a:prstGeom prst="rect">
                      <a:avLst/>
                    </a:prstGeom>
                    <a:noFill/>
                  </pic:spPr>
                </pic:pic>
              </a:graphicData>
            </a:graphic>
          </wp:anchor>
        </w:drawing>
        <w:drawing>
          <wp:anchor simplePos="0" relativeHeight="251657728" behindDoc="1" locked="0" layoutInCell="0" allowOverlap="1">
            <wp:simplePos x="0" y="0"/>
            <wp:positionH relativeFrom="column">
              <wp:posOffset>4798060</wp:posOffset>
            </wp:positionH>
            <wp:positionV relativeFrom="paragraph">
              <wp:posOffset>-50165</wp:posOffset>
            </wp:positionV>
            <wp:extent cx="685800" cy="16319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0" cy="163195"/>
                    </a:xfrm>
                    <a:prstGeom prst="rect">
                      <a:avLst/>
                    </a:prstGeom>
                    <a:noFill/>
                  </pic:spPr>
                </pic:pic>
              </a:graphicData>
            </a:graphic>
          </wp:anchor>
        </w:drawing>
      </w:r>
    </w:p>
    <w:p>
      <w:pPr>
        <w:jc w:val="right"/>
        <w:ind w:right="120"/>
        <w:spacing w:after="0"/>
        <w:rPr>
          <w:sz w:val="20"/>
          <w:szCs w:val="20"/>
          <w:color w:val="auto"/>
        </w:rPr>
      </w:pPr>
      <w:r>
        <w:rPr>
          <w:rFonts w:ascii="Arial" w:cs="Arial" w:eastAsia="Arial" w:hAnsi="Arial"/>
          <w:sz w:val="18"/>
          <w:szCs w:val="18"/>
          <w:color w:val="auto"/>
        </w:rPr>
        <w:t xml:space="preserve">- 2024 Proxy Statement  </w:t>
      </w:r>
      <w:r>
        <w:rPr>
          <w:rFonts w:ascii="Arial" w:cs="Arial" w:eastAsia="Arial" w:hAnsi="Arial"/>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699516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661" w:right="439" w:bottom="1440" w:gutter="0" w:footer="0" w:header="0"/>
        </w:sectPr>
      </w:pPr>
    </w:p>
    <w:bookmarkStart w:id="92" w:name="page93"/>
    <w:bookmarkEnd w:id="92"/>
    <w:p>
      <w:pPr>
        <w:jc w:val="both"/>
        <w:spacing w:after="0" w:line="244" w:lineRule="auto"/>
        <w:rPr>
          <w:sz w:val="20"/>
          <w:szCs w:val="20"/>
          <w:color w:val="auto"/>
        </w:rPr>
      </w:pPr>
      <w:r>
        <w:rPr>
          <w:rFonts w:ascii="Arial" w:cs="Arial" w:eastAsia="Arial" w:hAnsi="Arial"/>
          <w:sz w:val="18"/>
          <w:szCs w:val="18"/>
          <w:color w:val="auto"/>
        </w:rPr>
        <w:t xml:space="preserve">permits payment through a “cashless exercise” or Net Exercise procedure, shall be accompanied by payment in full of the Option Price of the shares of Stock for which the Option is being exercised plus the amount (if any) of federal and/or other taxes which the Company may, in its judgment, be required to withhold with respect to an Award. The minimum number of shares of Stock with respect to which an Option may be exercised, in whole or in part, at any time shall be the </w:t>
      </w:r>
      <w:r>
        <w:rPr>
          <w:rFonts w:ascii="Arial" w:cs="Arial" w:eastAsia="Arial" w:hAnsi="Arial"/>
          <w:sz w:val="18"/>
          <w:szCs w:val="18"/>
          <w:i w:val="1"/>
          <w:iCs w:val="1"/>
          <w:color w:val="auto"/>
        </w:rPr>
        <w:t>lesser of</w:t>
      </w:r>
      <w:r>
        <w:rPr>
          <w:rFonts w:ascii="Arial" w:cs="Arial" w:eastAsia="Arial" w:hAnsi="Arial"/>
          <w:sz w:val="18"/>
          <w:szCs w:val="18"/>
          <w:color w:val="auto"/>
        </w:rPr>
        <w:t xml:space="preserve"> (i) one hundred (100) shares or such lesser number set forth in the applicable Award Agreement </w:t>
      </w:r>
      <w:r>
        <w:rPr>
          <w:rFonts w:ascii="Arial" w:cs="Arial" w:eastAsia="Arial" w:hAnsi="Arial"/>
          <w:sz w:val="18"/>
          <w:szCs w:val="18"/>
          <w:i w:val="1"/>
          <w:iCs w:val="1"/>
          <w:color w:val="auto"/>
        </w:rPr>
        <w:t>and</w:t>
      </w:r>
      <w:r>
        <w:rPr>
          <w:rFonts w:ascii="Arial" w:cs="Arial" w:eastAsia="Arial" w:hAnsi="Arial"/>
          <w:sz w:val="18"/>
          <w:szCs w:val="18"/>
          <w:color w:val="auto"/>
        </w:rPr>
        <w:t xml:space="preserve"> (ii) the maximum number of shares available for purchase under the Option at the time of exercise.</w:t>
      </w:r>
    </w:p>
    <w:p>
      <w:pPr>
        <w:spacing w:after="0" w:line="176" w:lineRule="exact"/>
        <w:rPr>
          <w:sz w:val="20"/>
          <w:szCs w:val="20"/>
          <w:color w:val="auto"/>
        </w:rPr>
      </w:pPr>
    </w:p>
    <w:p>
      <w:pPr>
        <w:jc w:val="both"/>
        <w:ind w:right="20" w:firstLine="441"/>
        <w:spacing w:after="0" w:line="244"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b w:val="1"/>
          <w:bCs w:val="1"/>
          <w:u w:val="single" w:color="auto"/>
          <w:color w:val="auto"/>
        </w:rPr>
        <w:t>Rights of Holders of Options</w:t>
      </w:r>
      <w:r>
        <w:rPr>
          <w:rFonts w:ascii="Arial" w:cs="Arial" w:eastAsia="Arial" w:hAnsi="Arial"/>
          <w:sz w:val="18"/>
          <w:szCs w:val="18"/>
          <w:color w:val="auto"/>
        </w:rPr>
        <w:t>. An individual holding or exercising an Option shall have none of the rights of a stockholder (for example, the right to receive cash or dividend payments or distributions attributable to the subject shares of Stock or to direct the voting of the subject shares of Stock) until the shares of Stock covered thereby are fully paid for and issued to the Grantee. Except as provided in Section 17 hereof, no adjustment shall be made for dividends, distributions or other rights for which the record date is prior to the date of such issuance.</w:t>
      </w:r>
    </w:p>
    <w:p>
      <w:pPr>
        <w:spacing w:after="0" w:line="176" w:lineRule="exact"/>
        <w:rPr>
          <w:sz w:val="20"/>
          <w:szCs w:val="20"/>
          <w:color w:val="auto"/>
        </w:rPr>
      </w:pPr>
    </w:p>
    <w:p>
      <w:pPr>
        <w:jc w:val="both"/>
        <w:ind w:right="20" w:firstLine="441"/>
        <w:spacing w:after="0" w:line="271"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b w:val="1"/>
          <w:bCs w:val="1"/>
          <w:u w:val="single" w:color="auto"/>
          <w:color w:val="auto"/>
        </w:rPr>
        <w:t>Delivery of Stock</w:t>
      </w:r>
      <w:r>
        <w:rPr>
          <w:rFonts w:ascii="Arial" w:cs="Arial" w:eastAsia="Arial" w:hAnsi="Arial"/>
          <w:sz w:val="18"/>
          <w:szCs w:val="18"/>
          <w:color w:val="auto"/>
        </w:rPr>
        <w:t>. Promptly after the exercise of an Option by a Grantee and the payment in full of the Option Price, such Grantee shall be entitled to the issuance of the shares of Stock subject to the Option pursuant to Section 3.6.</w:t>
      </w:r>
    </w:p>
    <w:p>
      <w:pPr>
        <w:spacing w:after="0" w:line="154" w:lineRule="exact"/>
        <w:rPr>
          <w:sz w:val="20"/>
          <w:szCs w:val="20"/>
          <w:color w:val="auto"/>
        </w:rPr>
      </w:pPr>
    </w:p>
    <w:p>
      <w:pPr>
        <w:jc w:val="both"/>
        <w:ind w:firstLine="441"/>
        <w:spacing w:after="0" w:line="247"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b w:val="1"/>
          <w:bCs w:val="1"/>
          <w:u w:val="single" w:color="auto"/>
          <w:color w:val="auto"/>
        </w:rPr>
        <w:t>Transferability of Options</w:t>
      </w:r>
      <w:r>
        <w:rPr>
          <w:rFonts w:ascii="Arial" w:cs="Arial" w:eastAsia="Arial" w:hAnsi="Arial"/>
          <w:sz w:val="18"/>
          <w:szCs w:val="18"/>
          <w:color w:val="auto"/>
        </w:rPr>
        <w:t>. Except as provided in Section 8.10, during the lifetime of a Grantee, only the Grantee (or, in the event of legal incapacity or incompetency, the Grantee’s guardian or legal representative) may exercise an Option. Except as provided in Section 8.10, no Option shall be assignable or transferable by the Grantee to whom it is granted, other than by will or the laws of descent and distribution.</w:t>
      </w:r>
    </w:p>
    <w:p>
      <w:pPr>
        <w:spacing w:after="0" w:line="174" w:lineRule="exact"/>
        <w:rPr>
          <w:sz w:val="20"/>
          <w:szCs w:val="20"/>
          <w:color w:val="auto"/>
        </w:rPr>
      </w:pPr>
    </w:p>
    <w:p>
      <w:pPr>
        <w:jc w:val="both"/>
        <w:ind w:firstLine="441"/>
        <w:spacing w:after="0" w:line="239" w:lineRule="auto"/>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b w:val="1"/>
          <w:bCs w:val="1"/>
          <w:u w:val="single" w:color="auto"/>
          <w:color w:val="auto"/>
        </w:rPr>
        <w:t>Family Transfers</w:t>
      </w:r>
      <w:r>
        <w:rPr>
          <w:rFonts w:ascii="Arial" w:cs="Arial" w:eastAsia="Arial" w:hAnsi="Arial"/>
          <w:sz w:val="18"/>
          <w:szCs w:val="18"/>
          <w:color w:val="auto"/>
        </w:rPr>
        <w:t xml:space="preserve">. If authorized in the applicable Award Agreement, a Grantee may transfer, not for value, all or part of an Option which is not an Incentive Stock Option to any Family Member. For the purpose of this Section 8.10, a “not for value” transfer is a transfer which is </w:t>
      </w:r>
      <w:r>
        <w:rPr>
          <w:rFonts w:ascii="Arial" w:cs="Arial" w:eastAsia="Arial" w:hAnsi="Arial"/>
          <w:sz w:val="18"/>
          <w:szCs w:val="18"/>
          <w:b w:val="1"/>
          <w:bCs w:val="1"/>
          <w:color w:val="auto"/>
        </w:rPr>
        <w:t>(i)</w:t>
      </w:r>
      <w:r>
        <w:rPr>
          <w:rFonts w:ascii="Arial" w:cs="Arial" w:eastAsia="Arial" w:hAnsi="Arial"/>
          <w:sz w:val="18"/>
          <w:szCs w:val="18"/>
          <w:color w:val="auto"/>
        </w:rPr>
        <w:t xml:space="preserve"> a gift, </w:t>
      </w:r>
      <w:r>
        <w:rPr>
          <w:rFonts w:ascii="Arial" w:cs="Arial" w:eastAsia="Arial" w:hAnsi="Arial"/>
          <w:sz w:val="18"/>
          <w:szCs w:val="18"/>
          <w:b w:val="1"/>
          <w:bCs w:val="1"/>
          <w:color w:val="auto"/>
        </w:rPr>
        <w:t>(ii)</w:t>
      </w:r>
      <w:r>
        <w:rPr>
          <w:rFonts w:ascii="Arial" w:cs="Arial" w:eastAsia="Arial" w:hAnsi="Arial"/>
          <w:sz w:val="18"/>
          <w:szCs w:val="18"/>
          <w:color w:val="auto"/>
        </w:rPr>
        <w:t xml:space="preserve"> a transfer under a domestic relations order in settlement of marital property rights; or </w:t>
      </w:r>
      <w:r>
        <w:rPr>
          <w:rFonts w:ascii="Arial" w:cs="Arial" w:eastAsia="Arial" w:hAnsi="Arial"/>
          <w:sz w:val="18"/>
          <w:szCs w:val="18"/>
          <w:b w:val="1"/>
          <w:bCs w:val="1"/>
          <w:color w:val="auto"/>
        </w:rPr>
        <w:t>(iii)</w:t>
      </w:r>
      <w:r>
        <w:rPr>
          <w:rFonts w:ascii="Arial" w:cs="Arial" w:eastAsia="Arial" w:hAnsi="Arial"/>
          <w:sz w:val="18"/>
          <w:szCs w:val="18"/>
          <w:color w:val="auto"/>
        </w:rPr>
        <w:t xml:space="preserve"> a transfer to an entity in which more than fifty percent (50%) of the voting interests are owned by Family Members (or the Grantee) in exchange for an interest in that entity. Following a transfer under this Section 8.10, any such Option shall continue to be subject to the same terms and conditions as were applicable immediately prior to transfer. Subsequent transfers of transferred Options are prohibited except to Family Members of the original Grantee in accordance with this Section 8.10 or by will or the laws of descent and distribution. The events of termination of Service of Section 8.4 hereof shall continue to be applied with respect to the original Grantee, following which the Option shall be exercisable by the transferee only to the extent, and for the periods specified, in Section 8.4.</w:t>
      </w:r>
    </w:p>
    <w:p>
      <w:pPr>
        <w:spacing w:after="0" w:line="183" w:lineRule="exact"/>
        <w:rPr>
          <w:sz w:val="20"/>
          <w:szCs w:val="20"/>
          <w:color w:val="auto"/>
        </w:rPr>
      </w:pPr>
    </w:p>
    <w:p>
      <w:pPr>
        <w:jc w:val="both"/>
        <w:ind w:right="20" w:firstLine="441"/>
        <w:spacing w:after="0" w:line="242" w:lineRule="auto"/>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b w:val="1"/>
          <w:bCs w:val="1"/>
          <w:u w:val="single" w:color="auto"/>
          <w:color w:val="auto"/>
        </w:rPr>
        <w:t>Limitations on Incentive Stock Options</w:t>
      </w:r>
      <w:r>
        <w:rPr>
          <w:rFonts w:ascii="Arial" w:cs="Arial" w:eastAsia="Arial" w:hAnsi="Arial"/>
          <w:sz w:val="18"/>
          <w:szCs w:val="18"/>
          <w:color w:val="auto"/>
        </w:rPr>
        <w:t>. An Option shall constitute an Incentive Stock Option only (i) if the Grantee of such Option is an employee of the Company or any Subsidiary of the Company; (ii) to the extent specifically provided in the related Award Agreement; and (iii) to the extent that the aggregate Fair Market Value (determined at the time the Option is granted) of the shares of Stock with respect to which all Incentive Stock Options held by such Grantee become exercisable for the first time during any calendar year (under the Plan and all other plans of the Company and its Affiliates) does not exceed One Hundred Thousand Dollars ($100,000). This limitation shall be applied by taking Options into account in the order in which they were granted.</w:t>
      </w:r>
    </w:p>
    <w:p>
      <w:pPr>
        <w:spacing w:after="0" w:line="179" w:lineRule="exact"/>
        <w:rPr>
          <w:sz w:val="20"/>
          <w:szCs w:val="20"/>
          <w:color w:val="auto"/>
        </w:rPr>
      </w:pPr>
    </w:p>
    <w:p>
      <w:pPr>
        <w:jc w:val="both"/>
        <w:ind w:firstLine="441"/>
        <w:spacing w:after="0" w:line="253" w:lineRule="auto"/>
        <w:rPr>
          <w:sz w:val="20"/>
          <w:szCs w:val="20"/>
          <w:color w:val="auto"/>
        </w:rPr>
      </w:pPr>
      <w:r>
        <w:rPr>
          <w:rFonts w:ascii="Arial" w:cs="Arial" w:eastAsia="Arial" w:hAnsi="Arial"/>
          <w:sz w:val="18"/>
          <w:szCs w:val="18"/>
          <w:color w:val="auto"/>
        </w:rPr>
        <w:t xml:space="preserve">8.12  </w:t>
      </w:r>
      <w:r>
        <w:rPr>
          <w:rFonts w:ascii="Arial" w:cs="Arial" w:eastAsia="Arial" w:hAnsi="Arial"/>
          <w:sz w:val="18"/>
          <w:szCs w:val="18"/>
          <w:b w:val="1"/>
          <w:bCs w:val="1"/>
          <w:u w:val="single" w:color="auto"/>
          <w:color w:val="auto"/>
        </w:rPr>
        <w:t>Notice of Disqualifying Disposition</w:t>
      </w:r>
      <w:r>
        <w:rPr>
          <w:rFonts w:ascii="Arial" w:cs="Arial" w:eastAsia="Arial" w:hAnsi="Arial"/>
          <w:sz w:val="18"/>
          <w:szCs w:val="18"/>
          <w:color w:val="auto"/>
        </w:rPr>
        <w:t>. If any Grantee shall make any disposition of shares of Stock issued pursuant to the exercise of an Incentive Stock Option under the circumstances described in Code Section 421(b) (relating to certain disqualifying dispositions), such Grantee shall notify the Company of such disposition within ten (10) days thereof.</w:t>
      </w:r>
    </w:p>
    <w:p>
      <w:pPr>
        <w:spacing w:after="0" w:line="169"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8"/>
          <w:szCs w:val="18"/>
          <w:color w:val="auto"/>
        </w:rPr>
        <w:t xml:space="preserve">8.13  </w:t>
      </w:r>
      <w:r>
        <w:rPr>
          <w:rFonts w:ascii="Arial" w:cs="Arial" w:eastAsia="Arial" w:hAnsi="Arial"/>
          <w:sz w:val="18"/>
          <w:szCs w:val="18"/>
          <w:b w:val="1"/>
          <w:bCs w:val="1"/>
          <w:u w:val="single" w:color="auto"/>
          <w:color w:val="auto"/>
        </w:rPr>
        <w:t>No Reloads</w:t>
      </w:r>
      <w:r>
        <w:rPr>
          <w:rFonts w:ascii="Arial" w:cs="Arial" w:eastAsia="Arial" w:hAnsi="Arial"/>
          <w:sz w:val="18"/>
          <w:szCs w:val="18"/>
          <w:color w:val="auto"/>
        </w:rPr>
        <w:t>. Award Agreements for Options shall not contain any provision entitling a Grantee to the automatic grant of additional Options in connection with the exercise of the original Option.</w:t>
      </w:r>
    </w:p>
    <w:p>
      <w:pPr>
        <w:spacing w:after="0" w:line="154" w:lineRule="exact"/>
        <w:rPr>
          <w:sz w:val="20"/>
          <w:szCs w:val="20"/>
          <w:color w:val="auto"/>
        </w:rPr>
      </w:pPr>
    </w:p>
    <w:p>
      <w:pPr>
        <w:jc w:val="both"/>
        <w:ind w:right="20" w:firstLine="441"/>
        <w:spacing w:after="0" w:line="271" w:lineRule="auto"/>
        <w:rPr>
          <w:sz w:val="20"/>
          <w:szCs w:val="20"/>
          <w:color w:val="auto"/>
        </w:rPr>
      </w:pPr>
      <w:r>
        <w:rPr>
          <w:rFonts w:ascii="Arial" w:cs="Arial" w:eastAsia="Arial" w:hAnsi="Arial"/>
          <w:sz w:val="18"/>
          <w:szCs w:val="18"/>
          <w:color w:val="auto"/>
        </w:rPr>
        <w:t xml:space="preserve">8.14  </w:t>
      </w:r>
      <w:r>
        <w:rPr>
          <w:rFonts w:ascii="Arial" w:cs="Arial" w:eastAsia="Arial" w:hAnsi="Arial"/>
          <w:sz w:val="18"/>
          <w:szCs w:val="18"/>
          <w:b w:val="1"/>
          <w:bCs w:val="1"/>
          <w:u w:val="single" w:color="auto"/>
          <w:color w:val="auto"/>
        </w:rPr>
        <w:t>No Repricing</w:t>
      </w:r>
      <w:r>
        <w:rPr>
          <w:rFonts w:ascii="Arial" w:cs="Arial" w:eastAsia="Arial" w:hAnsi="Arial"/>
          <w:sz w:val="18"/>
          <w:szCs w:val="18"/>
          <w:color w:val="auto"/>
        </w:rPr>
        <w:t>. Except as contemplated by the provisions of Section 17, outstanding Options will not be repriced without the prior approval of the Company’s stockholders.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TERMS AND CONDITIONS OF STOCK APPRECIATION RIGHTS</w:t>
      </w:r>
    </w:p>
    <w:p>
      <w:pPr>
        <w:spacing w:after="0" w:line="212"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b w:val="1"/>
          <w:bCs w:val="1"/>
          <w:u w:val="single" w:color="auto"/>
          <w:color w:val="auto"/>
        </w:rPr>
        <w:t>Right to Payment and Grant Price</w:t>
      </w:r>
      <w:r>
        <w:rPr>
          <w:rFonts w:ascii="Arial" w:cs="Arial" w:eastAsia="Arial" w:hAnsi="Arial"/>
          <w:sz w:val="18"/>
          <w:szCs w:val="18"/>
          <w:color w:val="auto"/>
        </w:rPr>
        <w:t xml:space="preserve">. A Stock Appreciation Right shall confer on the Grantee to whom it is granted a right to receive, upon exercise thereof, the </w:t>
      </w:r>
      <w:r>
        <w:rPr>
          <w:rFonts w:ascii="Arial" w:cs="Arial" w:eastAsia="Arial" w:hAnsi="Arial"/>
          <w:sz w:val="18"/>
          <w:szCs w:val="18"/>
          <w:i w:val="1"/>
          <w:iCs w:val="1"/>
          <w:color w:val="auto"/>
        </w:rPr>
        <w:t>excess of</w:t>
      </w:r>
      <w:r>
        <w:rPr>
          <w:rFonts w:ascii="Arial" w:cs="Arial" w:eastAsia="Arial" w:hAnsi="Arial"/>
          <w:sz w:val="18"/>
          <w:szCs w:val="18"/>
          <w:color w:val="auto"/>
        </w:rPr>
        <w:t xml:space="preserve"> (A) the Fair Market Value of one share of Stock on the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-118745</wp:posOffset>
            </wp:positionV>
            <wp:extent cx="17145" cy="5143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7145" cy="5143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-59055</wp:posOffset>
            </wp:positionV>
            <wp:extent cx="685800" cy="16319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0" cy="163195"/>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699516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688" w:right="439" w:bottom="1440" w:gutter="0" w:footer="0" w:header="0"/>
        </w:sectPr>
      </w:pPr>
    </w:p>
    <w:bookmarkStart w:id="93" w:name="page94"/>
    <w:bookmarkEnd w:id="93"/>
    <w:p>
      <w:pPr>
        <w:jc w:val="both"/>
        <w:spacing w:after="0" w:line="242" w:lineRule="auto"/>
        <w:rPr>
          <w:sz w:val="20"/>
          <w:szCs w:val="20"/>
          <w:color w:val="auto"/>
        </w:rPr>
      </w:pPr>
      <w:r>
        <w:rPr>
          <w:rFonts w:ascii="Arial" w:cs="Arial" w:eastAsia="Arial" w:hAnsi="Arial"/>
          <w:sz w:val="18"/>
          <w:szCs w:val="18"/>
          <w:color w:val="auto"/>
        </w:rPr>
        <w:t xml:space="preserve">date of exercise </w:t>
      </w:r>
      <w:r>
        <w:rPr>
          <w:rFonts w:ascii="Arial" w:cs="Arial" w:eastAsia="Arial" w:hAnsi="Arial"/>
          <w:sz w:val="18"/>
          <w:szCs w:val="18"/>
          <w:i w:val="1"/>
          <w:iCs w:val="1"/>
          <w:color w:val="auto"/>
        </w:rPr>
        <w:t>over</w:t>
      </w:r>
      <w:r>
        <w:rPr>
          <w:rFonts w:ascii="Arial" w:cs="Arial" w:eastAsia="Arial" w:hAnsi="Arial"/>
          <w:sz w:val="18"/>
          <w:szCs w:val="18"/>
          <w:color w:val="auto"/>
        </w:rPr>
        <w:t xml:space="preserve"> (B) the SAR Exercise Price as determined by the Board or the Committee. The Award Agreement for an SAR shall specify the SAR Exercise Price, which shall be at least the Fair Market Value of a share of Stock on the Grant Date. SARs may be granted in conjunction with all or part of an Option granted under the Plan or at any subsequent time during the term of such Option, in conjunction with all or part of any other Award or without regard to any Option or other Award; provided that an SAR that is granted subsequent to the Grant Date of a related Option must have a SAR Exercise Price that is no less than the Fair Market Value of one share of Stock on the Grant Date of the SAR.</w:t>
      </w:r>
    </w:p>
    <w:p>
      <w:pPr>
        <w:spacing w:after="0" w:line="179" w:lineRule="exact"/>
        <w:rPr>
          <w:sz w:val="20"/>
          <w:szCs w:val="20"/>
          <w:color w:val="auto"/>
        </w:rPr>
      </w:pPr>
    </w:p>
    <w:p>
      <w:pPr>
        <w:jc w:val="both"/>
        <w:ind w:right="20" w:firstLine="441"/>
        <w:spacing w:after="0"/>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b w:val="1"/>
          <w:bCs w:val="1"/>
          <w:u w:val="single" w:color="auto"/>
          <w:color w:val="auto"/>
        </w:rPr>
        <w:t>Other Terms</w:t>
      </w:r>
      <w:r>
        <w:rPr>
          <w:rFonts w:ascii="Arial" w:cs="Arial" w:eastAsia="Arial" w:hAnsi="Arial"/>
          <w:sz w:val="18"/>
          <w:szCs w:val="18"/>
          <w:color w:val="auto"/>
        </w:rPr>
        <w:t>. The Board or the Committee shall determine at the Grant Date, the time or times at which and the circumstances under which an SAR may be exercised in whole or in part (including based on achievement of performance goals and/or future service requirements), the time or times at which SARs shall cease to be or become exercisable following termination of Service or upon other conditions, the method of exercise, method of settlement, form of consideration payable in settlement, method by or forms in which Stock will be delivered or deemed to be delivered to Grantees, whether or not an SAR shall be in tandem or in combination with any other Award, and any other terms and conditions of any SAR. Notwithstanding the foregoing, except for Substitute Awards and the Minimum Vesting Requirements exceptions, SARs shall have a vesting period of at least twelve (12) months from the Grant Date.</w:t>
      </w:r>
    </w:p>
    <w:p>
      <w:pPr>
        <w:spacing w:after="0" w:line="185" w:lineRule="exact"/>
        <w:rPr>
          <w:sz w:val="20"/>
          <w:szCs w:val="20"/>
          <w:color w:val="auto"/>
        </w:rPr>
      </w:pPr>
    </w:p>
    <w:p>
      <w:pPr>
        <w:jc w:val="both"/>
        <w:ind w:right="20" w:firstLine="441"/>
        <w:spacing w:after="0" w:line="244"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xml:space="preserve">. Each SAR granted under the Plan shall terminate, and all rights thereunder shall cease, upon the expiration of ten years from the date such SAR is granted, or under such circumstances and on such date prior thereto as is set forth in the Plan or as may be fixed by the Board or the Committee and stated in the Award Agreement relating to such SAR;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term shall be automatically extended by thirty (30) days in the event that the original term of the SAR is set to expire during a closed window period applicable to the Grantee.</w:t>
      </w:r>
    </w:p>
    <w:p>
      <w:pPr>
        <w:spacing w:after="0" w:line="176" w:lineRule="exact"/>
        <w:rPr>
          <w:sz w:val="20"/>
          <w:szCs w:val="20"/>
          <w:color w:val="auto"/>
        </w:rPr>
      </w:pPr>
    </w:p>
    <w:p>
      <w:pPr>
        <w:jc w:val="both"/>
        <w:ind w:right="20" w:firstLine="441"/>
        <w:spacing w:after="0" w:line="24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b w:val="1"/>
          <w:bCs w:val="1"/>
          <w:u w:val="single" w:color="auto"/>
          <w:color w:val="auto"/>
        </w:rPr>
        <w:t>Transferability of SARS</w:t>
      </w:r>
      <w:r>
        <w:rPr>
          <w:rFonts w:ascii="Arial" w:cs="Arial" w:eastAsia="Arial" w:hAnsi="Arial"/>
          <w:sz w:val="18"/>
          <w:szCs w:val="18"/>
          <w:color w:val="auto"/>
        </w:rPr>
        <w:t>. Except as provided in Section 9.5, during the lifetime of a Grantee, only the Grantee (or, in the event of legal incapacity or incompetency, the Grantee’s guardian or legal representative) may exercise a SAR. Except as provided in Section 9.5, no SAR shall be assignable or transferable by the Grantee to whom it is granted, other than by will or the laws of descent and distribution.</w:t>
      </w:r>
    </w:p>
    <w:p>
      <w:pPr>
        <w:spacing w:after="0" w:line="174" w:lineRule="exact"/>
        <w:rPr>
          <w:sz w:val="20"/>
          <w:szCs w:val="20"/>
          <w:color w:val="auto"/>
        </w:rPr>
      </w:pPr>
    </w:p>
    <w:p>
      <w:pPr>
        <w:jc w:val="both"/>
        <w:ind w:firstLine="441"/>
        <w:spacing w:after="0"/>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b w:val="1"/>
          <w:bCs w:val="1"/>
          <w:u w:val="single" w:color="auto"/>
          <w:color w:val="auto"/>
        </w:rPr>
        <w:t>Family Transfers</w:t>
      </w:r>
      <w:r>
        <w:rPr>
          <w:rFonts w:ascii="Arial" w:cs="Arial" w:eastAsia="Arial" w:hAnsi="Arial"/>
          <w:sz w:val="18"/>
          <w:szCs w:val="18"/>
          <w:color w:val="auto"/>
        </w:rPr>
        <w:t>. If authorized in the applicable Award Agreement, a Grantee may transfer, not for value, all or part of a SAR to any Family Member. For the purpose of this Section 9.5, a “not for value” transfer is a transfer which is (i) a gift, (ii) a transfer under a domestic relations order in settlement of marital property rights; or (iii) a transfer to an entity in which more than fifty percent of the voting interests are owned by Family Members (or the Grantee) in exchange for an interest in that entity. Following a transfer under this Section 9.5, any such SAR shall continue to be subject to the same terms and conditions as were applicable immediately prior to transfer. Subsequent transfers of transferred SARs are prohibited except to Family Members of the original Grantee in accordance with this Section 9.5 or by will or the laws of descent and distribution.</w:t>
      </w:r>
    </w:p>
    <w:p>
      <w:pPr>
        <w:spacing w:after="0" w:line="185"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b w:val="1"/>
          <w:bCs w:val="1"/>
          <w:u w:val="single" w:color="auto"/>
          <w:color w:val="auto"/>
        </w:rPr>
        <w:t>No Repricing</w:t>
      </w:r>
      <w:r>
        <w:rPr>
          <w:rFonts w:ascii="Arial" w:cs="Arial" w:eastAsia="Arial" w:hAnsi="Arial"/>
          <w:sz w:val="18"/>
          <w:szCs w:val="18"/>
          <w:color w:val="auto"/>
        </w:rPr>
        <w:t>. Except as contemplated by the provisions of Section 17, outstanding Stock Appreciation Rights will not be repriced without the prior approval of the Company’s stockholders.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TERMS AND CONDITIONS OF RESTRICTED STOCK AND STOCK UNITS</w:t>
      </w:r>
    </w:p>
    <w:p>
      <w:pPr>
        <w:spacing w:after="0" w:line="212" w:lineRule="exact"/>
        <w:rPr>
          <w:sz w:val="20"/>
          <w:szCs w:val="20"/>
          <w:color w:val="auto"/>
        </w:rPr>
      </w:pPr>
    </w:p>
    <w:p>
      <w:pPr>
        <w:jc w:val="both"/>
        <w:ind w:right="20" w:firstLine="441"/>
        <w:spacing w:after="0" w:line="24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b w:val="1"/>
          <w:bCs w:val="1"/>
          <w:u w:val="single" w:color="auto"/>
          <w:color w:val="auto"/>
        </w:rPr>
        <w:t>Grant of Restricted Stock or Stock Units</w:t>
      </w:r>
      <w:r>
        <w:rPr>
          <w:rFonts w:ascii="Arial" w:cs="Arial" w:eastAsia="Arial" w:hAnsi="Arial"/>
          <w:sz w:val="18"/>
          <w:szCs w:val="18"/>
          <w:color w:val="auto"/>
        </w:rPr>
        <w:t>. Each Award of Restricted Stock or Stock Units shall be evidenced by an Award Agreement and may be made for no consideration (other than par value of the shares of Stock which is deemed paid by Services already rendered). Settlement of each Award of Stock Units shall be in cash, Stock, other property or a combination thereof, in the discretion of the Committee.</w:t>
      </w:r>
    </w:p>
    <w:p>
      <w:pPr>
        <w:spacing w:after="0" w:line="174" w:lineRule="exact"/>
        <w:rPr>
          <w:sz w:val="20"/>
          <w:szCs w:val="20"/>
          <w:color w:val="auto"/>
        </w:rPr>
      </w:pPr>
    </w:p>
    <w:p>
      <w:pPr>
        <w:jc w:val="both"/>
        <w:ind w:firstLine="441"/>
        <w:spacing w:after="0" w:line="239"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b w:val="1"/>
          <w:bCs w:val="1"/>
          <w:u w:val="single" w:color="auto"/>
          <w:color w:val="auto"/>
        </w:rPr>
        <w:t>Restrictions; Minimum Vesting</w:t>
      </w:r>
      <w:r>
        <w:rPr>
          <w:rFonts w:ascii="Arial" w:cs="Arial" w:eastAsia="Arial" w:hAnsi="Arial"/>
          <w:sz w:val="18"/>
          <w:szCs w:val="18"/>
          <w:color w:val="auto"/>
        </w:rPr>
        <w:t>. At the time a grant of Restricted Stock or Stock Units is made, the Board or the Committee may, in its sole discretion, establish a period of time (a “</w:t>
      </w:r>
      <w:r>
        <w:rPr>
          <w:rFonts w:ascii="Arial" w:cs="Arial" w:eastAsia="Arial" w:hAnsi="Arial"/>
          <w:sz w:val="18"/>
          <w:szCs w:val="18"/>
          <w:u w:val="single" w:color="auto"/>
          <w:color w:val="auto"/>
        </w:rPr>
        <w:t>Restricted Period</w:t>
      </w:r>
      <w:r>
        <w:rPr>
          <w:rFonts w:ascii="Arial" w:cs="Arial" w:eastAsia="Arial" w:hAnsi="Arial"/>
          <w:sz w:val="18"/>
          <w:szCs w:val="18"/>
          <w:color w:val="auto"/>
        </w:rPr>
        <w:t>”) applicable to such Restricted Stock or Stock Units. Each Award of Restricted Stock or Stock Units may be subject to a different Restricted Period. The Board or the Committee may, in its sole discretion, at the time a grant of Restricted Stock or Stock Units is made, prescribe restrictions in addition to or other than the expiration of the Restricted Period. Notwithstanding the foregoing, except for Substitute Awards and the Minimum Vesting Requirements exceptions, Awards of Restricted Stock or Stock Units subject solely to continued Service with the Company or an Affiliate shall have a vesting period of at least twelve (12) months from the Grant Date. Neither Restricted Stock nor Stock Units may be sold, transferred, assigned, pledged or otherwise encumbered or disposed of during the Restricted Period or prior to the satisfaction of any other restrictions prescribed by the Board or the Committee with respect to such Restricted Stock or Stock Units.</w:t>
      </w:r>
    </w:p>
    <w:p>
      <w:pPr>
        <w:spacing w:after="0" w:line="183" w:lineRule="exact"/>
        <w:rPr>
          <w:sz w:val="20"/>
          <w:szCs w:val="20"/>
          <w:color w:val="auto"/>
        </w:rPr>
      </w:pPr>
    </w:p>
    <w:p>
      <w:pPr>
        <w:jc w:val="right"/>
        <w:ind w:right="80"/>
        <w:spacing w:after="0"/>
        <w:rPr>
          <w:sz w:val="20"/>
          <w:szCs w:val="20"/>
          <w:color w:val="auto"/>
        </w:rPr>
      </w:pPr>
      <w:r>
        <w:rPr>
          <w:rFonts w:ascii="Arial" w:cs="Arial" w:eastAsia="Arial" w:hAnsi="Arial"/>
          <w:sz w:val="18"/>
          <w:szCs w:val="18"/>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6777990</wp:posOffset>
            </wp:positionH>
            <wp:positionV relativeFrom="paragraph">
              <wp:posOffset>-118745</wp:posOffset>
            </wp:positionV>
            <wp:extent cx="17145" cy="38608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7145" cy="386080"/>
                    </a:xfrm>
                    <a:prstGeom prst="rect">
                      <a:avLst/>
                    </a:prstGeom>
                    <a:noFill/>
                  </pic:spPr>
                </pic:pic>
              </a:graphicData>
            </a:graphic>
          </wp:anchor>
        </w:drawing>
        <w:drawing>
          <wp:anchor simplePos="0" relativeHeight="251657728" behindDoc="1" locked="0" layoutInCell="0" allowOverlap="1">
            <wp:simplePos x="0" y="0"/>
            <wp:positionH relativeFrom="column">
              <wp:posOffset>4798060</wp:posOffset>
            </wp:positionH>
            <wp:positionV relativeFrom="paragraph">
              <wp:posOffset>-50165</wp:posOffset>
            </wp:positionV>
            <wp:extent cx="685800" cy="16256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0" cy="162560"/>
                    </a:xfrm>
                    <a:prstGeom prst="rect">
                      <a:avLst/>
                    </a:prstGeom>
                    <a:noFill/>
                  </pic:spPr>
                </pic:pic>
              </a:graphicData>
            </a:graphic>
          </wp:anchor>
        </w:drawing>
      </w:r>
    </w:p>
    <w:p>
      <w:pPr>
        <w:jc w:val="right"/>
        <w:ind w:right="120"/>
        <w:spacing w:after="0"/>
        <w:rPr>
          <w:sz w:val="20"/>
          <w:szCs w:val="20"/>
          <w:color w:val="auto"/>
        </w:rPr>
      </w:pPr>
      <w:r>
        <w:rPr>
          <w:rFonts w:ascii="Arial" w:cs="Arial" w:eastAsia="Arial" w:hAnsi="Arial"/>
          <w:sz w:val="18"/>
          <w:szCs w:val="18"/>
          <w:color w:val="auto"/>
        </w:rPr>
        <w:t xml:space="preserve">- 2024 Proxy Statement  </w:t>
      </w:r>
      <w:r>
        <w:rPr>
          <w:rFonts w:ascii="Arial" w:cs="Arial" w:eastAsia="Arial" w:hAnsi="Arial"/>
          <w:sz w:val="18"/>
          <w:szCs w:val="18"/>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699516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661" w:right="439" w:bottom="1440" w:gutter="0" w:footer="0" w:header="0"/>
        </w:sectPr>
      </w:pPr>
    </w:p>
    <w:bookmarkStart w:id="94" w:name="page95"/>
    <w:bookmarkEnd w:id="94"/>
    <w:p>
      <w:pPr>
        <w:jc w:val="both"/>
        <w:ind w:firstLine="441"/>
        <w:spacing w:after="0"/>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b w:val="1"/>
          <w:bCs w:val="1"/>
          <w:u w:val="single" w:color="auto"/>
          <w:color w:val="auto"/>
        </w:rPr>
        <w:t>Restricted Stock Certificates</w:t>
      </w:r>
      <w:r>
        <w:rPr>
          <w:rFonts w:ascii="Arial" w:cs="Arial" w:eastAsia="Arial" w:hAnsi="Arial"/>
          <w:sz w:val="18"/>
          <w:szCs w:val="18"/>
          <w:color w:val="auto"/>
        </w:rPr>
        <w:t xml:space="preserve">. The Company shall issue, in the name of each Grantee to whom Restricted Stock has been granted, stock certificates or book-entry registered shares pursuant to Section 3.6 representing the total number of shares of Restricted Stock granted to the Grantee, as soon as reasonably practicable after the Grant Date. The Secretary of the Company shall hold such certificates for the Grantee’s benefit until such time as the Restricted Stock is forfeited to the Company or the restrictions lapse, or such certificates or book-entry registered shares shall be delivered to the Grantee,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certificates or book-entry registered shares shall bear a legend or legends that comply with the applicable securities laws and regulations and makes appropriate reference to the restrictions imposed under the Plan and the Award Agreement.</w:t>
      </w:r>
    </w:p>
    <w:p>
      <w:pPr>
        <w:spacing w:after="0" w:line="185" w:lineRule="exact"/>
        <w:rPr>
          <w:sz w:val="20"/>
          <w:szCs w:val="20"/>
          <w:color w:val="auto"/>
        </w:rPr>
      </w:pPr>
    </w:p>
    <w:p>
      <w:pPr>
        <w:jc w:val="both"/>
        <w:ind w:firstLine="441"/>
        <w:spacing w:after="0" w:line="242"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b w:val="1"/>
          <w:bCs w:val="1"/>
          <w:u w:val="single" w:color="auto"/>
          <w:color w:val="auto"/>
        </w:rPr>
        <w:t>Rights of Holders of Restricted Stock</w:t>
      </w:r>
      <w:r>
        <w:rPr>
          <w:rFonts w:ascii="Arial" w:cs="Arial" w:eastAsia="Arial" w:hAnsi="Arial"/>
          <w:sz w:val="18"/>
          <w:szCs w:val="18"/>
          <w:color w:val="auto"/>
        </w:rPr>
        <w:t>. Unless the Board or the Committee otherwise provides in an Award Agreement, holders of Restricted Stock shall have the right to vote such Stock and the right to receive any dividends declared or paid with respect to such Stock. The Board or the Committee may provide that any dividends paid on Restricted Stock must be reinvested in shares of Stock, which may or may not be subject to the same vesting conditions and restrictions applicable to such Restricted Stock. All distributions, if any, received by a Grantee with respect to Restricted Stock as a result of any stock split, stock dividend, combination of shares, or other similar transaction shall be subject to the restrictions applicable to the original Award.</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b w:val="1"/>
          <w:bCs w:val="1"/>
          <w:u w:val="single" w:color="auto"/>
          <w:color w:val="auto"/>
        </w:rPr>
        <w:t>Rights of Holders of Stock Units</w:t>
      </w:r>
      <w:r>
        <w:rPr>
          <w:rFonts w:ascii="Arial" w:cs="Arial" w:eastAsia="Arial" w:hAnsi="Arial"/>
          <w:sz w:val="18"/>
          <w:szCs w:val="18"/>
          <w:color w:val="auto"/>
        </w:rPr>
        <w:t>.</w:t>
      </w:r>
    </w:p>
    <w:p>
      <w:pPr>
        <w:spacing w:after="0" w:line="212" w:lineRule="exact"/>
        <w:rPr>
          <w:sz w:val="20"/>
          <w:szCs w:val="20"/>
          <w:color w:val="auto"/>
        </w:rPr>
      </w:pPr>
    </w:p>
    <w:p>
      <w:pPr>
        <w:ind w:left="440" w:right="100" w:firstLine="771"/>
        <w:spacing w:after="0" w:line="242"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u w:val="single" w:color="auto"/>
          <w:color w:val="auto"/>
        </w:rPr>
        <w:t>Voting and Dividend Rights</w:t>
      </w:r>
      <w:r>
        <w:rPr>
          <w:rFonts w:ascii="Arial" w:cs="Arial" w:eastAsia="Arial" w:hAnsi="Arial"/>
          <w:sz w:val="18"/>
          <w:szCs w:val="18"/>
          <w:color w:val="auto"/>
        </w:rPr>
        <w:t>. Holders of Stock Units shall have no rights as stockholders of the Company. The Board or the Committee may provide in an Award Agreement evidencing a grant of Stock Units that the holder of such Stock Units shall be entitled to receive, upon the Company’s payment of a cash dividend on its outstanding Stock, a cash payment for each Stock Unit held equal to the per-share dividend paid on the Stock. Such Award Agreement may also provide that such cash payment will be deemed reinvested in additional Stock Units at a price per unit equal to the Fair Market Value of a share of Stock on the date that such dividend is paid.</w:t>
      </w:r>
    </w:p>
    <w:p>
      <w:pPr>
        <w:spacing w:after="0" w:line="179" w:lineRule="exact"/>
        <w:rPr>
          <w:sz w:val="20"/>
          <w:szCs w:val="20"/>
          <w:color w:val="auto"/>
        </w:rPr>
      </w:pPr>
    </w:p>
    <w:p>
      <w:pPr>
        <w:ind w:left="440" w:right="200" w:firstLine="771"/>
        <w:spacing w:after="0" w:line="253" w:lineRule="auto"/>
        <w:rPr>
          <w:sz w:val="20"/>
          <w:szCs w:val="20"/>
          <w:color w:val="auto"/>
        </w:rPr>
      </w:pPr>
      <w:r>
        <w:rPr>
          <w:rFonts w:ascii="Arial" w:cs="Arial" w:eastAsia="Arial" w:hAnsi="Arial"/>
          <w:sz w:val="18"/>
          <w:szCs w:val="18"/>
          <w:color w:val="auto"/>
        </w:rPr>
        <w:t xml:space="preserve">(ii)  </w:t>
      </w:r>
      <w:r>
        <w:rPr>
          <w:rFonts w:ascii="Arial" w:cs="Arial" w:eastAsia="Arial" w:hAnsi="Arial"/>
          <w:sz w:val="18"/>
          <w:szCs w:val="18"/>
          <w:b w:val="1"/>
          <w:bCs w:val="1"/>
          <w:u w:val="single" w:color="auto"/>
          <w:color w:val="auto"/>
        </w:rPr>
        <w:t>Creditor’s Rights</w:t>
      </w:r>
      <w:r>
        <w:rPr>
          <w:rFonts w:ascii="Arial" w:cs="Arial" w:eastAsia="Arial" w:hAnsi="Arial"/>
          <w:sz w:val="18"/>
          <w:szCs w:val="18"/>
          <w:color w:val="auto"/>
        </w:rPr>
        <w:t>. A holder of Stock Units shall have no rights other than those of a general creditor of the Company. Stock Units represent an unfunded and unsecured obligation of the Company, subject to the terms and conditions of the applicable Award Agreement.</w:t>
      </w:r>
    </w:p>
    <w:p>
      <w:pPr>
        <w:spacing w:after="0" w:line="169" w:lineRule="exact"/>
        <w:rPr>
          <w:sz w:val="20"/>
          <w:szCs w:val="20"/>
          <w:color w:val="auto"/>
        </w:rPr>
      </w:pPr>
    </w:p>
    <w:p>
      <w:pPr>
        <w:jc w:val="both"/>
        <w:ind w:firstLine="441"/>
        <w:spacing w:after="0" w:line="244"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b w:val="1"/>
          <w:bCs w:val="1"/>
          <w:u w:val="single" w:color="auto"/>
          <w:color w:val="auto"/>
        </w:rPr>
        <w:t>Purchase of Restricted Stock</w:t>
      </w:r>
      <w:r>
        <w:rPr>
          <w:rFonts w:ascii="Arial" w:cs="Arial" w:eastAsia="Arial" w:hAnsi="Arial"/>
          <w:sz w:val="18"/>
          <w:szCs w:val="18"/>
          <w:color w:val="auto"/>
        </w:rPr>
        <w:t>. The Grantee shall be required, to the extent required by applicable law, to purchase the Restricted Stock from the Company at a Purchase Price equal to the greater of (i) the aggregate par value of the shares of Stock represented by such Restricted Stock, or (ii) the Purchase Price, if any, specified in the Award Agreement relating to such Restricted Stock. The Purchase Price shall be payable in a form described in Section 12 or, in the discretion of the Board or the Committee, in consideration for past Services rendered to the Company or an Affiliate.</w:t>
      </w:r>
    </w:p>
    <w:p>
      <w:pPr>
        <w:spacing w:after="0" w:line="176" w:lineRule="exact"/>
        <w:rPr>
          <w:sz w:val="20"/>
          <w:szCs w:val="20"/>
          <w:color w:val="auto"/>
        </w:rPr>
      </w:pPr>
    </w:p>
    <w:p>
      <w:pPr>
        <w:jc w:val="both"/>
        <w:ind w:right="20" w:firstLine="441"/>
        <w:spacing w:after="0" w:line="242"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b w:val="1"/>
          <w:bCs w:val="1"/>
          <w:u w:val="single" w:color="auto"/>
          <w:color w:val="auto"/>
        </w:rPr>
        <w:t>Delivery of Stock</w:t>
      </w:r>
      <w:r>
        <w:rPr>
          <w:rFonts w:ascii="Arial" w:cs="Arial" w:eastAsia="Arial" w:hAnsi="Arial"/>
          <w:sz w:val="18"/>
          <w:szCs w:val="18"/>
          <w:color w:val="auto"/>
        </w:rPr>
        <w:t>. Upon the expiration or termination of any Restricted Period and the satisfaction of any other conditions prescribed by the Board or the Committee, the restrictions applicable to shares of Restricted Stock or Stock Units shall lapse, and, unless otherwise provided in the Award Agreement, a stock certificate or book-entry registration for such shares shall be delivered, free of all such restrictions, to the Grantee or the Grantee’s beneficiary or estate, as the case may be. Neither the Grantee, nor the Grantee’s beneficiary or estate, shall have any further rights with regard to a Stock Unit once the share of Stock represented by the Stock Unit (or cash or other property, as applicable) has been delivered.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TERMS AND CONDITIONS OF UNRESTRICTED STOCK AWARDS</w:t>
      </w:r>
    </w:p>
    <w:p>
      <w:pPr>
        <w:spacing w:after="0" w:line="212" w:lineRule="exact"/>
        <w:rPr>
          <w:sz w:val="20"/>
          <w:szCs w:val="20"/>
          <w:color w:val="auto"/>
        </w:rPr>
      </w:pPr>
    </w:p>
    <w:p>
      <w:pPr>
        <w:jc w:val="both"/>
        <w:ind w:right="20" w:firstLine="441"/>
        <w:spacing w:after="0" w:line="244" w:lineRule="auto"/>
        <w:rPr>
          <w:sz w:val="20"/>
          <w:szCs w:val="20"/>
          <w:color w:val="auto"/>
        </w:rPr>
      </w:pPr>
      <w:r>
        <w:rPr>
          <w:rFonts w:ascii="Arial" w:cs="Arial" w:eastAsia="Arial" w:hAnsi="Arial"/>
          <w:sz w:val="18"/>
          <w:szCs w:val="18"/>
          <w:color w:val="auto"/>
        </w:rPr>
        <w:t>The Board or the Committee may, in its sole discretion, grant (or sell at par value or such other higher Purchase Price determined by the Board or the Committee) an Award of Unrestricted Stock to any Grantee pursuant to which such Grantee may receive shares of Stock free of any restrictions (“</w:t>
      </w:r>
      <w:r>
        <w:rPr>
          <w:rFonts w:ascii="Arial" w:cs="Arial" w:eastAsia="Arial" w:hAnsi="Arial"/>
          <w:sz w:val="18"/>
          <w:szCs w:val="18"/>
          <w:u w:val="single" w:color="auto"/>
          <w:color w:val="auto"/>
        </w:rPr>
        <w:t>Unrestricted Stock</w:t>
      </w:r>
      <w:r>
        <w:rPr>
          <w:rFonts w:ascii="Arial" w:cs="Arial" w:eastAsia="Arial" w:hAnsi="Arial"/>
          <w:sz w:val="18"/>
          <w:szCs w:val="18"/>
          <w:color w:val="auto"/>
        </w:rPr>
        <w:t>”) under the Plan. Awards of Unrestricted Stock may be granted or sold as described in the preceding sentence in respect of past Services and other valid consideration, or in lieu of, or in addition to, any cash compensation due to such Grantee.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FORM OF PAYMENT FOR OPTIONS AND RESTRICTED STOCK</w:t>
      </w:r>
    </w:p>
    <w:p>
      <w:pPr>
        <w:spacing w:after="0" w:line="212" w:lineRule="exact"/>
        <w:rPr>
          <w:sz w:val="20"/>
          <w:szCs w:val="20"/>
          <w:color w:val="auto"/>
        </w:rPr>
      </w:pPr>
    </w:p>
    <w:p>
      <w:pPr>
        <w:jc w:val="both"/>
        <w:ind w:right="20" w:firstLine="441"/>
        <w:spacing w:after="0" w:line="271"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b w:val="1"/>
          <w:bCs w:val="1"/>
          <w:u w:val="single" w:color="auto"/>
          <w:color w:val="auto"/>
        </w:rPr>
        <w:t>General Rule</w:t>
      </w:r>
      <w:r>
        <w:rPr>
          <w:rFonts w:ascii="Arial" w:cs="Arial" w:eastAsia="Arial" w:hAnsi="Arial"/>
          <w:sz w:val="18"/>
          <w:szCs w:val="18"/>
          <w:color w:val="auto"/>
        </w:rPr>
        <w:t>. Payment of the Option Price for the shares purchased pursuant to the exercise of an Option or the Purchase Price for Restricted Stock shall be made in cash or in cash equivalents acceptable to the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-118745</wp:posOffset>
            </wp:positionV>
            <wp:extent cx="17145" cy="5143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7145" cy="5143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-59055</wp:posOffset>
            </wp:positionV>
            <wp:extent cx="685800" cy="16256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0" cy="1625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699516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688" w:right="439" w:bottom="1440" w:gutter="0" w:footer="0" w:header="0"/>
        </w:sectPr>
      </w:pPr>
    </w:p>
    <w:bookmarkStart w:id="95" w:name="page96"/>
    <w:bookmarkEnd w:id="95"/>
    <w:p>
      <w:pPr>
        <w:jc w:val="both"/>
        <w:ind w:firstLine="441"/>
        <w:spacing w:after="0" w:line="247"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b w:val="1"/>
          <w:bCs w:val="1"/>
          <w:u w:val="single" w:color="auto"/>
          <w:color w:val="auto"/>
        </w:rPr>
        <w:t>Surrender of Stock</w:t>
      </w:r>
      <w:r>
        <w:rPr>
          <w:rFonts w:ascii="Arial" w:cs="Arial" w:eastAsia="Arial" w:hAnsi="Arial"/>
          <w:sz w:val="18"/>
          <w:szCs w:val="18"/>
          <w:color w:val="auto"/>
        </w:rPr>
        <w:t>. To the extent the Award Agreement so provides, payment of the Option Price for shares of Stock purchased pursuant to the exercise of an Option or the Purchase Price for Restricted Stock may be made all or in part through the tender to the Company of shares of Stock, which shall be valued, for purposes of determining the extent to which the Option Price or Purchase Price has been paid thereby, at their Fair Market Value on the date of exercise or surrender.</w:t>
      </w:r>
    </w:p>
    <w:p>
      <w:pPr>
        <w:spacing w:after="0" w:line="174" w:lineRule="exact"/>
        <w:rPr>
          <w:sz w:val="20"/>
          <w:szCs w:val="20"/>
          <w:color w:val="auto"/>
        </w:rPr>
      </w:pPr>
    </w:p>
    <w:p>
      <w:pPr>
        <w:jc w:val="both"/>
        <w:ind w:right="20" w:firstLine="441"/>
        <w:spacing w:after="0" w:line="244"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b w:val="1"/>
          <w:bCs w:val="1"/>
          <w:u w:val="single" w:color="auto"/>
          <w:color w:val="auto"/>
        </w:rPr>
        <w:t>Cashless Exercise; Net Exercise</w:t>
      </w:r>
      <w:r>
        <w:rPr>
          <w:rFonts w:ascii="Arial" w:cs="Arial" w:eastAsia="Arial" w:hAnsi="Arial"/>
          <w:sz w:val="18"/>
          <w:szCs w:val="18"/>
          <w:color w:val="auto"/>
        </w:rPr>
        <w:t>. With respect to an Option only (and not with respect to Restricted Stock), to the extent permitted by law and to the extent the Award Agreement so provides, payment of the Option Price for shares purchased pursuant to the exercise of an Option may be made all or in part by (i) delivery (on a form acceptable to the Board or the Committee) of an irrevocable direction to a licensed securities broker acceptable to the Company to sell shares of Stock and to deliver all or part of the sales proceeds to the Company in payment of the Option Price and any withholding taxes described in Section 18.3, or (ii) a Net Exercise.</w:t>
      </w:r>
    </w:p>
    <w:p>
      <w:pPr>
        <w:spacing w:after="0" w:line="176" w:lineRule="exact"/>
        <w:rPr>
          <w:sz w:val="20"/>
          <w:szCs w:val="20"/>
          <w:color w:val="auto"/>
        </w:rPr>
      </w:pPr>
    </w:p>
    <w:p>
      <w:pPr>
        <w:jc w:val="both"/>
        <w:ind w:right="20" w:firstLine="441"/>
        <w:spacing w:after="0" w:line="253"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b w:val="1"/>
          <w:bCs w:val="1"/>
          <w:u w:val="single" w:color="auto"/>
          <w:color w:val="auto"/>
        </w:rPr>
        <w:t>Other Forms of Payment</w:t>
      </w:r>
      <w:r>
        <w:rPr>
          <w:rFonts w:ascii="Arial" w:cs="Arial" w:eastAsia="Arial" w:hAnsi="Arial"/>
          <w:sz w:val="18"/>
          <w:szCs w:val="18"/>
          <w:color w:val="auto"/>
        </w:rPr>
        <w:t>. To the extent the Award Agreement so provides, payment of the Option Price for shares purchased pursuant to exercise of an Option or the Purchase Price for Restricted Stock may be made in any other form that is consistent with applicable laws, regulations and rules.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TERMS AND CONDITIONS OF DIVIDEND EQUIVALENT RIGHTS</w:t>
      </w:r>
    </w:p>
    <w:p>
      <w:pPr>
        <w:spacing w:after="0" w:line="212" w:lineRule="exact"/>
        <w:rPr>
          <w:sz w:val="20"/>
          <w:szCs w:val="20"/>
          <w:color w:val="auto"/>
        </w:rPr>
      </w:pPr>
    </w:p>
    <w:p>
      <w:pPr>
        <w:jc w:val="both"/>
        <w:ind w:firstLine="441"/>
        <w:spacing w:after="0" w:line="237"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b w:val="1"/>
          <w:bCs w:val="1"/>
          <w:u w:val="single" w:color="auto"/>
          <w:color w:val="auto"/>
        </w:rPr>
        <w:t>Dividend Equivalent Rights</w:t>
      </w:r>
      <w:r>
        <w:rPr>
          <w:rFonts w:ascii="Arial" w:cs="Arial" w:eastAsia="Arial" w:hAnsi="Arial"/>
          <w:sz w:val="18"/>
          <w:szCs w:val="18"/>
          <w:color w:val="auto"/>
        </w:rPr>
        <w:t xml:space="preserve">. A Dividend Equivalent Right is an Award entitling the recipient to receive credits based on cash distributions that would have been paid on the shares of Stock specified in the Dividend Equivalent Right (or other Award to which it relates) if such shares of Stock had been issued to and held by the recipient. A Dividend Equivalent Right may be granted hereunder to any Grantee,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Dividend Equivalent Rights may be granted in connection with, or related to, an Award of Options or SARs. The terms and conditions of Dividend Equivalent Rights shall be specified in the Award Agreement. Dividend Equivalents credited to the holder of a Dividend Equivalent Right may be paid currently or at the end of any applicable vesting period, or may be deemed to be reinvested in additional shares of Stock, which may thereafter accrue additional equivalents. Any such reinvestment shall be at Fair Market Value on the date of reinvestment. Dividend Equivalent Rights may be settled in cash or Stock or a combination thereof, in a single installment or installments, all determined in the sole discretion of the Board or the Committee. A Dividend Equivalent Right granted as a component of another Award may provide that such Dividend Equivalent Right shall be settled upon exercise, settlement, or payment of, or lapse of restrictions on, such other Award, and that such Dividend Equivalent Right shall expire or be forfeited or annulled under the same conditions as such other Award. A Dividend Equivalent Right granted as a component of another Award also may contain terms and conditions which are different from the terms and conditions of such other Award,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Dividend Equivalent Rights credited pursuant to a Dividend Equivalent Right granted as a component of another Award which vests or is earned based upon the achievement of performance goals shall not vest or become payable unless such performance goals for such underlying Award are achieved, and if such performance goals are not achieved, the Grantee of such Dividend Equivalent Rights shall promptly forfeit and repay to the Company payments made in connection with such Dividend Equivalent Rights. Awards of Dividend Equivalent rights shall be subject to the Minimum Vesting Requirements.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TERMS AND CONDITIONS OF PERFORMANCE SHARES AND PERFORMANCE UNITS AWARDS</w:t>
      </w:r>
    </w:p>
    <w:p>
      <w:pPr>
        <w:spacing w:after="0" w:line="212" w:lineRule="exact"/>
        <w:rPr>
          <w:sz w:val="20"/>
          <w:szCs w:val="20"/>
          <w:color w:val="auto"/>
        </w:rPr>
      </w:pPr>
    </w:p>
    <w:p>
      <w:pPr>
        <w:jc w:val="both"/>
        <w:ind w:right="20" w:firstLine="441"/>
        <w:spacing w:after="0" w:line="253"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b w:val="1"/>
          <w:bCs w:val="1"/>
          <w:u w:val="single" w:color="auto"/>
          <w:color w:val="auto"/>
        </w:rPr>
        <w:t>Grant of Performance Units/Performance Shares</w:t>
      </w:r>
      <w:r>
        <w:rPr>
          <w:rFonts w:ascii="Arial" w:cs="Arial" w:eastAsia="Arial" w:hAnsi="Arial"/>
          <w:sz w:val="18"/>
          <w:szCs w:val="18"/>
          <w:color w:val="auto"/>
        </w:rPr>
        <w:t>. Subject to the terms and provisions of this Plan, the Board or Committee, at any time and from time to time, may grant Awards of Performance Units and/or Performance Shares to Grantees in such amounts and upon such terms as the Board or Committee shall determine.</w:t>
      </w:r>
    </w:p>
    <w:p>
      <w:pPr>
        <w:spacing w:after="0" w:line="169" w:lineRule="exact"/>
        <w:rPr>
          <w:sz w:val="20"/>
          <w:szCs w:val="20"/>
          <w:color w:val="auto"/>
        </w:rPr>
      </w:pPr>
    </w:p>
    <w:p>
      <w:pPr>
        <w:jc w:val="both"/>
        <w:ind w:right="20" w:firstLine="441"/>
        <w:spacing w:after="0" w:line="244"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b w:val="1"/>
          <w:bCs w:val="1"/>
          <w:u w:val="single" w:color="auto"/>
          <w:color w:val="auto"/>
        </w:rPr>
        <w:t>Award Agreement</w:t>
      </w:r>
      <w:r>
        <w:rPr>
          <w:rFonts w:ascii="Arial" w:cs="Arial" w:eastAsia="Arial" w:hAnsi="Arial"/>
          <w:sz w:val="18"/>
          <w:szCs w:val="18"/>
          <w:color w:val="auto"/>
        </w:rPr>
        <w:t>. Each Award of Performance Shares or Performance Units shall be evidenced by an Award Agreement that shall specify the number of Performance Shares or Performance Units subject to the Award, the performance objectives (which may include Performance Measures), the Performance Period applicable to the Award, any other conditions or restrictions on the Award, and such other terms and conditions as the Board or Committee, in its discretion, determines and as are consistent with this Plan. Each Performance Share shall have an initial value equal to the Fair Market Value of a Share on the Grant Date.</w:t>
      </w:r>
    </w:p>
    <w:p>
      <w:pPr>
        <w:spacing w:after="0" w:line="176" w:lineRule="exact"/>
        <w:rPr>
          <w:sz w:val="20"/>
          <w:szCs w:val="20"/>
          <w:color w:val="auto"/>
        </w:rPr>
      </w:pPr>
    </w:p>
    <w:p>
      <w:pPr>
        <w:jc w:val="both"/>
        <w:ind w:right="20" w:firstLine="441"/>
        <w:spacing w:after="0" w:line="271"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b w:val="1"/>
          <w:bCs w:val="1"/>
          <w:u w:val="single" w:color="auto"/>
          <w:color w:val="auto"/>
        </w:rPr>
        <w:t>Performance Objectives</w:t>
      </w:r>
      <w:r>
        <w:rPr>
          <w:rFonts w:ascii="Arial" w:cs="Arial" w:eastAsia="Arial" w:hAnsi="Arial"/>
          <w:sz w:val="18"/>
          <w:szCs w:val="18"/>
          <w:color w:val="auto"/>
        </w:rPr>
        <w:t>. Any grant of Performance Shares or Performance Units shall specify performance objectives (which may include Performance Measures), which, if achieved, will result in payment or early payment of the</w:t>
      </w:r>
    </w:p>
    <w:p>
      <w:pPr>
        <w:spacing w:after="0" w:line="154" w:lineRule="exact"/>
        <w:rPr>
          <w:sz w:val="20"/>
          <w:szCs w:val="20"/>
          <w:color w:val="auto"/>
        </w:rPr>
      </w:pPr>
    </w:p>
    <w:p>
      <w:pPr>
        <w:jc w:val="right"/>
        <w:ind w:right="80"/>
        <w:spacing w:after="0"/>
        <w:rPr>
          <w:sz w:val="20"/>
          <w:szCs w:val="20"/>
          <w:color w:val="auto"/>
        </w:rPr>
      </w:pPr>
      <w:r>
        <w:rPr>
          <w:rFonts w:ascii="Arial" w:cs="Arial" w:eastAsia="Arial" w:hAnsi="Arial"/>
          <w:sz w:val="18"/>
          <w:szCs w:val="18"/>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6777990</wp:posOffset>
            </wp:positionH>
            <wp:positionV relativeFrom="paragraph">
              <wp:posOffset>-118745</wp:posOffset>
            </wp:positionV>
            <wp:extent cx="17145" cy="3854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7145" cy="385445"/>
                    </a:xfrm>
                    <a:prstGeom prst="rect">
                      <a:avLst/>
                    </a:prstGeom>
                    <a:noFill/>
                  </pic:spPr>
                </pic:pic>
              </a:graphicData>
            </a:graphic>
          </wp:anchor>
        </w:drawing>
        <w:drawing>
          <wp:anchor simplePos="0" relativeHeight="251657728" behindDoc="1" locked="0" layoutInCell="0" allowOverlap="1">
            <wp:simplePos x="0" y="0"/>
            <wp:positionH relativeFrom="column">
              <wp:posOffset>4798060</wp:posOffset>
            </wp:positionH>
            <wp:positionV relativeFrom="paragraph">
              <wp:posOffset>-50165</wp:posOffset>
            </wp:positionV>
            <wp:extent cx="685800" cy="16256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0" cy="162560"/>
                    </a:xfrm>
                    <a:prstGeom prst="rect">
                      <a:avLst/>
                    </a:prstGeom>
                    <a:noFill/>
                  </pic:spPr>
                </pic:pic>
              </a:graphicData>
            </a:graphic>
          </wp:anchor>
        </w:drawing>
      </w:r>
    </w:p>
    <w:p>
      <w:pPr>
        <w:jc w:val="right"/>
        <w:ind w:right="120"/>
        <w:spacing w:after="0"/>
        <w:rPr>
          <w:sz w:val="20"/>
          <w:szCs w:val="20"/>
          <w:color w:val="auto"/>
        </w:rPr>
      </w:pPr>
      <w:r>
        <w:rPr>
          <w:rFonts w:ascii="Arial" w:cs="Arial" w:eastAsia="Arial" w:hAnsi="Arial"/>
          <w:sz w:val="18"/>
          <w:szCs w:val="18"/>
          <w:color w:val="auto"/>
        </w:rPr>
        <w:t xml:space="preserve">- 2024 Proxy Statement  </w:t>
      </w:r>
      <w:r>
        <w:rPr>
          <w:rFonts w:ascii="Arial" w:cs="Arial" w:eastAsia="Arial" w:hAnsi="Arial"/>
          <w:sz w:val="18"/>
          <w:szCs w:val="18"/>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699516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661" w:right="439" w:bottom="1440" w:gutter="0" w:footer="0" w:header="0"/>
        </w:sectPr>
      </w:pPr>
    </w:p>
    <w:bookmarkStart w:id="96" w:name="page97"/>
    <w:bookmarkEnd w:id="96"/>
    <w:p>
      <w:pPr>
        <w:jc w:val="both"/>
        <w:ind w:left="4"/>
        <w:spacing w:after="0" w:line="247" w:lineRule="auto"/>
        <w:rPr>
          <w:sz w:val="20"/>
          <w:szCs w:val="20"/>
          <w:color w:val="auto"/>
        </w:rPr>
      </w:pPr>
      <w:r>
        <w:rPr>
          <w:rFonts w:ascii="Arial" w:cs="Arial" w:eastAsia="Arial" w:hAnsi="Arial"/>
          <w:sz w:val="18"/>
          <w:szCs w:val="18"/>
          <w:color w:val="auto"/>
        </w:rPr>
        <w:t>Award. Each grant shall specify a minimum acceptable level of achievement of the performance objectives and shall set forth a formula for determining the number of Performance Shares or Performance Units that will be earned if performance is at or above minimum level, but falls short of full achievement of the specified performance objectives. Before the Performance Shares or Performance Units shall be earned and paid, the Committee must determine the level of achievement of the performance objectives.</w:t>
      </w:r>
    </w:p>
    <w:p>
      <w:pPr>
        <w:spacing w:after="0" w:line="174" w:lineRule="exact"/>
        <w:rPr>
          <w:sz w:val="20"/>
          <w:szCs w:val="20"/>
          <w:color w:val="auto"/>
        </w:rPr>
      </w:pPr>
    </w:p>
    <w:p>
      <w:pPr>
        <w:jc w:val="both"/>
        <w:ind w:left="4" w:right="20" w:firstLine="441"/>
        <w:spacing w:after="0" w:line="245" w:lineRule="auto"/>
        <w:rPr>
          <w:sz w:val="20"/>
          <w:szCs w:val="20"/>
          <w:color w:val="auto"/>
        </w:rPr>
      </w:pPr>
      <w:r>
        <w:rPr>
          <w:rFonts w:ascii="Arial" w:cs="Arial" w:eastAsia="Arial" w:hAnsi="Arial"/>
          <w:sz w:val="18"/>
          <w:szCs w:val="18"/>
          <w:color w:val="auto"/>
        </w:rPr>
        <w:t xml:space="preserve">14.4  </w:t>
      </w:r>
      <w:r>
        <w:rPr>
          <w:rFonts w:ascii="Arial" w:cs="Arial" w:eastAsia="Arial" w:hAnsi="Arial"/>
          <w:sz w:val="18"/>
          <w:szCs w:val="18"/>
          <w:b w:val="1"/>
          <w:bCs w:val="1"/>
          <w:u w:val="single" w:color="auto"/>
          <w:color w:val="auto"/>
        </w:rPr>
        <w:t>Timing For Establishing Performance Goals</w:t>
      </w:r>
      <w:r>
        <w:rPr>
          <w:rFonts w:ascii="Arial" w:cs="Arial" w:eastAsia="Arial" w:hAnsi="Arial"/>
          <w:sz w:val="18"/>
          <w:szCs w:val="18"/>
          <w:color w:val="auto"/>
        </w:rPr>
        <w:t>. For Performance Awards other than Options that are intended to qualify as “performance-based compensation” for purposes of Code Section 409A, performance goals shall be established not later than ninety</w:t>
      </w:r>
    </w:p>
    <w:p>
      <w:pPr>
        <w:ind w:left="4" w:right="20" w:hanging="4"/>
        <w:spacing w:after="0" w:line="250" w:lineRule="auto"/>
        <w:tabs>
          <w:tab w:leader="none" w:pos="37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days after the beginning of any performance period applicable to such Awards, or at such other date as may be required or permitted for “performance-based compensation” under Code Section 409A and the regulations issued thereunder.</w:t>
      </w:r>
    </w:p>
    <w:p>
      <w:pPr>
        <w:spacing w:after="0" w:line="172" w:lineRule="exact"/>
        <w:rPr>
          <w:sz w:val="20"/>
          <w:szCs w:val="20"/>
          <w:color w:val="auto"/>
        </w:rPr>
      </w:pPr>
    </w:p>
    <w:p>
      <w:pPr>
        <w:jc w:val="both"/>
        <w:ind w:left="4" w:right="20" w:firstLine="441"/>
        <w:spacing w:after="0" w:line="244" w:lineRule="auto"/>
        <w:rPr>
          <w:sz w:val="20"/>
          <w:szCs w:val="20"/>
          <w:color w:val="auto"/>
        </w:rPr>
      </w:pPr>
      <w:r>
        <w:rPr>
          <w:rFonts w:ascii="Arial" w:cs="Arial" w:eastAsia="Arial" w:hAnsi="Arial"/>
          <w:sz w:val="18"/>
          <w:szCs w:val="18"/>
          <w:color w:val="auto"/>
        </w:rPr>
        <w:t xml:space="preserve">14.5  </w:t>
      </w:r>
      <w:r>
        <w:rPr>
          <w:rFonts w:ascii="Arial" w:cs="Arial" w:eastAsia="Arial" w:hAnsi="Arial"/>
          <w:sz w:val="18"/>
          <w:szCs w:val="18"/>
          <w:b w:val="1"/>
          <w:bCs w:val="1"/>
          <w:u w:val="single" w:color="auto"/>
          <w:color w:val="auto"/>
        </w:rPr>
        <w:t>Settlement of Performance Awards; Other Terms</w:t>
      </w:r>
      <w:r>
        <w:rPr>
          <w:rFonts w:ascii="Arial" w:cs="Arial" w:eastAsia="Arial" w:hAnsi="Arial"/>
          <w:sz w:val="18"/>
          <w:szCs w:val="18"/>
          <w:color w:val="auto"/>
        </w:rPr>
        <w:t>. Settlement of Performance Awards shall be in cash, Stock, other property or a combination thereof, in the discretion of the Committee. The Committee may, in its discretion, reduce the amount of a settlement otherwise to be made in connection with such Performance Awards. The Committee shall specify the circumstances in which such Performance Awards shall be paid or forfeited in the event of termination of Service by the Grantee prior to the end of a performance period or settlement of Performance Awards.</w:t>
      </w:r>
    </w:p>
    <w:p>
      <w:pPr>
        <w:spacing w:after="0" w:line="176" w:lineRule="exact"/>
        <w:rPr>
          <w:sz w:val="20"/>
          <w:szCs w:val="20"/>
          <w:color w:val="auto"/>
        </w:rPr>
      </w:pPr>
    </w:p>
    <w:p>
      <w:pPr>
        <w:jc w:val="both"/>
        <w:ind w:left="4" w:firstLine="441"/>
        <w:spacing w:after="0"/>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b w:val="1"/>
          <w:bCs w:val="1"/>
          <w:u w:val="single" w:color="auto"/>
          <w:color w:val="auto"/>
        </w:rPr>
        <w:t>Performance Measures</w:t>
      </w:r>
      <w:r>
        <w:rPr>
          <w:rFonts w:ascii="Arial" w:cs="Arial" w:eastAsia="Arial" w:hAnsi="Arial"/>
          <w:sz w:val="18"/>
          <w:szCs w:val="18"/>
          <w:color w:val="auto"/>
        </w:rPr>
        <w:t>. Any Performance Measure(s) may be used to measure the performance of the Company, any Subsidiary, and/or any Affiliate as a whole or any business unit of the Company, any Subsidiary, and/or any Affiliate or any combination thereof, as the Committee may deem appropriate, or any of the Performance Measures as compared to the performance of a group of comparator companies, or published or special index that the Committee, in its sole discretion, deems appropriate, or the Company may select share price, including growth measures and total stockholder return as compared to various stock market indices. The Committee also has the authority to provide for accelerated vesting of any Performance Award based on the achievement of performance goals pursuant to the Performance Measures.</w:t>
      </w:r>
    </w:p>
    <w:p>
      <w:pPr>
        <w:spacing w:after="0" w:line="77" w:lineRule="exact"/>
        <w:rPr>
          <w:sz w:val="20"/>
          <w:szCs w:val="20"/>
          <w:color w:val="auto"/>
        </w:rPr>
      </w:pPr>
    </w:p>
    <w:p>
      <w:pPr>
        <w:ind w:left="444" w:right="320" w:firstLine="441"/>
        <w:spacing w:after="0" w:line="244"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u w:val="single" w:color="auto"/>
          <w:color w:val="auto"/>
        </w:rPr>
        <w:t>Evaluation of Performance</w:t>
      </w:r>
      <w:r>
        <w:rPr>
          <w:rFonts w:ascii="Arial" w:cs="Arial" w:eastAsia="Arial" w:hAnsi="Arial"/>
          <w:sz w:val="18"/>
          <w:szCs w:val="18"/>
          <w:color w:val="auto"/>
        </w:rPr>
        <w:t xml:space="preserve">. The Committee may provide in any Award Agreement that any evaluation of performance may include or exclude any of the following events that occur during a Performance Period: </w:t>
      </w:r>
      <w:r>
        <w:rPr>
          <w:rFonts w:ascii="Arial" w:cs="Arial" w:eastAsia="Arial" w:hAnsi="Arial"/>
          <w:sz w:val="18"/>
          <w:szCs w:val="18"/>
          <w:b w:val="1"/>
          <w:bCs w:val="1"/>
          <w:color w:val="auto"/>
        </w:rPr>
        <w:t>(</w:t>
      </w:r>
      <w:r>
        <w:rPr>
          <w:rFonts w:ascii="Arial" w:cs="Arial" w:eastAsia="Arial" w:hAnsi="Arial"/>
          <w:sz w:val="18"/>
          <w:szCs w:val="18"/>
          <w:color w:val="auto"/>
        </w:rPr>
        <w:t>a) asset write-downs; (b) litigation or claim judgments or settlements; (c) the effect of changes in tax laws, accounting principles, or other laws or provisions affecting reported results; (d) any reorganization and restructuring programs; (e) events or circumstances that are unusual in nature or infrequently occurring; (f) acquisitions or divestitures; and (g) foreign exchange gains and losses.</w:t>
      </w:r>
    </w:p>
    <w:p>
      <w:pPr>
        <w:spacing w:after="0" w:line="68" w:lineRule="exact"/>
        <w:rPr>
          <w:sz w:val="20"/>
          <w:szCs w:val="20"/>
          <w:color w:val="auto"/>
        </w:rPr>
      </w:pPr>
    </w:p>
    <w:p>
      <w:pPr>
        <w:jc w:val="both"/>
        <w:ind w:left="444" w:right="760" w:firstLine="441"/>
        <w:spacing w:after="0" w:line="253" w:lineRule="auto"/>
        <w:rPr>
          <w:sz w:val="20"/>
          <w:szCs w:val="20"/>
          <w:color w:val="auto"/>
        </w:rPr>
      </w:pPr>
      <w:r>
        <w:rPr>
          <w:rFonts w:ascii="Arial" w:cs="Arial" w:eastAsia="Arial" w:hAnsi="Arial"/>
          <w:sz w:val="18"/>
          <w:szCs w:val="18"/>
          <w:color w:val="auto"/>
        </w:rPr>
        <w:t xml:space="preserve">(ii)  </w:t>
      </w:r>
      <w:r>
        <w:rPr>
          <w:rFonts w:ascii="Arial" w:cs="Arial" w:eastAsia="Arial" w:hAnsi="Arial"/>
          <w:sz w:val="18"/>
          <w:szCs w:val="18"/>
          <w:b w:val="1"/>
          <w:bCs w:val="1"/>
          <w:u w:val="single" w:color="auto"/>
          <w:color w:val="auto"/>
        </w:rPr>
        <w:t>Adjustment of Performance-Based Compensation</w:t>
      </w:r>
      <w:r>
        <w:rPr>
          <w:rFonts w:ascii="Arial" w:cs="Arial" w:eastAsia="Arial" w:hAnsi="Arial"/>
          <w:sz w:val="18"/>
          <w:szCs w:val="18"/>
          <w:color w:val="auto"/>
        </w:rPr>
        <w:t>. Awards that are intended to qualify as Performance-Based Compensation may be adjusted upward or downward, either on a formula or discretionary basis, or any combination as the Committee determines.</w:t>
      </w:r>
    </w:p>
    <w:p>
      <w:pPr>
        <w:spacing w:after="0" w:line="169" w:lineRule="exact"/>
        <w:rPr>
          <w:sz w:val="20"/>
          <w:szCs w:val="20"/>
          <w:color w:val="auto"/>
        </w:rPr>
      </w:pPr>
    </w:p>
    <w:p>
      <w:pPr>
        <w:jc w:val="both"/>
        <w:ind w:left="4" w:firstLine="441"/>
        <w:spacing w:after="0" w:line="247" w:lineRule="auto"/>
        <w:rPr>
          <w:sz w:val="20"/>
          <w:szCs w:val="20"/>
          <w:color w:val="auto"/>
        </w:rPr>
      </w:pPr>
      <w:r>
        <w:rPr>
          <w:rFonts w:ascii="Arial" w:cs="Arial" w:eastAsia="Arial" w:hAnsi="Arial"/>
          <w:sz w:val="18"/>
          <w:szCs w:val="18"/>
          <w:color w:val="auto"/>
        </w:rPr>
        <w:t xml:space="preserve">14.7  </w:t>
      </w:r>
      <w:r>
        <w:rPr>
          <w:rFonts w:ascii="Arial" w:cs="Arial" w:eastAsia="Arial" w:hAnsi="Arial"/>
          <w:sz w:val="18"/>
          <w:szCs w:val="18"/>
          <w:b w:val="1"/>
          <w:bCs w:val="1"/>
          <w:u w:val="single" w:color="auto"/>
          <w:color w:val="auto"/>
        </w:rPr>
        <w:t>Dividends and Dividend Equivalents</w:t>
      </w:r>
      <w:r>
        <w:rPr>
          <w:rFonts w:ascii="Arial" w:cs="Arial" w:eastAsia="Arial" w:hAnsi="Arial"/>
          <w:sz w:val="18"/>
          <w:szCs w:val="18"/>
          <w:color w:val="auto"/>
        </w:rPr>
        <w:t>. The Committee may, at the Grant Date of Performance Shares or Performance Units, provide for payment of dividends or dividend equivalents to the Grantee either in cash or in additional Shares, subject in all cases to deferral and payment on a contingent basis based on Grantee’s earning of the Performance Shares or Performance Units with respect to which such dividend equivalents or dividends are paid.</w:t>
      </w:r>
    </w:p>
    <w:p>
      <w:pPr>
        <w:spacing w:after="0" w:line="174" w:lineRule="exact"/>
        <w:rPr>
          <w:sz w:val="20"/>
          <w:szCs w:val="20"/>
          <w:color w:val="auto"/>
        </w:rPr>
      </w:pPr>
    </w:p>
    <w:p>
      <w:pPr>
        <w:jc w:val="both"/>
        <w:ind w:left="4" w:right="20" w:firstLine="441"/>
        <w:spacing w:after="0" w:line="271" w:lineRule="auto"/>
        <w:rPr>
          <w:sz w:val="20"/>
          <w:szCs w:val="20"/>
          <w:color w:val="auto"/>
        </w:rPr>
      </w:pPr>
      <w:r>
        <w:rPr>
          <w:rFonts w:ascii="Arial" w:cs="Arial" w:eastAsia="Arial" w:hAnsi="Arial"/>
          <w:sz w:val="18"/>
          <w:szCs w:val="18"/>
          <w:color w:val="auto"/>
        </w:rPr>
        <w:t xml:space="preserve">14.8  </w:t>
      </w:r>
      <w:r>
        <w:rPr>
          <w:rFonts w:ascii="Arial" w:cs="Arial" w:eastAsia="Arial" w:hAnsi="Arial"/>
          <w:sz w:val="18"/>
          <w:szCs w:val="18"/>
          <w:b w:val="1"/>
          <w:bCs w:val="1"/>
          <w:u w:val="single" w:color="auto"/>
          <w:color w:val="auto"/>
        </w:rPr>
        <w:t>Minimum Vesting Requirements</w:t>
      </w:r>
      <w:r>
        <w:rPr>
          <w:rFonts w:ascii="Arial" w:cs="Arial" w:eastAsia="Arial" w:hAnsi="Arial"/>
          <w:sz w:val="18"/>
          <w:szCs w:val="18"/>
          <w:color w:val="auto"/>
        </w:rPr>
        <w:t>. Except for Substitute Awards and the Minimum Vesting Requirements exceptions, Awards of Performance Shares and Performance Units shall have a vesting period of at least twelve (12) months from the Grant Date.</w:t>
      </w:r>
    </w:p>
    <w:p>
      <w:pPr>
        <w:spacing w:after="0" w:line="15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15.   PARACHUTE LIMITATIONS</w:t>
      </w:r>
    </w:p>
    <w:p>
      <w:pPr>
        <w:spacing w:after="0" w:line="212" w:lineRule="exact"/>
        <w:rPr>
          <w:sz w:val="20"/>
          <w:szCs w:val="20"/>
          <w:color w:val="auto"/>
        </w:rPr>
      </w:pPr>
    </w:p>
    <w:p>
      <w:pPr>
        <w:jc w:val="both"/>
        <w:ind w:left="4" w:right="20" w:firstLine="441"/>
        <w:spacing w:after="0"/>
        <w:rPr>
          <w:sz w:val="20"/>
          <w:szCs w:val="20"/>
          <w:color w:val="auto"/>
        </w:rPr>
      </w:pPr>
      <w:r>
        <w:rPr>
          <w:rFonts w:ascii="Arial" w:cs="Arial" w:eastAsia="Arial" w:hAnsi="Arial"/>
          <w:sz w:val="18"/>
          <w:szCs w:val="18"/>
          <w:color w:val="auto"/>
        </w:rPr>
        <w:t>Notwithstanding any other provision of this Plan or of any Award Agreement or other agreement, contract, or understanding heretofore or hereafter entered into by a Grantee with the Company or any Affiliate, except an agreement, contract, or understanding that expressly addresses Section 280G or Section 4999 of the Code (an “</w:t>
      </w:r>
      <w:r>
        <w:rPr>
          <w:rFonts w:ascii="Arial" w:cs="Arial" w:eastAsia="Arial" w:hAnsi="Arial"/>
          <w:sz w:val="18"/>
          <w:szCs w:val="18"/>
          <w:u w:val="single" w:color="auto"/>
          <w:color w:val="auto"/>
        </w:rPr>
        <w:t>Other Agreement</w:t>
      </w:r>
      <w:r>
        <w:rPr>
          <w:rFonts w:ascii="Arial" w:cs="Arial" w:eastAsia="Arial" w:hAnsi="Arial"/>
          <w:sz w:val="18"/>
          <w:szCs w:val="18"/>
          <w:color w:val="auto"/>
        </w:rPr>
        <w:t>”), and notwithstanding any formal or informal plan or other arrangement for the direct or indirect provision of compensation to the Grantee (including groups or classes of Grantees or beneficiaries of which the Grantee is a member), whether or not such compensation is deferred, is in cash, or is in the form of a benefit to or for the Grantee (a “</w:t>
      </w:r>
      <w:r>
        <w:rPr>
          <w:rFonts w:ascii="Arial" w:cs="Arial" w:eastAsia="Arial" w:hAnsi="Arial"/>
          <w:sz w:val="18"/>
          <w:szCs w:val="18"/>
          <w:u w:val="single" w:color="auto"/>
          <w:color w:val="auto"/>
        </w:rPr>
        <w:t>Benefit Arrangement</w:t>
      </w:r>
      <w:r>
        <w:rPr>
          <w:rFonts w:ascii="Arial" w:cs="Arial" w:eastAsia="Arial" w:hAnsi="Arial"/>
          <w:sz w:val="18"/>
          <w:szCs w:val="18"/>
          <w:color w:val="auto"/>
        </w:rPr>
        <w:t>”), if the Grantee is a “disqualified individual,” as defined in Section 280G(c) of the Code, any Option, Restricted Stock, Stock</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-118745</wp:posOffset>
            </wp:positionV>
            <wp:extent cx="17145" cy="5143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7145" cy="514350"/>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-59055</wp:posOffset>
            </wp:positionV>
            <wp:extent cx="685800" cy="16319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0" cy="163195"/>
                    </a:xfrm>
                    <a:prstGeom prst="rect">
                      <a:avLst/>
                    </a:prstGeom>
                    <a:noFill/>
                  </pic:spPr>
                </pic:pic>
              </a:graphicData>
            </a:graphic>
          </wp:anchor>
        </w:drawing>
      </w:r>
    </w:p>
    <w:p>
      <w:pPr>
        <w:ind w:left="1584"/>
        <w:spacing w:after="0"/>
        <w:rPr>
          <w:sz w:val="20"/>
          <w:szCs w:val="20"/>
          <w:color w:val="auto"/>
        </w:rPr>
      </w:pPr>
      <w:r>
        <w:rPr>
          <w:rFonts w:ascii="Arial" w:cs="Arial" w:eastAsia="Arial" w:hAnsi="Arial"/>
          <w:sz w:val="18"/>
          <w:szCs w:val="18"/>
          <w:color w:val="auto"/>
        </w:rPr>
        <w:t>- 2024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699516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688" w:right="439" w:bottom="1440" w:gutter="0" w:footer="0" w:header="0"/>
        </w:sectPr>
      </w:pPr>
    </w:p>
    <w:bookmarkStart w:id="97" w:name="page98"/>
    <w:bookmarkEnd w:id="97"/>
    <w:p>
      <w:pPr>
        <w:jc w:val="both"/>
        <w:spacing w:after="0" w:line="237" w:lineRule="auto"/>
        <w:rPr>
          <w:sz w:val="20"/>
          <w:szCs w:val="20"/>
          <w:color w:val="auto"/>
        </w:rPr>
      </w:pPr>
      <w:r>
        <w:rPr>
          <w:rFonts w:ascii="Arial" w:cs="Arial" w:eastAsia="Arial" w:hAnsi="Arial"/>
          <w:sz w:val="18"/>
          <w:szCs w:val="18"/>
          <w:color w:val="auto"/>
        </w:rPr>
        <w:t>Unit, Performance Share or Performance Unit held by that Grantee and any right to receive any payment or other benefit under this Plan shall not become exercisable or vested (i) to the extent that such right to exercise, vesting, payment, or benefit, taking into account all other rights, payments, or benefits to or for the Grantee under this Plan, all Other Agreements, and all Benefit Arrangements, would cause any payment or benefit to the Grantee under this Plan to be considered a “parachute payment” within the meaning of Section 280G(b)(2) of the Code as then in effect (a “</w:t>
      </w:r>
      <w:r>
        <w:rPr>
          <w:rFonts w:ascii="Arial" w:cs="Arial" w:eastAsia="Arial" w:hAnsi="Arial"/>
          <w:sz w:val="18"/>
          <w:szCs w:val="18"/>
          <w:u w:val="single" w:color="auto"/>
          <w:color w:val="auto"/>
        </w:rPr>
        <w:t>Parachute Payment</w:t>
      </w:r>
      <w:r>
        <w:rPr>
          <w:rFonts w:ascii="Arial" w:cs="Arial" w:eastAsia="Arial" w:hAnsi="Arial"/>
          <w:sz w:val="18"/>
          <w:szCs w:val="18"/>
          <w:color w:val="auto"/>
        </w:rPr>
        <w:t>”), and (ii) if, as a result of receiving a Parachute Payment, the aggregate after-tax amounts received by the Grantee from the Company under this Plan, all Other Agreements, and all Benefit Arrangements would be less than the maximum after-tax amount that could be received by the Grantee without causing any such payment or benefit to be considered a Parachute Payment. In the event that the receipt of any such right to exercise, vesting, payment, or benefit under this Plan, in conjunction with all other rights, payments, or benefits to or for the Grantee under any Other Agreement or any Benefit Arrangement would cause the Grantee to be considered to have received a Parachute Payment under this Plan that would have the effect of decreasing the after-tax amount received by the Grantee as described in clause (ii) of the preceding sentence, then the Grantee shall have the right, in the Grantee’s sole discretion, to designate those rights, payments, or benefits under this Plan, any Other Agreements, and any Benefit Arrangements that should be reduced or eliminated so as to avoid having the payment or benefit to the Grantee under this Plan be deemed to be a Parachute Payment.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16.   REQUIREMENTS OF LAW</w:t>
      </w:r>
    </w:p>
    <w:p>
      <w:pPr>
        <w:spacing w:after="0" w:line="212" w:lineRule="exact"/>
        <w:rPr>
          <w:sz w:val="20"/>
          <w:szCs w:val="20"/>
          <w:color w:val="auto"/>
        </w:rPr>
      </w:pPr>
    </w:p>
    <w:p>
      <w:pPr>
        <w:jc w:val="both"/>
        <w:ind w:firstLine="441"/>
        <w:spacing w:after="0" w:line="236"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b w:val="1"/>
          <w:bCs w:val="1"/>
          <w:u w:val="single" w:color="auto"/>
          <w:color w:val="auto"/>
        </w:rPr>
        <w:t>General</w:t>
      </w:r>
      <w:r>
        <w:rPr>
          <w:rFonts w:ascii="Arial" w:cs="Arial" w:eastAsia="Arial" w:hAnsi="Arial"/>
          <w:sz w:val="18"/>
          <w:szCs w:val="18"/>
          <w:color w:val="auto"/>
        </w:rPr>
        <w:t>. The Company shall not be required to sell or issue any shares of Stock under any Award if the sale or issuance of such shares of Stock would constitute a violation by the Grantee, any other individual exercising an Option, or the Company of any provision of any law or regulation of any governmental authority, including without limitation any federal or state securities laws or regulations. If at any time the Company shall determine, in its discretion, that the listing, registration or qualification of any shares of Stock subject to an Award upon any securities exchange or under any governmental regulatory body is necessary or desirable as a condition of, or in connection with, the issuance or purchase of shares of Stock hereunder, no shares of Stock may be issued or sold to the Grantee or any other individual exercising an Option pursuant to such Award unless such listing, registration, qualification, consent or approval shall have been effected or obtained free of any conditions not acceptable to the Company, and any delay caused thereby shall in no way affect the date of termination of the Award. Without limiting the generality of the foregoing, in connection with the Securities Act, upon the exercise of any Option or any SAR that may be settled in shares of Stock or the delivery of any shares of Stock underlying an Award, unless a registration statement under such Securities Act is in effect with respect to the shares of Stock covered by such Award, the Company shall not be required to sell or issue such shares unless the Board has received evidence satisfactory to it that the Grantee or any other individual exercising an Option may acquire such shares pursuant to an exemption from registration under the Securities Act. Any determination in this connection by the Board shall be final, binding, and conclusive. The Company may, but shall in no event be obligated to, register any securities covered hereby pursuant to the Securities Act. The Company shall not be obligated to take any affirmative action in order to cause the exercise of an Option or a SAR or the issuance of shares of Stock pursuant to the Plan to comply with any law or regulation of any governmental authority. As to any jurisdiction that expressly imposes the requirement that an Option (or SAR that may be settled in shares of Stock) shall not be exercisable until the shares of Stock covered by such Option (or SAR) are registered or are exempt from registration, the exercise of such Option (or SAR) under circumstances in which the laws of such jurisdiction apply shall be deemed conditioned upon the effectiveness of such registration or the availability of such an exemption.</w:t>
      </w:r>
    </w:p>
    <w:p>
      <w:pPr>
        <w:spacing w:after="0" w:line="195" w:lineRule="exact"/>
        <w:rPr>
          <w:sz w:val="20"/>
          <w:szCs w:val="20"/>
          <w:color w:val="auto"/>
        </w:rPr>
      </w:pPr>
    </w:p>
    <w:p>
      <w:pPr>
        <w:jc w:val="both"/>
        <w:ind w:firstLine="441"/>
        <w:spacing w:after="0"/>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b w:val="1"/>
          <w:bCs w:val="1"/>
          <w:u w:val="single" w:color="auto"/>
          <w:color w:val="auto"/>
        </w:rPr>
        <w:t>Rule 16b-3</w:t>
      </w:r>
      <w:r>
        <w:rPr>
          <w:rFonts w:ascii="Arial" w:cs="Arial" w:eastAsia="Arial" w:hAnsi="Arial"/>
          <w:sz w:val="18"/>
          <w:szCs w:val="18"/>
          <w:color w:val="auto"/>
        </w:rPr>
        <w:t>. During any time when the Company has a class of equity security registered under Section 12 of the Exchange Act, it is the intent of the Company that Awards pursuant to the Plan and the exercise of Options and SARs granted hereunder will qualify for the exemption provided by Rule 16b-3 under the Exchange Act. To the extent that any provision of the Plan or action by the Board does not comply with the requirements of Rule 16b-3, it shall be deemed inoperative to the extent permitted by law and deemed advisable by the Board, and shall not affect the validity of the Plan. In the event that Rule 16b-3 is revised or replaced, the Board may exercise its discretion to modify this Plan in any respect necessary to satisfy the requirements of, or to take advantage of any features of, the revised exemption or its replacement.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17.  ADJUSTMENTS FOR CHANGES IN CAPITALIZATION</w:t>
      </w:r>
    </w:p>
    <w:p>
      <w:pPr>
        <w:spacing w:after="0" w:line="212"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b w:val="1"/>
          <w:bCs w:val="1"/>
          <w:u w:val="single" w:color="auto"/>
          <w:color w:val="auto"/>
        </w:rPr>
        <w:t>Mandatory Adjustments</w:t>
      </w:r>
      <w:r>
        <w:rPr>
          <w:rFonts w:ascii="Arial" w:cs="Arial" w:eastAsia="Arial" w:hAnsi="Arial"/>
          <w:sz w:val="18"/>
          <w:szCs w:val="18"/>
          <w:color w:val="auto"/>
        </w:rPr>
        <w:t>. In the event of an “equity restructuring” (as such term is defined in Financial Accounting Standards Board Accounting Standards Codification Topic 718, “Compensation — Stock Compensation”),</w:t>
      </w:r>
    </w:p>
    <w:p>
      <w:pPr>
        <w:spacing w:after="0" w:line="154" w:lineRule="exact"/>
        <w:rPr>
          <w:sz w:val="20"/>
          <w:szCs w:val="20"/>
          <w:color w:val="auto"/>
        </w:rPr>
      </w:pPr>
    </w:p>
    <w:p>
      <w:pPr>
        <w:jc w:val="right"/>
        <w:ind w:right="80"/>
        <w:spacing w:after="0"/>
        <w:rPr>
          <w:sz w:val="20"/>
          <w:szCs w:val="20"/>
          <w:color w:val="auto"/>
        </w:rPr>
      </w:pPr>
      <w:r>
        <w:rPr>
          <w:rFonts w:ascii="Arial" w:cs="Arial" w:eastAsia="Arial" w:hAnsi="Arial"/>
          <w:sz w:val="18"/>
          <w:szCs w:val="18"/>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6777990</wp:posOffset>
            </wp:positionH>
            <wp:positionV relativeFrom="paragraph">
              <wp:posOffset>-118745</wp:posOffset>
            </wp:positionV>
            <wp:extent cx="17145" cy="3854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7145" cy="385445"/>
                    </a:xfrm>
                    <a:prstGeom prst="rect">
                      <a:avLst/>
                    </a:prstGeom>
                    <a:noFill/>
                  </pic:spPr>
                </pic:pic>
              </a:graphicData>
            </a:graphic>
          </wp:anchor>
        </w:drawing>
        <w:drawing>
          <wp:anchor simplePos="0" relativeHeight="251657728" behindDoc="1" locked="0" layoutInCell="0" allowOverlap="1">
            <wp:simplePos x="0" y="0"/>
            <wp:positionH relativeFrom="column">
              <wp:posOffset>4798060</wp:posOffset>
            </wp:positionH>
            <wp:positionV relativeFrom="paragraph">
              <wp:posOffset>-50165</wp:posOffset>
            </wp:positionV>
            <wp:extent cx="685800" cy="16319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0" cy="163195"/>
                    </a:xfrm>
                    <a:prstGeom prst="rect">
                      <a:avLst/>
                    </a:prstGeom>
                    <a:noFill/>
                  </pic:spPr>
                </pic:pic>
              </a:graphicData>
            </a:graphic>
          </wp:anchor>
        </w:drawing>
      </w:r>
    </w:p>
    <w:p>
      <w:pPr>
        <w:jc w:val="right"/>
        <w:ind w:right="120"/>
        <w:spacing w:after="0"/>
        <w:rPr>
          <w:sz w:val="20"/>
          <w:szCs w:val="20"/>
          <w:color w:val="auto"/>
        </w:rPr>
      </w:pPr>
      <w:r>
        <w:rPr>
          <w:rFonts w:ascii="Arial" w:cs="Arial" w:eastAsia="Arial" w:hAnsi="Arial"/>
          <w:sz w:val="18"/>
          <w:szCs w:val="18"/>
          <w:color w:val="auto"/>
        </w:rPr>
        <w:t xml:space="preserve">- 2024 Proxy Statement  </w:t>
      </w:r>
      <w:r>
        <w:rPr>
          <w:rFonts w:ascii="Arial" w:cs="Arial" w:eastAsia="Arial" w:hAnsi="Arial"/>
          <w:sz w:val="18"/>
          <w:szCs w:val="18"/>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699516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661" w:right="439" w:bottom="1440" w:gutter="0" w:footer="0" w:header="0"/>
        </w:sectPr>
      </w:pPr>
    </w:p>
    <w:bookmarkStart w:id="98" w:name="page99"/>
    <w:bookmarkEnd w:id="98"/>
    <w:p>
      <w:pPr>
        <w:jc w:val="both"/>
        <w:ind w:left="4" w:right="20"/>
        <w:spacing w:after="0" w:line="237" w:lineRule="auto"/>
        <w:rPr>
          <w:sz w:val="20"/>
          <w:szCs w:val="20"/>
          <w:color w:val="auto"/>
        </w:rPr>
      </w:pPr>
      <w:r>
        <w:rPr>
          <w:rFonts w:ascii="Arial" w:cs="Arial" w:eastAsia="Arial" w:hAnsi="Arial"/>
          <w:sz w:val="18"/>
          <w:szCs w:val="18"/>
          <w:color w:val="auto"/>
        </w:rPr>
        <w:t>including any stock dividend, stock split, spin-off, rights offering, or large nonrecurring cash dividend, the authorization limits under Sections 4.1, 4.2, and 6.4 shall be adjusted proportionately, and the Committee shall make such adjustments to the Plan and outstanding Awards as it deems necessary or appropriate, in its sole discretion, to prevent dilution or enlargement of benefits or potential benefits intended to be made available under the Plan, including: (a) adjustment of the number and kind of shares or securities that may be issued under the Plan; (b) adjustment of the number and kind of shares or securities subject to outstanding Awards; (c) adjustment of the Exercise Price of outstanding Stock Options and Stock Appreciation Rights or the measure to be used to determine the amount of the benefit payable on an Award; (d) adjustment to market price-based performance goals or performance goals set on a per-Share basis; and (e) any other adjustments that the Committee determines to be equitable. Notwithstanding the foregoing, the Committee shall not make any adjustments to outstanding Stock Options or SARs to the extent that it causes such Stock Options or SARs to provide for a deferral of compensation subject to Code Section 409A. Without limiting the foregoing, in the event of a subdivision of the outstanding Common Stock (a stock split), a dividend payable in Shares, or a combination or consolidation of the outstanding Common Stock into a lesser number of Shares, the authorization limits under Sections 4.1, 4.2 and 6.4 shall automatically be adjusted proportionately, and the Shares then subject to each outstanding Award shall automatically, without the necessity for any additional action by the Committee, be adjusted proportionately without any change in the aggregate Exercise Price therefor.</w:t>
      </w:r>
    </w:p>
    <w:p>
      <w:pPr>
        <w:spacing w:after="0" w:line="189" w:lineRule="exact"/>
        <w:rPr>
          <w:sz w:val="20"/>
          <w:szCs w:val="20"/>
          <w:color w:val="auto"/>
        </w:rPr>
      </w:pPr>
    </w:p>
    <w:p>
      <w:pPr>
        <w:jc w:val="both"/>
        <w:ind w:left="4" w:firstLine="441"/>
        <w:spacing w:after="0" w:line="239" w:lineRule="auto"/>
        <w:rPr>
          <w:sz w:val="20"/>
          <w:szCs w:val="20"/>
          <w:color w:val="auto"/>
        </w:rPr>
      </w:pPr>
      <w:r>
        <w:rPr>
          <w:rFonts w:ascii="Arial" w:cs="Arial" w:eastAsia="Arial" w:hAnsi="Arial"/>
          <w:sz w:val="18"/>
          <w:szCs w:val="18"/>
          <w:color w:val="auto"/>
        </w:rPr>
        <w:t xml:space="preserve">17.2  </w:t>
      </w:r>
      <w:r>
        <w:rPr>
          <w:rFonts w:ascii="Arial" w:cs="Arial" w:eastAsia="Arial" w:hAnsi="Arial"/>
          <w:sz w:val="18"/>
          <w:szCs w:val="18"/>
          <w:b w:val="1"/>
          <w:bCs w:val="1"/>
          <w:u w:val="single" w:color="auto"/>
          <w:color w:val="auto"/>
        </w:rPr>
        <w:t>Discretionary Adjustments</w:t>
      </w:r>
      <w:r>
        <w:rPr>
          <w:rFonts w:ascii="Arial" w:cs="Arial" w:eastAsia="Arial" w:hAnsi="Arial"/>
          <w:sz w:val="18"/>
          <w:szCs w:val="18"/>
          <w:color w:val="auto"/>
        </w:rPr>
        <w:t>. Upon the occurrence or in anticipation of any share combination, exchange or reclassification, recapitalization, merger, consolidation or other corporate reorganization affecting the Common Stock, or any transaction described in Section 17.1, in addition to any of the actions described in Section 17.1, the Committee may, in its sole discretion, provide: (a) that Awards will be settled in cash rather than Shares; (b) that Awards will become immediately vested and exercisable and will expire after a designated period of time to the extent not then exercised; (c) that Awards will be equitably converted, adjusted or substituted in connection with such transaction; (d) that outstanding Awards may be settled by payment in cash or cash equivalents equal to the excess of the Fair Market Value of the underlying Shares as of a specified date associated with the transaction, over the Exercise Price of the Award; (e) that performance targets and Performance Periods for Performance Awards will be modified; or (f) any combination of the foregoing. The Committee’s determination need not be uniform and may be different for different Participants whether or not such Participants are similarly situated.</w:t>
      </w:r>
    </w:p>
    <w:p>
      <w:pPr>
        <w:spacing w:after="0" w:line="180" w:lineRule="exact"/>
        <w:rPr>
          <w:sz w:val="20"/>
          <w:szCs w:val="20"/>
          <w:color w:val="auto"/>
        </w:rPr>
      </w:pPr>
    </w:p>
    <w:p>
      <w:pPr>
        <w:jc w:val="both"/>
        <w:ind w:left="4" w:right="20" w:firstLine="441"/>
        <w:spacing w:after="0" w:line="241" w:lineRule="auto"/>
        <w:rPr>
          <w:sz w:val="20"/>
          <w:szCs w:val="20"/>
          <w:color w:val="auto"/>
        </w:rPr>
      </w:pPr>
      <w:r>
        <w:rPr>
          <w:rFonts w:ascii="Arial" w:cs="Arial" w:eastAsia="Arial" w:hAnsi="Arial"/>
          <w:sz w:val="18"/>
          <w:szCs w:val="18"/>
          <w:color w:val="auto"/>
        </w:rPr>
        <w:t xml:space="preserve">17.3  </w:t>
      </w:r>
      <w:r>
        <w:rPr>
          <w:rFonts w:ascii="Arial" w:cs="Arial" w:eastAsia="Arial" w:hAnsi="Arial"/>
          <w:sz w:val="18"/>
          <w:szCs w:val="18"/>
          <w:b w:val="1"/>
          <w:bCs w:val="1"/>
          <w:u w:val="single" w:color="auto"/>
          <w:color w:val="auto"/>
        </w:rPr>
        <w:t>No Fractional Shares, etc</w:t>
      </w:r>
      <w:r>
        <w:rPr>
          <w:rFonts w:ascii="Arial" w:cs="Arial" w:eastAsia="Arial" w:hAnsi="Arial"/>
          <w:sz w:val="18"/>
          <w:szCs w:val="18"/>
          <w:u w:val="single" w:color="auto"/>
          <w:color w:val="auto"/>
        </w:rPr>
        <w:t>.</w:t>
      </w:r>
      <w:r>
        <w:rPr>
          <w:rFonts w:ascii="Arial" w:cs="Arial" w:eastAsia="Arial" w:hAnsi="Arial"/>
          <w:sz w:val="18"/>
          <w:szCs w:val="18"/>
          <w:color w:val="auto"/>
        </w:rPr>
        <w:t xml:space="preserve"> After giving effect to any adjustment pursuant to the provisions of this Section 17, the number of Shares subject to any Award denominated in whole Shares shall always be a whole number, unless otherwise determined by the Committee. Any discretionary adjustments made pursuant to the provisions of this Section 17 shall be subject to the provisions of Section</w:t>
      </w:r>
    </w:p>
    <w:p>
      <w:pPr>
        <w:spacing w:after="0" w:line="2" w:lineRule="exact"/>
        <w:rPr>
          <w:sz w:val="20"/>
          <w:szCs w:val="20"/>
          <w:color w:val="auto"/>
        </w:rPr>
      </w:pPr>
    </w:p>
    <w:p>
      <w:pPr>
        <w:ind w:left="4" w:right="20" w:hanging="4"/>
        <w:spacing w:after="0" w:line="250" w:lineRule="auto"/>
        <w:tabs>
          <w:tab w:leader="none" w:pos="212"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the extent any adjustments made pursuant to this Section 17 cause Incentive Stock Options to cease to qualify as Incentive Stock Options, such Stock Options shall be deemed to be Non-Qualified Stock Options.</w:t>
      </w:r>
    </w:p>
    <w:p>
      <w:pPr>
        <w:spacing w:after="0" w:line="172" w:lineRule="exact"/>
        <w:rPr>
          <w:sz w:val="20"/>
          <w:szCs w:val="20"/>
          <w:color w:val="auto"/>
        </w:rPr>
      </w:pPr>
    </w:p>
    <w:p>
      <w:pPr>
        <w:jc w:val="both"/>
        <w:ind w:left="4" w:firstLine="441"/>
        <w:spacing w:after="0" w:line="253" w:lineRule="auto"/>
        <w:rPr>
          <w:sz w:val="20"/>
          <w:szCs w:val="20"/>
          <w:color w:val="auto"/>
        </w:rPr>
      </w:pPr>
      <w:r>
        <w:rPr>
          <w:rFonts w:ascii="Arial" w:cs="Arial" w:eastAsia="Arial" w:hAnsi="Arial"/>
          <w:sz w:val="18"/>
          <w:szCs w:val="18"/>
          <w:color w:val="auto"/>
        </w:rPr>
        <w:t xml:space="preserve">17.4  </w:t>
      </w:r>
      <w:r>
        <w:rPr>
          <w:rFonts w:ascii="Arial" w:cs="Arial" w:eastAsia="Arial" w:hAnsi="Arial"/>
          <w:sz w:val="18"/>
          <w:szCs w:val="18"/>
          <w:b w:val="1"/>
          <w:bCs w:val="1"/>
          <w:u w:val="single" w:color="auto"/>
          <w:color w:val="auto"/>
        </w:rPr>
        <w:t>No Limitations on Company</w:t>
      </w:r>
      <w:r>
        <w:rPr>
          <w:rFonts w:ascii="Arial" w:cs="Arial" w:eastAsia="Arial" w:hAnsi="Arial"/>
          <w:sz w:val="18"/>
          <w:szCs w:val="18"/>
          <w:color w:val="auto"/>
        </w:rPr>
        <w:t>. The making of Awards pursuant to the Plan shall not affect or limit in any way the right or power of the Company to make adjustments, reclassifications, reorganizations, or changes of its capital or business structure or to merge, consolidate, dissolve, or liquidate, or to sell or transfer all or any part of its business or assets.</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18.   GENERAL PROVISIONS</w:t>
      </w:r>
    </w:p>
    <w:p>
      <w:pPr>
        <w:spacing w:after="0" w:line="212" w:lineRule="exact"/>
        <w:rPr>
          <w:sz w:val="20"/>
          <w:szCs w:val="20"/>
          <w:color w:val="auto"/>
        </w:rPr>
      </w:pPr>
    </w:p>
    <w:p>
      <w:pPr>
        <w:jc w:val="both"/>
        <w:ind w:left="4" w:firstLine="441"/>
        <w:spacing w:after="0" w:line="239" w:lineRule="auto"/>
        <w:rPr>
          <w:sz w:val="20"/>
          <w:szCs w:val="20"/>
          <w:color w:val="auto"/>
        </w:rPr>
      </w:pPr>
      <w:r>
        <w:rPr>
          <w:rFonts w:ascii="Arial" w:cs="Arial" w:eastAsia="Arial" w:hAnsi="Arial"/>
          <w:sz w:val="18"/>
          <w:szCs w:val="18"/>
          <w:color w:val="auto"/>
        </w:rPr>
        <w:t xml:space="preserve">18.1  </w:t>
      </w:r>
      <w:r>
        <w:rPr>
          <w:rFonts w:ascii="Arial" w:cs="Arial" w:eastAsia="Arial" w:hAnsi="Arial"/>
          <w:sz w:val="18"/>
          <w:szCs w:val="18"/>
          <w:b w:val="1"/>
          <w:bCs w:val="1"/>
          <w:u w:val="single" w:color="auto"/>
          <w:color w:val="auto"/>
        </w:rPr>
        <w:t>Disclaimer of Right</w:t>
      </w:r>
      <w:r>
        <w:rPr>
          <w:rFonts w:ascii="Arial" w:cs="Arial" w:eastAsia="Arial" w:hAnsi="Arial"/>
          <w:sz w:val="18"/>
          <w:szCs w:val="18"/>
          <w:b w:val="1"/>
          <w:bCs w:val="1"/>
          <w:color w:val="auto"/>
        </w:rPr>
        <w:t>s</w:t>
      </w:r>
      <w:r>
        <w:rPr>
          <w:rFonts w:ascii="Arial" w:cs="Arial" w:eastAsia="Arial" w:hAnsi="Arial"/>
          <w:sz w:val="18"/>
          <w:szCs w:val="18"/>
          <w:color w:val="auto"/>
        </w:rPr>
        <w:t>. No provision in the Plan or in any Award or Award Agreement shall be construed to confer upon any individual the right to remain in the employ or service of the Company or any Affiliate, or to interfere in any way with any contractual or other right or authority of the Company either to increase or decrease the compensation or other payments to any individual at any time, or to terminate any employment or other relationship between any individual and the Company. In addition, notwithstanding anything contained in the Plan to the contrary, unless otherwise stated in the applicable Award Agreement, no Award granted under the Plan shall be affected by any change of duties or position of the Grantee, so long as such Grantee continues to be a director, officer, consultant or employee of the Company or an Affiliate. The obligation of the Company to pay any benefits pursuant to this Plan shall be interpreted as a contractual obligation to pay only those amounts described herein, in the manner and under the conditions prescribed herein. The Plan shall in no way be interpreted to require the Company to transfer any amounts to a third party trustee or otherwise hold any amounts in trust or escrow for payment to any Grantee or beneficiary under the terms of the Plan.</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-118745</wp:posOffset>
            </wp:positionV>
            <wp:extent cx="17145" cy="51435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7145" cy="514350"/>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b w:val="1"/>
          <w:b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-59055</wp:posOffset>
            </wp:positionV>
            <wp:extent cx="685800" cy="16319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0" cy="163195"/>
                    </a:xfrm>
                    <a:prstGeom prst="rect">
                      <a:avLst/>
                    </a:prstGeom>
                    <a:noFill/>
                  </pic:spPr>
                </pic:pic>
              </a:graphicData>
            </a:graphic>
          </wp:anchor>
        </w:drawing>
      </w:r>
    </w:p>
    <w:p>
      <w:pPr>
        <w:ind w:left="1584"/>
        <w:spacing w:after="0"/>
        <w:rPr>
          <w:sz w:val="20"/>
          <w:szCs w:val="20"/>
          <w:color w:val="auto"/>
        </w:rPr>
      </w:pPr>
      <w:r>
        <w:rPr>
          <w:rFonts w:ascii="Arial" w:cs="Arial" w:eastAsia="Arial" w:hAnsi="Arial"/>
          <w:sz w:val="18"/>
          <w:szCs w:val="18"/>
          <w:color w:val="auto"/>
        </w:rPr>
        <w:t>- 2024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699516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688" w:right="439" w:bottom="1440" w:gutter="0" w:footer="0" w:header="0"/>
        </w:sectPr>
      </w:pPr>
    </w:p>
    <w:bookmarkStart w:id="99" w:name="page100"/>
    <w:bookmarkEnd w:id="99"/>
    <w:p>
      <w:pPr>
        <w:jc w:val="both"/>
        <w:ind w:right="20" w:firstLine="441"/>
        <w:spacing w:after="0" w:line="244" w:lineRule="auto"/>
        <w:rPr>
          <w:sz w:val="20"/>
          <w:szCs w:val="20"/>
          <w:color w:val="auto"/>
        </w:rPr>
      </w:pPr>
      <w:r>
        <w:rPr>
          <w:rFonts w:ascii="Arial" w:cs="Arial" w:eastAsia="Arial" w:hAnsi="Arial"/>
          <w:sz w:val="18"/>
          <w:szCs w:val="18"/>
          <w:color w:val="auto"/>
        </w:rPr>
        <w:t xml:space="preserve">18.2  </w:t>
      </w:r>
      <w:r>
        <w:rPr>
          <w:rFonts w:ascii="Arial" w:cs="Arial" w:eastAsia="Arial" w:hAnsi="Arial"/>
          <w:sz w:val="18"/>
          <w:szCs w:val="18"/>
          <w:b w:val="1"/>
          <w:bCs w:val="1"/>
          <w:u w:val="single" w:color="auto"/>
          <w:color w:val="auto"/>
        </w:rPr>
        <w:t>Nonexclusivity of the Plan</w:t>
      </w:r>
      <w:r>
        <w:rPr>
          <w:rFonts w:ascii="Arial" w:cs="Arial" w:eastAsia="Arial" w:hAnsi="Arial"/>
          <w:sz w:val="18"/>
          <w:szCs w:val="18"/>
          <w:color w:val="auto"/>
        </w:rPr>
        <w:t>. Neither the adoption of the Plan nor the submission of the Plan to the stockholders of the Company for approval shall be construed as creating any limitations upon the right and authority of the Board to adopt such other incentive compensation arrangements (which arrangements may be applicable either generally to a class or classes of individuals or specifically to a particular individual or particular individuals) as the Board in its discretion determines desirable, including, without limitation, the granting of stock options otherwise than under the Plan.</w:t>
      </w:r>
    </w:p>
    <w:p>
      <w:pPr>
        <w:spacing w:after="0" w:line="176" w:lineRule="exact"/>
        <w:rPr>
          <w:sz w:val="20"/>
          <w:szCs w:val="20"/>
          <w:color w:val="auto"/>
        </w:rPr>
      </w:pPr>
    </w:p>
    <w:p>
      <w:pPr>
        <w:jc w:val="both"/>
        <w:ind w:firstLine="441"/>
        <w:spacing w:after="0"/>
        <w:rPr>
          <w:sz w:val="20"/>
          <w:szCs w:val="20"/>
          <w:color w:val="auto"/>
        </w:rPr>
      </w:pPr>
      <w:r>
        <w:rPr>
          <w:rFonts w:ascii="Arial" w:cs="Arial" w:eastAsia="Arial" w:hAnsi="Arial"/>
          <w:sz w:val="18"/>
          <w:szCs w:val="18"/>
          <w:color w:val="auto"/>
        </w:rPr>
        <w:t xml:space="preserve">18.3  </w:t>
      </w:r>
      <w:r>
        <w:rPr>
          <w:rFonts w:ascii="Arial" w:cs="Arial" w:eastAsia="Arial" w:hAnsi="Arial"/>
          <w:sz w:val="18"/>
          <w:szCs w:val="18"/>
          <w:b w:val="1"/>
          <w:bCs w:val="1"/>
          <w:u w:val="single" w:color="auto"/>
          <w:color w:val="auto"/>
        </w:rPr>
        <w:t>Withholding Taxes</w:t>
      </w:r>
      <w:r>
        <w:rPr>
          <w:rFonts w:ascii="Arial" w:cs="Arial" w:eastAsia="Arial" w:hAnsi="Arial"/>
          <w:sz w:val="18"/>
          <w:szCs w:val="18"/>
          <w:color w:val="auto"/>
        </w:rPr>
        <w:t>. The Company or an Affiliate, as the case may be, shall have the right to deduct from payments of any kind otherwise due to a Grantee any federal, state, or local taxes of any kind required by law to be withheld with respect to the vesting of or other lapse of restrictions applicable to an Award or upon the issuance of any shares of Stock upon the exercise of an Option or pursuant to an Award. At the time of such vesting, lapse, or exercise, the Grantee shall pay to the Company or the Affiliate, as the case may be, any amount that the Company or the Affiliate may reasonably determine to be necessary to satisfy such withholding obligation. Subject to the prior approval of the Company or the Affiliate, which may be withheld by the Company or the Affiliate, as the case may be, in its sole discretion, the Grantee may elect to satisfy such obligations, in whole or in part, (i) by causing the Company or the Affiliate to withhold shares of Stock otherwise issuable to the Grantee or (ii) by delivering to the Company or the Affiliate shares of Stock already owned by the Grantee. The shares of Stock so delivered or withheld shall have an aggregate Fair Market Value equal to such withholding obligations. The Fair Market Value of the shares of Stock used to satisfy such withholding obligation shall be determined by the Company or the Affiliate as of the date that the amount of tax to be withheld is to be determined. A Grantee who has made an election pursuant to this Section 18.3 may satisfy his or her withholding obligation only with shares of Stock that are not subject to any repurchase, forfeiture, unfulfilled vesting, or other similar requirements. The maximum number of shares of Stock that may be withheld from any Award to satisfy any federal, state or local tax withholding requirements upon the exercise, vesting, lapse of restrictions applicable to such Award or payment of shares pursuant to such Award, as applicable, cannot exceed such number of shares having a Fair Market Value equal to the maximum amount to be withheld and paid to any such federal, state or local taxing authority with respect to such exercise, vesting, lapse of restrictions or payment of shares, or such amount that will not cause an adverse accounting consequence or cost to the Company.</w:t>
      </w:r>
    </w:p>
    <w:p>
      <w:pPr>
        <w:spacing w:after="0" w:line="342" w:lineRule="exact"/>
        <w:rPr>
          <w:sz w:val="20"/>
          <w:szCs w:val="20"/>
          <w:color w:val="auto"/>
        </w:rPr>
      </w:pPr>
    </w:p>
    <w:p>
      <w:pPr>
        <w:jc w:val="both"/>
        <w:ind w:right="20" w:firstLine="441"/>
        <w:spacing w:after="0" w:line="271" w:lineRule="auto"/>
        <w:rPr>
          <w:sz w:val="20"/>
          <w:szCs w:val="20"/>
          <w:color w:val="auto"/>
        </w:rPr>
      </w:pPr>
      <w:r>
        <w:rPr>
          <w:rFonts w:ascii="Arial" w:cs="Arial" w:eastAsia="Arial" w:hAnsi="Arial"/>
          <w:sz w:val="18"/>
          <w:szCs w:val="18"/>
          <w:color w:val="auto"/>
        </w:rPr>
        <w:t xml:space="preserve">18.4  </w:t>
      </w:r>
      <w:r>
        <w:rPr>
          <w:rFonts w:ascii="Arial" w:cs="Arial" w:eastAsia="Arial" w:hAnsi="Arial"/>
          <w:sz w:val="18"/>
          <w:szCs w:val="18"/>
          <w:b w:val="1"/>
          <w:bCs w:val="1"/>
          <w:u w:val="single" w:color="auto"/>
          <w:color w:val="auto"/>
        </w:rPr>
        <w:t>Captions</w:t>
      </w:r>
      <w:r>
        <w:rPr>
          <w:rFonts w:ascii="Arial" w:cs="Arial" w:eastAsia="Arial" w:hAnsi="Arial"/>
          <w:sz w:val="18"/>
          <w:szCs w:val="18"/>
          <w:color w:val="auto"/>
        </w:rPr>
        <w:t>. The use of captions in this Plan or any Award Agreement is for the convenience of reference only and shall not affect the meaning of any provision of the Plan or such Award Agreement.</w:t>
      </w:r>
    </w:p>
    <w:p>
      <w:pPr>
        <w:spacing w:after="0" w:line="154" w:lineRule="exact"/>
        <w:rPr>
          <w:sz w:val="20"/>
          <w:szCs w:val="20"/>
          <w:color w:val="auto"/>
        </w:rPr>
      </w:pPr>
    </w:p>
    <w:p>
      <w:pPr>
        <w:jc w:val="both"/>
        <w:ind w:right="20" w:firstLine="441"/>
        <w:spacing w:after="0" w:line="271" w:lineRule="auto"/>
        <w:rPr>
          <w:sz w:val="20"/>
          <w:szCs w:val="20"/>
          <w:color w:val="auto"/>
        </w:rPr>
      </w:pPr>
      <w:r>
        <w:rPr>
          <w:rFonts w:ascii="Arial" w:cs="Arial" w:eastAsia="Arial" w:hAnsi="Arial"/>
          <w:sz w:val="18"/>
          <w:szCs w:val="18"/>
          <w:color w:val="auto"/>
        </w:rPr>
        <w:t xml:space="preserve">18.5  </w:t>
      </w:r>
      <w:r>
        <w:rPr>
          <w:rFonts w:ascii="Arial" w:cs="Arial" w:eastAsia="Arial" w:hAnsi="Arial"/>
          <w:sz w:val="18"/>
          <w:szCs w:val="18"/>
          <w:b w:val="1"/>
          <w:bCs w:val="1"/>
          <w:u w:val="single" w:color="auto"/>
          <w:color w:val="auto"/>
        </w:rPr>
        <w:t>Other Provisions</w:t>
      </w:r>
      <w:r>
        <w:rPr>
          <w:rFonts w:ascii="Arial" w:cs="Arial" w:eastAsia="Arial" w:hAnsi="Arial"/>
          <w:sz w:val="18"/>
          <w:szCs w:val="18"/>
          <w:color w:val="auto"/>
        </w:rPr>
        <w:t>. Each Award granted under the Plan may contain such other terms and conditions not inconsistent with the Plan as may be determined by the Board or the Committee, in its sole discretion.</w:t>
      </w:r>
    </w:p>
    <w:p>
      <w:pPr>
        <w:spacing w:after="0" w:line="154" w:lineRule="exact"/>
        <w:rPr>
          <w:sz w:val="20"/>
          <w:szCs w:val="20"/>
          <w:color w:val="auto"/>
        </w:rPr>
      </w:pPr>
    </w:p>
    <w:p>
      <w:pPr>
        <w:jc w:val="both"/>
        <w:ind w:right="20" w:firstLine="441"/>
        <w:spacing w:after="0" w:line="271" w:lineRule="auto"/>
        <w:rPr>
          <w:sz w:val="20"/>
          <w:szCs w:val="20"/>
          <w:color w:val="auto"/>
        </w:rPr>
      </w:pPr>
      <w:r>
        <w:rPr>
          <w:rFonts w:ascii="Arial" w:cs="Arial" w:eastAsia="Arial" w:hAnsi="Arial"/>
          <w:sz w:val="18"/>
          <w:szCs w:val="18"/>
          <w:color w:val="auto"/>
        </w:rPr>
        <w:t xml:space="preserve">18.6  </w:t>
      </w:r>
      <w:r>
        <w:rPr>
          <w:rFonts w:ascii="Arial" w:cs="Arial" w:eastAsia="Arial" w:hAnsi="Arial"/>
          <w:sz w:val="18"/>
          <w:szCs w:val="18"/>
          <w:b w:val="1"/>
          <w:bCs w:val="1"/>
          <w:u w:val="single" w:color="auto"/>
          <w:color w:val="auto"/>
        </w:rPr>
        <w:t>Number and Gender</w:t>
      </w:r>
      <w:r>
        <w:rPr>
          <w:rFonts w:ascii="Arial" w:cs="Arial" w:eastAsia="Arial" w:hAnsi="Arial"/>
          <w:sz w:val="18"/>
          <w:szCs w:val="18"/>
          <w:color w:val="auto"/>
        </w:rPr>
        <w:t>. With respect to words used in this Plan, the singular form shall include the plural form, the masculine gender shall include the feminine gender, etc., as the context requires.</w:t>
      </w:r>
    </w:p>
    <w:p>
      <w:pPr>
        <w:spacing w:after="0" w:line="154" w:lineRule="exact"/>
        <w:rPr>
          <w:sz w:val="20"/>
          <w:szCs w:val="20"/>
          <w:color w:val="auto"/>
        </w:rPr>
      </w:pPr>
    </w:p>
    <w:p>
      <w:pPr>
        <w:jc w:val="both"/>
        <w:ind w:firstLine="441"/>
        <w:spacing w:after="0" w:line="253" w:lineRule="auto"/>
        <w:rPr>
          <w:sz w:val="20"/>
          <w:szCs w:val="20"/>
          <w:color w:val="auto"/>
        </w:rPr>
      </w:pPr>
      <w:r>
        <w:rPr>
          <w:rFonts w:ascii="Arial" w:cs="Arial" w:eastAsia="Arial" w:hAnsi="Arial"/>
          <w:sz w:val="18"/>
          <w:szCs w:val="18"/>
          <w:color w:val="auto"/>
        </w:rPr>
        <w:t xml:space="preserve">18.7  </w:t>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If any provision of the Plan or any Award Agreement shall be determined to be illegal or unenforceable by any court of law in any jurisdiction, the remaining provisions hereof and thereof shall be severable and enforceable in accordance with their terms, and all provisions shall remain enforceable in any other jurisdiction.</w:t>
      </w:r>
    </w:p>
    <w:p>
      <w:pPr>
        <w:spacing w:after="0" w:line="169" w:lineRule="exact"/>
        <w:rPr>
          <w:sz w:val="20"/>
          <w:szCs w:val="20"/>
          <w:color w:val="auto"/>
        </w:rPr>
      </w:pPr>
    </w:p>
    <w:p>
      <w:pPr>
        <w:jc w:val="both"/>
        <w:ind w:right="20" w:firstLine="441"/>
        <w:spacing w:after="0" w:line="247" w:lineRule="auto"/>
        <w:rPr>
          <w:sz w:val="20"/>
          <w:szCs w:val="20"/>
          <w:color w:val="auto"/>
        </w:rPr>
      </w:pPr>
      <w:r>
        <w:rPr>
          <w:rFonts w:ascii="Arial" w:cs="Arial" w:eastAsia="Arial" w:hAnsi="Arial"/>
          <w:sz w:val="18"/>
          <w:szCs w:val="18"/>
          <w:color w:val="auto"/>
        </w:rPr>
        <w:t xml:space="preserve">18.8  </w:t>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The validity and construction of this Plan and the instruments evidencing the Awards hereunder shall be governed by the laws of the State of Delaware, other than any conflicts or choice of law rule or principle that might otherwise refer construction or interpretation of this Plan and the instruments evidencing the Awards granted hereunder to the substantive laws of any other jurisdiction.</w:t>
      </w:r>
    </w:p>
    <w:p>
      <w:pPr>
        <w:spacing w:after="0" w:line="174" w:lineRule="exact"/>
        <w:rPr>
          <w:sz w:val="20"/>
          <w:szCs w:val="20"/>
          <w:color w:val="auto"/>
        </w:rPr>
      </w:pPr>
    </w:p>
    <w:p>
      <w:pPr>
        <w:jc w:val="both"/>
        <w:ind w:firstLine="441"/>
        <w:spacing w:after="0"/>
        <w:rPr>
          <w:sz w:val="20"/>
          <w:szCs w:val="20"/>
          <w:color w:val="auto"/>
        </w:rPr>
      </w:pPr>
      <w:r>
        <w:rPr>
          <w:rFonts w:ascii="Arial" w:cs="Arial" w:eastAsia="Arial" w:hAnsi="Arial"/>
          <w:sz w:val="18"/>
          <w:szCs w:val="18"/>
          <w:color w:val="auto"/>
        </w:rPr>
        <w:t xml:space="preserve">18.9  </w:t>
      </w:r>
      <w:r>
        <w:rPr>
          <w:rFonts w:ascii="Arial" w:cs="Arial" w:eastAsia="Arial" w:hAnsi="Arial"/>
          <w:sz w:val="18"/>
          <w:szCs w:val="18"/>
          <w:b w:val="1"/>
          <w:bCs w:val="1"/>
          <w:u w:val="single" w:color="auto"/>
          <w:color w:val="auto"/>
        </w:rPr>
        <w:t>Section 409A of the Code</w:t>
      </w:r>
      <w:r>
        <w:rPr>
          <w:rFonts w:ascii="Arial" w:cs="Arial" w:eastAsia="Arial" w:hAnsi="Arial"/>
          <w:sz w:val="18"/>
          <w:szCs w:val="18"/>
          <w:color w:val="auto"/>
        </w:rPr>
        <w:t>. The Board intends to comply with Section 409A of the Code (“</w:t>
      </w:r>
      <w:r>
        <w:rPr>
          <w:rFonts w:ascii="Arial" w:cs="Arial" w:eastAsia="Arial" w:hAnsi="Arial"/>
          <w:sz w:val="18"/>
          <w:szCs w:val="18"/>
          <w:u w:val="single" w:color="auto"/>
          <w:color w:val="auto"/>
        </w:rPr>
        <w:t>Section 409A</w:t>
      </w:r>
      <w:r>
        <w:rPr>
          <w:rFonts w:ascii="Arial" w:cs="Arial" w:eastAsia="Arial" w:hAnsi="Arial"/>
          <w:sz w:val="18"/>
          <w:szCs w:val="18"/>
          <w:color w:val="auto"/>
        </w:rPr>
        <w:t>”), or an exemption to Section 409A, with regard to Awards hereunder that constitute nonqualified deferred compensation within the meaning of Section 409A. To the extent that the Board or the Committee determines that a Grantee would be subject to the additional 20% tax imposed on certain nonqualified deferred compensation plans pursuant to Section 409A as a result of any provision of any Award granted under this Plan, such provision shall be deemed amended to the minimum extent necessary to avoid application of such additional tax. The nature of any such amendment shall be determined by the Board. Notwithstanding the foregoing, the Company, the Board and the Committee shall have no liability to a Grantee, or any other party, if an Award that is intended to be exempt from, or compliant with, Section 409A of the Code is not so exempt or compliant.</w:t>
      </w:r>
    </w:p>
    <w:p>
      <w:pPr>
        <w:spacing w:after="0" w:line="180" w:lineRule="exact"/>
        <w:rPr>
          <w:sz w:val="20"/>
          <w:szCs w:val="20"/>
          <w:color w:val="auto"/>
        </w:rPr>
      </w:pPr>
    </w:p>
    <w:p>
      <w:pPr>
        <w:jc w:val="right"/>
        <w:ind w:right="80"/>
        <w:spacing w:after="0"/>
        <w:rPr>
          <w:sz w:val="20"/>
          <w:szCs w:val="20"/>
          <w:color w:val="auto"/>
        </w:rPr>
      </w:pPr>
      <w:r>
        <w:rPr>
          <w:rFonts w:ascii="Arial" w:cs="Arial" w:eastAsia="Arial" w:hAnsi="Arial"/>
          <w:sz w:val="18"/>
          <w:szCs w:val="18"/>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6777990</wp:posOffset>
            </wp:positionH>
            <wp:positionV relativeFrom="paragraph">
              <wp:posOffset>-118745</wp:posOffset>
            </wp:positionV>
            <wp:extent cx="17145" cy="3854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7145" cy="385445"/>
                    </a:xfrm>
                    <a:prstGeom prst="rect">
                      <a:avLst/>
                    </a:prstGeom>
                    <a:noFill/>
                  </pic:spPr>
                </pic:pic>
              </a:graphicData>
            </a:graphic>
          </wp:anchor>
        </w:drawing>
        <w:drawing>
          <wp:anchor simplePos="0" relativeHeight="251657728" behindDoc="1" locked="0" layoutInCell="0" allowOverlap="1">
            <wp:simplePos x="0" y="0"/>
            <wp:positionH relativeFrom="column">
              <wp:posOffset>4798060</wp:posOffset>
            </wp:positionH>
            <wp:positionV relativeFrom="paragraph">
              <wp:posOffset>-50165</wp:posOffset>
            </wp:positionV>
            <wp:extent cx="685800" cy="16319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0" cy="163195"/>
                    </a:xfrm>
                    <a:prstGeom prst="rect">
                      <a:avLst/>
                    </a:prstGeom>
                    <a:noFill/>
                  </pic:spPr>
                </pic:pic>
              </a:graphicData>
            </a:graphic>
          </wp:anchor>
        </w:drawing>
      </w:r>
    </w:p>
    <w:p>
      <w:pPr>
        <w:jc w:val="right"/>
        <w:ind w:right="120"/>
        <w:spacing w:after="0"/>
        <w:rPr>
          <w:sz w:val="20"/>
          <w:szCs w:val="20"/>
          <w:color w:val="auto"/>
        </w:rPr>
      </w:pPr>
      <w:r>
        <w:rPr>
          <w:rFonts w:ascii="Arial" w:cs="Arial" w:eastAsia="Arial" w:hAnsi="Arial"/>
          <w:sz w:val="18"/>
          <w:szCs w:val="18"/>
          <w:color w:val="auto"/>
        </w:rPr>
        <w:t xml:space="preserve">- 2024 Proxy Statement  </w:t>
      </w:r>
      <w:r>
        <w:rPr>
          <w:rFonts w:ascii="Arial" w:cs="Arial" w:eastAsia="Arial" w:hAnsi="Arial"/>
          <w:sz w:val="18"/>
          <w:szCs w:val="18"/>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699516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661" w:right="439" w:bottom="1440" w:gutter="0" w:footer="0" w:header="0"/>
        </w:sectPr>
      </w:pPr>
    </w:p>
    <w:bookmarkStart w:id="100" w:name="page101"/>
    <w:bookmarkEnd w:id="100"/>
    <w:p>
      <w:pPr>
        <w:jc w:val="both"/>
        <w:ind w:firstLine="441"/>
        <w:spacing w:after="0" w:line="244" w:lineRule="auto"/>
        <w:rPr>
          <w:sz w:val="20"/>
          <w:szCs w:val="20"/>
          <w:color w:val="auto"/>
        </w:rPr>
      </w:pPr>
      <w:r>
        <w:rPr>
          <w:rFonts w:ascii="Arial" w:cs="Arial" w:eastAsia="Arial" w:hAnsi="Arial"/>
          <w:sz w:val="18"/>
          <w:szCs w:val="18"/>
          <w:color w:val="auto"/>
        </w:rPr>
        <w:t xml:space="preserve">18.10  </w:t>
      </w:r>
      <w:r>
        <w:rPr>
          <w:rFonts w:ascii="Arial" w:cs="Arial" w:eastAsia="Arial" w:hAnsi="Arial"/>
          <w:sz w:val="18"/>
          <w:szCs w:val="18"/>
          <w:b w:val="1"/>
          <w:bCs w:val="1"/>
          <w:u w:val="single" w:color="auto"/>
          <w:color w:val="auto"/>
        </w:rPr>
        <w:t>Clawback/Recoupment</w:t>
      </w:r>
      <w:r>
        <w:rPr>
          <w:rFonts w:ascii="Arial" w:cs="Arial" w:eastAsia="Arial" w:hAnsi="Arial"/>
          <w:sz w:val="18"/>
          <w:szCs w:val="18"/>
          <w:color w:val="auto"/>
        </w:rPr>
        <w:t>. Notwithstanding any other provisions herein to the contrary, any performance based compensation, or any other amount, paid to a Grantee pursuant to an Award, which is subject to recovery under any law, government regulation, stock exchange listing requirement, or any policy adopted by the Company will be subject to such deductions and clawback as may be required to be made pursuant to such law, government regulation, stock exchange listing requirement, or policy adopted by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-118745</wp:posOffset>
            </wp:positionV>
            <wp:extent cx="17145" cy="51435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7145" cy="5143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-59055</wp:posOffset>
            </wp:positionV>
            <wp:extent cx="685800" cy="16319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0" cy="163195"/>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699516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0"/>
          </w:cols>
          <w:pgMar w:left="440" w:top="688" w:right="459" w:bottom="1440" w:gutter="0" w:footer="0" w:header="0"/>
        </w:sectPr>
      </w:pPr>
    </w:p>
    <w:bookmarkStart w:id="101" w:name="page102"/>
    <w:bookmarkEnd w:id="101"/>
    <w:p>
      <w:pPr>
        <w:jc w:val="center"/>
        <w:ind w:right="100"/>
        <w:spacing w:after="0"/>
        <w:rPr>
          <w:sz w:val="20"/>
          <w:szCs w:val="20"/>
          <w:color w:val="auto"/>
        </w:rPr>
      </w:pPr>
      <w:r>
        <w:rPr>
          <w:rFonts w:ascii="Arial" w:cs="Arial" w:eastAsia="Arial" w:hAnsi="Arial"/>
          <w:sz w:val="18"/>
          <w:szCs w:val="18"/>
          <w:b w:val="1"/>
          <w:bCs w:val="1"/>
          <w:u w:val="single" w:color="auto"/>
          <w:color w:val="auto"/>
        </w:rPr>
        <w:t>APPENDIX A</w:t>
      </w:r>
    </w:p>
    <w:p>
      <w:pPr>
        <w:spacing w:after="0" w:line="239" w:lineRule="exact"/>
        <w:rPr>
          <w:sz w:val="20"/>
          <w:szCs w:val="20"/>
          <w:color w:val="auto"/>
        </w:rPr>
      </w:pPr>
    </w:p>
    <w:p>
      <w:pPr>
        <w:ind w:left="320" w:hanging="316"/>
        <w:spacing w:after="0"/>
        <w:tabs>
          <w:tab w:leader="none" w:pos="3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net earnings or net income;</w:t>
      </w:r>
    </w:p>
    <w:p>
      <w:pPr>
        <w:spacing w:after="0" w:line="157" w:lineRule="exact"/>
        <w:rPr>
          <w:rFonts w:ascii="Arial" w:cs="Arial" w:eastAsia="Arial" w:hAnsi="Arial"/>
          <w:sz w:val="18"/>
          <w:szCs w:val="18"/>
          <w:color w:val="auto"/>
        </w:rPr>
      </w:pPr>
    </w:p>
    <w:p>
      <w:pPr>
        <w:ind w:left="320" w:hanging="316"/>
        <w:spacing w:after="0"/>
        <w:tabs>
          <w:tab w:leader="none" w:pos="3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operating earnings;</w:t>
      </w:r>
    </w:p>
    <w:p>
      <w:pPr>
        <w:spacing w:after="0" w:line="157" w:lineRule="exact"/>
        <w:rPr>
          <w:rFonts w:ascii="Arial" w:cs="Arial" w:eastAsia="Arial" w:hAnsi="Arial"/>
          <w:sz w:val="18"/>
          <w:szCs w:val="18"/>
          <w:color w:val="auto"/>
        </w:rPr>
      </w:pPr>
    </w:p>
    <w:p>
      <w:pPr>
        <w:ind w:left="320" w:hanging="316"/>
        <w:spacing w:after="0"/>
        <w:tabs>
          <w:tab w:leader="none" w:pos="3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pretax earnings;</w:t>
      </w:r>
    </w:p>
    <w:p>
      <w:pPr>
        <w:spacing w:after="0" w:line="157" w:lineRule="exact"/>
        <w:rPr>
          <w:rFonts w:ascii="Arial" w:cs="Arial" w:eastAsia="Arial" w:hAnsi="Arial"/>
          <w:sz w:val="18"/>
          <w:szCs w:val="18"/>
          <w:color w:val="auto"/>
        </w:rPr>
      </w:pPr>
    </w:p>
    <w:p>
      <w:pPr>
        <w:ind w:left="320" w:hanging="316"/>
        <w:spacing w:after="0"/>
        <w:tabs>
          <w:tab w:leader="none" w:pos="3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pre-tax earnings per share;</w:t>
      </w:r>
    </w:p>
    <w:p>
      <w:pPr>
        <w:spacing w:after="0" w:line="157" w:lineRule="exact"/>
        <w:rPr>
          <w:rFonts w:ascii="Arial" w:cs="Arial" w:eastAsia="Arial" w:hAnsi="Arial"/>
          <w:sz w:val="18"/>
          <w:szCs w:val="18"/>
          <w:color w:val="auto"/>
        </w:rPr>
      </w:pPr>
    </w:p>
    <w:p>
      <w:pPr>
        <w:ind w:left="320" w:hanging="316"/>
        <w:spacing w:after="0"/>
        <w:tabs>
          <w:tab w:leader="none" w:pos="3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157" w:lineRule="exact"/>
        <w:rPr>
          <w:rFonts w:ascii="Arial" w:cs="Arial" w:eastAsia="Arial" w:hAnsi="Arial"/>
          <w:sz w:val="18"/>
          <w:szCs w:val="18"/>
          <w:color w:val="auto"/>
        </w:rPr>
      </w:pPr>
    </w:p>
    <w:p>
      <w:pPr>
        <w:ind w:left="320" w:hanging="316"/>
        <w:spacing w:after="0"/>
        <w:tabs>
          <w:tab w:leader="none" w:pos="3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share price, including growth measures and total stockholder return;</w:t>
      </w:r>
    </w:p>
    <w:p>
      <w:pPr>
        <w:spacing w:after="0" w:line="157" w:lineRule="exact"/>
        <w:rPr>
          <w:rFonts w:ascii="Arial" w:cs="Arial" w:eastAsia="Arial" w:hAnsi="Arial"/>
          <w:sz w:val="18"/>
          <w:szCs w:val="18"/>
          <w:color w:val="auto"/>
        </w:rPr>
      </w:pPr>
    </w:p>
    <w:p>
      <w:pPr>
        <w:ind w:left="320" w:hanging="316"/>
        <w:spacing w:after="0"/>
        <w:tabs>
          <w:tab w:leader="none" w:pos="3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earnings before interest and taxes;</w:t>
      </w:r>
    </w:p>
    <w:p>
      <w:pPr>
        <w:spacing w:after="0" w:line="157" w:lineRule="exact"/>
        <w:rPr>
          <w:rFonts w:ascii="Arial" w:cs="Arial" w:eastAsia="Arial" w:hAnsi="Arial"/>
          <w:sz w:val="18"/>
          <w:szCs w:val="18"/>
          <w:color w:val="auto"/>
        </w:rPr>
      </w:pPr>
    </w:p>
    <w:p>
      <w:pPr>
        <w:ind w:left="320" w:hanging="316"/>
        <w:spacing w:after="0"/>
        <w:tabs>
          <w:tab w:leader="none" w:pos="3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earnings before interest, taxes, depreciation and/or amortization;</w:t>
      </w:r>
    </w:p>
    <w:p>
      <w:pPr>
        <w:spacing w:after="0" w:line="157" w:lineRule="exact"/>
        <w:rPr>
          <w:rFonts w:ascii="Arial" w:cs="Arial" w:eastAsia="Arial" w:hAnsi="Arial"/>
          <w:sz w:val="18"/>
          <w:szCs w:val="18"/>
          <w:color w:val="auto"/>
        </w:rPr>
      </w:pPr>
    </w:p>
    <w:p>
      <w:pPr>
        <w:ind w:left="320" w:hanging="316"/>
        <w:spacing w:after="0"/>
        <w:tabs>
          <w:tab w:leader="none" w:pos="3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earnings before interest, taxes, depreciation and/or amortization as adjusted to exclude any one or more of the following:</w:t>
      </w:r>
    </w:p>
    <w:p>
      <w:pPr>
        <w:spacing w:after="0" w:line="157" w:lineRule="exact"/>
        <w:rPr>
          <w:rFonts w:ascii="Arial" w:cs="Arial" w:eastAsia="Arial" w:hAnsi="Arial"/>
          <w:sz w:val="18"/>
          <w:szCs w:val="18"/>
          <w:color w:val="auto"/>
        </w:rPr>
      </w:pPr>
    </w:p>
    <w:p>
      <w:pPr>
        <w:ind w:left="1320" w:hanging="331"/>
        <w:spacing w:after="0"/>
        <w:tabs>
          <w:tab w:leader="none" w:pos="132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stock-based compensation expense;</w:t>
      </w:r>
    </w:p>
    <w:p>
      <w:pPr>
        <w:spacing w:after="0" w:line="157" w:lineRule="exact"/>
        <w:rPr>
          <w:rFonts w:ascii="Arial" w:cs="Arial" w:eastAsia="Arial" w:hAnsi="Arial"/>
          <w:sz w:val="18"/>
          <w:szCs w:val="18"/>
          <w:color w:val="auto"/>
        </w:rPr>
      </w:pPr>
    </w:p>
    <w:p>
      <w:pPr>
        <w:ind w:left="1320" w:hanging="331"/>
        <w:spacing w:after="0"/>
        <w:tabs>
          <w:tab w:leader="none" w:pos="132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income from discontinued operations;</w:t>
      </w:r>
    </w:p>
    <w:p>
      <w:pPr>
        <w:spacing w:after="0" w:line="157" w:lineRule="exact"/>
        <w:rPr>
          <w:rFonts w:ascii="Arial" w:cs="Arial" w:eastAsia="Arial" w:hAnsi="Arial"/>
          <w:sz w:val="18"/>
          <w:szCs w:val="18"/>
          <w:color w:val="auto"/>
        </w:rPr>
      </w:pPr>
    </w:p>
    <w:p>
      <w:pPr>
        <w:ind w:left="1320" w:hanging="331"/>
        <w:spacing w:after="0"/>
        <w:tabs>
          <w:tab w:leader="none" w:pos="132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gain on cancellation of debt;</w:t>
      </w:r>
    </w:p>
    <w:p>
      <w:pPr>
        <w:spacing w:after="0" w:line="157" w:lineRule="exact"/>
        <w:rPr>
          <w:rFonts w:ascii="Arial" w:cs="Arial" w:eastAsia="Arial" w:hAnsi="Arial"/>
          <w:sz w:val="18"/>
          <w:szCs w:val="18"/>
          <w:color w:val="auto"/>
        </w:rPr>
      </w:pPr>
    </w:p>
    <w:p>
      <w:pPr>
        <w:ind w:left="1320" w:hanging="331"/>
        <w:spacing w:after="0"/>
        <w:tabs>
          <w:tab w:leader="none" w:pos="132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debt extinguishment and related costs;</w:t>
      </w:r>
    </w:p>
    <w:p>
      <w:pPr>
        <w:spacing w:after="0" w:line="157" w:lineRule="exact"/>
        <w:rPr>
          <w:rFonts w:ascii="Arial" w:cs="Arial" w:eastAsia="Arial" w:hAnsi="Arial"/>
          <w:sz w:val="18"/>
          <w:szCs w:val="18"/>
          <w:color w:val="auto"/>
        </w:rPr>
      </w:pPr>
    </w:p>
    <w:p>
      <w:pPr>
        <w:ind w:left="1320" w:hanging="331"/>
        <w:spacing w:after="0"/>
        <w:tabs>
          <w:tab w:leader="none" w:pos="132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restructuring, separation and/or integration charges and costs;</w:t>
      </w:r>
    </w:p>
    <w:p>
      <w:pPr>
        <w:spacing w:after="0" w:line="157" w:lineRule="exact"/>
        <w:rPr>
          <w:rFonts w:ascii="Arial" w:cs="Arial" w:eastAsia="Arial" w:hAnsi="Arial"/>
          <w:sz w:val="18"/>
          <w:szCs w:val="18"/>
          <w:color w:val="auto"/>
        </w:rPr>
      </w:pPr>
    </w:p>
    <w:p>
      <w:pPr>
        <w:ind w:left="1320" w:hanging="331"/>
        <w:spacing w:after="0"/>
        <w:tabs>
          <w:tab w:leader="none" w:pos="132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reorganization and/or recapitalization charges and costs;</w:t>
      </w:r>
    </w:p>
    <w:p>
      <w:pPr>
        <w:spacing w:after="0" w:line="157" w:lineRule="exact"/>
        <w:rPr>
          <w:rFonts w:ascii="Arial" w:cs="Arial" w:eastAsia="Arial" w:hAnsi="Arial"/>
          <w:sz w:val="18"/>
          <w:szCs w:val="18"/>
          <w:color w:val="auto"/>
        </w:rPr>
      </w:pPr>
    </w:p>
    <w:p>
      <w:pPr>
        <w:ind w:left="1320" w:hanging="331"/>
        <w:spacing w:after="0"/>
        <w:tabs>
          <w:tab w:leader="none" w:pos="132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impairment charges;</w:t>
      </w:r>
    </w:p>
    <w:p>
      <w:pPr>
        <w:spacing w:after="0" w:line="157" w:lineRule="exact"/>
        <w:rPr>
          <w:rFonts w:ascii="Arial" w:cs="Arial" w:eastAsia="Arial" w:hAnsi="Arial"/>
          <w:sz w:val="18"/>
          <w:szCs w:val="18"/>
          <w:color w:val="auto"/>
        </w:rPr>
      </w:pPr>
    </w:p>
    <w:p>
      <w:pPr>
        <w:ind w:left="1320" w:hanging="331"/>
        <w:spacing w:after="0"/>
        <w:tabs>
          <w:tab w:leader="none" w:pos="132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gain or loss related to investments;</w:t>
      </w:r>
    </w:p>
    <w:p>
      <w:pPr>
        <w:spacing w:after="0" w:line="157" w:lineRule="exact"/>
        <w:rPr>
          <w:rFonts w:ascii="Arial" w:cs="Arial" w:eastAsia="Arial" w:hAnsi="Arial"/>
          <w:sz w:val="18"/>
          <w:szCs w:val="18"/>
          <w:color w:val="auto"/>
        </w:rPr>
      </w:pPr>
    </w:p>
    <w:p>
      <w:pPr>
        <w:ind w:left="1320" w:hanging="331"/>
        <w:spacing w:after="0"/>
        <w:tabs>
          <w:tab w:leader="none" w:pos="132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sales and use tax settlement; and</w:t>
      </w:r>
    </w:p>
    <w:p>
      <w:pPr>
        <w:spacing w:after="0" w:line="157" w:lineRule="exact"/>
        <w:rPr>
          <w:rFonts w:ascii="Arial" w:cs="Arial" w:eastAsia="Arial" w:hAnsi="Arial"/>
          <w:sz w:val="18"/>
          <w:szCs w:val="18"/>
          <w:color w:val="auto"/>
        </w:rPr>
      </w:pPr>
    </w:p>
    <w:p>
      <w:pPr>
        <w:ind w:left="1320" w:hanging="331"/>
        <w:spacing w:after="0"/>
        <w:tabs>
          <w:tab w:leader="none" w:pos="132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gain on non-monetary transaction.</w:t>
      </w:r>
    </w:p>
    <w:p>
      <w:pPr>
        <w:spacing w:after="0" w:line="157" w:lineRule="exact"/>
        <w:rPr>
          <w:rFonts w:ascii="Arial" w:cs="Arial" w:eastAsia="Arial" w:hAnsi="Arial"/>
          <w:sz w:val="18"/>
          <w:szCs w:val="18"/>
          <w:color w:val="auto"/>
        </w:rPr>
      </w:pPr>
    </w:p>
    <w:p>
      <w:pPr>
        <w:ind w:left="320" w:hanging="316"/>
        <w:spacing w:after="0"/>
        <w:tabs>
          <w:tab w:leader="none" w:pos="3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sales or revenue growth, whether in general, by type of product or service, or by type of customer;</w:t>
      </w:r>
    </w:p>
    <w:p>
      <w:pPr>
        <w:spacing w:after="0" w:line="157" w:lineRule="exact"/>
        <w:rPr>
          <w:rFonts w:ascii="Arial" w:cs="Arial" w:eastAsia="Arial" w:hAnsi="Arial"/>
          <w:sz w:val="18"/>
          <w:szCs w:val="18"/>
          <w:color w:val="auto"/>
        </w:rPr>
      </w:pPr>
    </w:p>
    <w:p>
      <w:pPr>
        <w:ind w:left="320" w:hanging="316"/>
        <w:spacing w:after="0"/>
        <w:tabs>
          <w:tab w:leader="none" w:pos="3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gross or operating margins;</w:t>
      </w:r>
    </w:p>
    <w:p>
      <w:pPr>
        <w:spacing w:after="0" w:line="157" w:lineRule="exact"/>
        <w:rPr>
          <w:rFonts w:ascii="Arial" w:cs="Arial" w:eastAsia="Arial" w:hAnsi="Arial"/>
          <w:sz w:val="18"/>
          <w:szCs w:val="18"/>
          <w:color w:val="auto"/>
        </w:rPr>
      </w:pPr>
    </w:p>
    <w:p>
      <w:pPr>
        <w:ind w:left="320" w:hanging="316"/>
        <w:spacing w:after="0"/>
        <w:tabs>
          <w:tab w:leader="none" w:pos="3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return measures, including total shareholder return, return on assets, capital, investment, equity, sales or revenue;</w:t>
      </w:r>
    </w:p>
    <w:p>
      <w:pPr>
        <w:spacing w:after="0" w:line="157" w:lineRule="exact"/>
        <w:rPr>
          <w:rFonts w:ascii="Arial" w:cs="Arial" w:eastAsia="Arial" w:hAnsi="Arial"/>
          <w:sz w:val="18"/>
          <w:szCs w:val="18"/>
          <w:color w:val="auto"/>
        </w:rPr>
      </w:pPr>
    </w:p>
    <w:p>
      <w:pPr>
        <w:ind w:left="320" w:hanging="316"/>
        <w:spacing w:after="0"/>
        <w:tabs>
          <w:tab w:leader="none" w:pos="3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cash flow, including:</w:t>
      </w:r>
    </w:p>
    <w:p>
      <w:pPr>
        <w:spacing w:after="0" w:line="157" w:lineRule="exact"/>
        <w:rPr>
          <w:rFonts w:ascii="Arial" w:cs="Arial" w:eastAsia="Arial" w:hAnsi="Arial"/>
          <w:sz w:val="18"/>
          <w:szCs w:val="18"/>
          <w:color w:val="auto"/>
        </w:rPr>
      </w:pPr>
    </w:p>
    <w:p>
      <w:pPr>
        <w:ind w:left="1320" w:hanging="331"/>
        <w:spacing w:after="0"/>
        <w:tabs>
          <w:tab w:leader="none" w:pos="132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operating cash flow;</w:t>
      </w:r>
    </w:p>
    <w:p>
      <w:pPr>
        <w:spacing w:after="0" w:line="157" w:lineRule="exact"/>
        <w:rPr>
          <w:rFonts w:ascii="Arial" w:cs="Arial" w:eastAsia="Arial" w:hAnsi="Arial"/>
          <w:sz w:val="18"/>
          <w:szCs w:val="18"/>
          <w:color w:val="auto"/>
        </w:rPr>
      </w:pPr>
    </w:p>
    <w:p>
      <w:pPr>
        <w:jc w:val="both"/>
        <w:ind w:left="1320" w:hanging="331"/>
        <w:spacing w:after="0" w:line="253" w:lineRule="auto"/>
        <w:tabs>
          <w:tab w:leader="none" w:pos="132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free cash flow, defined as earnings before interest, taxes, depreciation and/or amortization (as adjusted to exclude any one or more of the items that may be excluded pursuant to earnings before interest, taxes, depreciation and/or amortization above) less capital expenditures;</w:t>
      </w:r>
    </w:p>
    <w:p>
      <w:pPr>
        <w:spacing w:after="0" w:line="74" w:lineRule="exact"/>
        <w:rPr>
          <w:rFonts w:ascii="Arial" w:cs="Arial" w:eastAsia="Arial" w:hAnsi="Arial"/>
          <w:sz w:val="18"/>
          <w:szCs w:val="18"/>
          <w:color w:val="auto"/>
        </w:rPr>
      </w:pPr>
    </w:p>
    <w:p>
      <w:pPr>
        <w:ind w:left="1320" w:hanging="331"/>
        <w:spacing w:after="0"/>
        <w:tabs>
          <w:tab w:leader="none" w:pos="132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cash flow return on equity; and</w:t>
      </w:r>
    </w:p>
    <w:p>
      <w:pPr>
        <w:spacing w:after="0" w:line="157" w:lineRule="exact"/>
        <w:rPr>
          <w:rFonts w:ascii="Arial" w:cs="Arial" w:eastAsia="Arial" w:hAnsi="Arial"/>
          <w:sz w:val="18"/>
          <w:szCs w:val="18"/>
          <w:color w:val="auto"/>
        </w:rPr>
      </w:pPr>
    </w:p>
    <w:p>
      <w:pPr>
        <w:ind w:left="1320" w:hanging="331"/>
        <w:spacing w:after="0"/>
        <w:tabs>
          <w:tab w:leader="none" w:pos="132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cash flow return on investment.</w:t>
      </w:r>
    </w:p>
    <w:p>
      <w:pPr>
        <w:spacing w:after="0" w:line="157" w:lineRule="exact"/>
        <w:rPr>
          <w:rFonts w:ascii="Arial" w:cs="Arial" w:eastAsia="Arial" w:hAnsi="Arial"/>
          <w:sz w:val="18"/>
          <w:szCs w:val="18"/>
          <w:color w:val="auto"/>
        </w:rPr>
      </w:pPr>
    </w:p>
    <w:p>
      <w:pPr>
        <w:ind w:left="320" w:hanging="316"/>
        <w:spacing w:after="0"/>
        <w:tabs>
          <w:tab w:leader="none" w:pos="3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productivity ratios;</w:t>
      </w:r>
    </w:p>
    <w:p>
      <w:pPr>
        <w:spacing w:after="0" w:line="157" w:lineRule="exact"/>
        <w:rPr>
          <w:rFonts w:ascii="Arial" w:cs="Arial" w:eastAsia="Arial" w:hAnsi="Arial"/>
          <w:sz w:val="18"/>
          <w:szCs w:val="18"/>
          <w:color w:val="auto"/>
        </w:rPr>
      </w:pPr>
    </w:p>
    <w:p>
      <w:pPr>
        <w:ind w:left="320" w:hanging="316"/>
        <w:spacing w:after="0"/>
        <w:tabs>
          <w:tab w:leader="none" w:pos="3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expense targets;</w:t>
      </w:r>
    </w:p>
    <w:p>
      <w:pPr>
        <w:spacing w:after="0" w:line="157" w:lineRule="exact"/>
        <w:rPr>
          <w:rFonts w:ascii="Arial" w:cs="Arial" w:eastAsia="Arial" w:hAnsi="Arial"/>
          <w:sz w:val="18"/>
          <w:szCs w:val="18"/>
          <w:color w:val="auto"/>
        </w:rPr>
      </w:pPr>
    </w:p>
    <w:p>
      <w:pPr>
        <w:ind w:left="320" w:hanging="316"/>
        <w:spacing w:after="0"/>
        <w:tabs>
          <w:tab w:leader="none" w:pos="3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157" w:lineRule="exact"/>
        <w:rPr>
          <w:rFonts w:ascii="Arial" w:cs="Arial" w:eastAsia="Arial" w:hAnsi="Arial"/>
          <w:sz w:val="18"/>
          <w:szCs w:val="18"/>
          <w:color w:val="auto"/>
        </w:rPr>
      </w:pPr>
    </w:p>
    <w:p>
      <w:pPr>
        <w:ind w:left="320" w:hanging="316"/>
        <w:spacing w:after="0"/>
        <w:tabs>
          <w:tab w:leader="none" w:pos="3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working capital targets;</w:t>
      </w:r>
    </w:p>
    <w:p>
      <w:pPr>
        <w:spacing w:after="0" w:line="157" w:lineRule="exact"/>
        <w:rPr>
          <w:rFonts w:ascii="Arial" w:cs="Arial" w:eastAsia="Arial" w:hAnsi="Arial"/>
          <w:sz w:val="18"/>
          <w:szCs w:val="18"/>
          <w:color w:val="auto"/>
        </w:rPr>
      </w:pPr>
    </w:p>
    <w:p>
      <w:pPr>
        <w:ind w:left="320" w:hanging="316"/>
        <w:spacing w:after="0"/>
        <w:tabs>
          <w:tab w:leader="none" w:pos="3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completion of acquisitions of businesses or companies (including metrics resulting from the same such as revenue or margin);</w:t>
      </w:r>
    </w:p>
    <w:p>
      <w:pPr>
        <w:spacing w:after="0" w:line="157" w:lineRule="exact"/>
        <w:rPr>
          <w:rFonts w:ascii="Arial" w:cs="Arial" w:eastAsia="Arial" w:hAnsi="Arial"/>
          <w:sz w:val="18"/>
          <w:szCs w:val="18"/>
          <w:color w:val="auto"/>
        </w:rPr>
      </w:pPr>
    </w:p>
    <w:p>
      <w:pPr>
        <w:ind w:left="320" w:hanging="316"/>
        <w:spacing w:after="0"/>
        <w:tabs>
          <w:tab w:leader="none" w:pos="3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completion of divestitures and asset sales;</w:t>
      </w:r>
    </w:p>
    <w:p>
      <w:pPr>
        <w:spacing w:after="0" w:line="252"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6714490</wp:posOffset>
            </wp:positionH>
            <wp:positionV relativeFrom="paragraph">
              <wp:posOffset>-118745</wp:posOffset>
            </wp:positionV>
            <wp:extent cx="17145" cy="38608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7145" cy="386080"/>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-50165</wp:posOffset>
            </wp:positionV>
            <wp:extent cx="685800" cy="16256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0" cy="162560"/>
                    </a:xfrm>
                    <a:prstGeom prst="rect">
                      <a:avLst/>
                    </a:prstGeom>
                    <a:noFill/>
                  </pic:spPr>
                </pic:pic>
              </a:graphicData>
            </a:graphic>
          </wp:anchor>
        </w:drawing>
      </w:r>
    </w:p>
    <w:p>
      <w:pPr>
        <w:jc w:val="right"/>
        <w:ind w:right="100"/>
        <w:spacing w:after="0"/>
        <w:rPr>
          <w:sz w:val="20"/>
          <w:szCs w:val="20"/>
          <w:color w:val="auto"/>
        </w:rPr>
      </w:pPr>
      <w:r>
        <w:rPr>
          <w:rFonts w:ascii="Arial" w:cs="Arial" w:eastAsia="Arial" w:hAnsi="Arial"/>
          <w:sz w:val="18"/>
          <w:szCs w:val="18"/>
          <w:color w:val="auto"/>
        </w:rPr>
        <w:t xml:space="preserve">- 2024 Proxy Statement  </w:t>
      </w:r>
      <w:r>
        <w:rPr>
          <w:rFonts w:ascii="Arial" w:cs="Arial" w:eastAsia="Arial" w:hAnsi="Arial"/>
          <w:sz w:val="18"/>
          <w:szCs w:val="18"/>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126365</wp:posOffset>
            </wp:positionV>
            <wp:extent cx="699516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00"/>
          </w:cols>
          <w:pgMar w:left="540" w:top="661" w:right="459" w:bottom="1440" w:gutter="0" w:footer="0" w:header="0"/>
        </w:sectPr>
      </w:pPr>
    </w:p>
    <w:bookmarkStart w:id="102" w:name="page103"/>
    <w:bookmarkEnd w:id="102"/>
    <w:p>
      <w:pPr>
        <w:ind w:left="420" w:hanging="316"/>
        <w:spacing w:after="0"/>
        <w:tabs>
          <w:tab w:leader="none" w:pos="4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debt repayment targets, and debt/equity ratios;</w:t>
      </w:r>
    </w:p>
    <w:p>
      <w:pPr>
        <w:spacing w:after="0" w:line="157" w:lineRule="exact"/>
        <w:rPr>
          <w:rFonts w:ascii="Arial" w:cs="Arial" w:eastAsia="Arial" w:hAnsi="Arial"/>
          <w:sz w:val="18"/>
          <w:szCs w:val="18"/>
          <w:color w:val="auto"/>
        </w:rPr>
      </w:pPr>
    </w:p>
    <w:p>
      <w:pPr>
        <w:ind w:left="420" w:hanging="316"/>
        <w:spacing w:after="0"/>
        <w:tabs>
          <w:tab w:leader="none" w:pos="4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bookings or completion of orders (including metrics resulting from the same such as revenue or margin);</w:t>
      </w:r>
    </w:p>
    <w:p>
      <w:pPr>
        <w:spacing w:after="0" w:line="157" w:lineRule="exact"/>
        <w:rPr>
          <w:rFonts w:ascii="Arial" w:cs="Arial" w:eastAsia="Arial" w:hAnsi="Arial"/>
          <w:sz w:val="18"/>
          <w:szCs w:val="18"/>
          <w:color w:val="auto"/>
        </w:rPr>
      </w:pPr>
    </w:p>
    <w:p>
      <w:pPr>
        <w:ind w:left="420" w:hanging="316"/>
        <w:spacing w:after="0"/>
        <w:tabs>
          <w:tab w:leader="none" w:pos="42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project bookings, milestones or completion (including metrics related to the same such as revenue or margin); and</w:t>
      </w:r>
    </w:p>
    <w:p>
      <w:pPr>
        <w:spacing w:after="0" w:line="169" w:lineRule="exact"/>
        <w:rPr>
          <w:rFonts w:ascii="Arial" w:cs="Arial" w:eastAsia="Arial" w:hAnsi="Arial"/>
          <w:sz w:val="17"/>
          <w:szCs w:val="17"/>
          <w:color w:val="auto"/>
        </w:rPr>
      </w:pPr>
    </w:p>
    <w:p>
      <w:pPr>
        <w:ind w:left="420" w:hanging="316"/>
        <w:spacing w:after="0"/>
        <w:tabs>
          <w:tab w:leader="none" w:pos="4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combination of the foregoing business criteria.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-118745</wp:posOffset>
            </wp:positionV>
            <wp:extent cx="17145" cy="51435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7145" cy="5143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-59055</wp:posOffset>
            </wp:positionV>
            <wp:extent cx="685800" cy="16319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0" cy="163195"/>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699516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688" w:right="1440" w:bottom="1440" w:gutter="0" w:footer="0" w:header="0"/>
        </w:sectPr>
      </w:pPr>
    </w:p>
    <w:bookmarkStart w:id="103" w:name="page104"/>
    <w:bookmarkEnd w:id="103"/>
    <w:p>
      <w:pPr>
        <w:jc w:val="center"/>
        <w:ind w:right="-3"/>
        <w:spacing w:after="0"/>
        <w:rPr>
          <w:sz w:val="20"/>
          <w:szCs w:val="20"/>
          <w:color w:val="auto"/>
        </w:rPr>
      </w:pPr>
      <w:r>
        <w:rPr>
          <w:rFonts w:ascii="Arial" w:cs="Arial" w:eastAsia="Arial" w:hAnsi="Arial"/>
          <w:sz w:val="18"/>
          <w:szCs w:val="18"/>
          <w:b w:val="1"/>
          <w:bCs w:val="1"/>
          <w:color w:val="auto"/>
        </w:rPr>
        <w:t>FIRST AMENDMENT TO THE</w:t>
      </w:r>
    </w:p>
    <w:p>
      <w:pPr>
        <w:spacing w:after="0" w:line="14"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ENOVIS CORPORATION 2020 OMNIBUS INCENTIVE PLAN</w:t>
      </w:r>
    </w:p>
    <w:p>
      <w:pPr>
        <w:spacing w:after="0" w:line="194" w:lineRule="exact"/>
        <w:rPr>
          <w:sz w:val="20"/>
          <w:szCs w:val="20"/>
          <w:color w:val="auto"/>
        </w:rPr>
      </w:pPr>
    </w:p>
    <w:p>
      <w:pPr>
        <w:jc w:val="both"/>
        <w:ind w:left="4" w:right="20"/>
        <w:spacing w:after="0" w:line="28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Enovis Corporation, a Delaware corporation, formerly named Colfax Corporation (the “</w:t>
      </w:r>
      <w:r>
        <w:rPr>
          <w:rFonts w:ascii="Arial" w:cs="Arial" w:eastAsia="Arial" w:hAnsi="Arial"/>
          <w:sz w:val="18"/>
          <w:szCs w:val="18"/>
          <w:b w:val="1"/>
          <w:bCs w:val="1"/>
          <w:color w:val="auto"/>
        </w:rPr>
        <w:t>Company</w:t>
      </w:r>
      <w:r>
        <w:rPr>
          <w:rFonts w:ascii="Arial" w:cs="Arial" w:eastAsia="Arial" w:hAnsi="Arial"/>
          <w:sz w:val="18"/>
          <w:szCs w:val="18"/>
          <w:color w:val="auto"/>
        </w:rPr>
        <w:t>”), established and sponsors</w:t>
      </w:r>
      <w:r>
        <w:rPr>
          <w:rFonts w:ascii="Arial" w:cs="Arial" w:eastAsia="Arial" w:hAnsi="Arial"/>
          <w:sz w:val="18"/>
          <w:szCs w:val="18"/>
          <w:b w:val="1"/>
          <w:bCs w:val="1"/>
          <w:color w:val="auto"/>
        </w:rPr>
        <w:t xml:space="preserve"> </w:t>
      </w:r>
      <w:r>
        <w:rPr>
          <w:rFonts w:ascii="Arial" w:cs="Arial" w:eastAsia="Arial" w:hAnsi="Arial"/>
          <w:sz w:val="18"/>
          <w:szCs w:val="18"/>
          <w:color w:val="auto"/>
        </w:rPr>
        <w:t>the Enovis Corporation 2020 Omnibus Incentive Plan (the “</w:t>
      </w:r>
      <w:r>
        <w:rPr>
          <w:rFonts w:ascii="Arial" w:cs="Arial" w:eastAsia="Arial" w:hAnsi="Arial"/>
          <w:sz w:val="18"/>
          <w:szCs w:val="18"/>
          <w:b w:val="1"/>
          <w:bCs w:val="1"/>
          <w:color w:val="auto"/>
        </w:rPr>
        <w:t>Plan</w:t>
      </w:r>
      <w:r>
        <w:rPr>
          <w:rFonts w:ascii="Arial" w:cs="Arial" w:eastAsia="Arial" w:hAnsi="Arial"/>
          <w:sz w:val="18"/>
          <w:szCs w:val="18"/>
          <w:color w:val="auto"/>
        </w:rPr>
        <w:t>”);</w:t>
      </w:r>
    </w:p>
    <w:p>
      <w:pPr>
        <w:spacing w:after="0" w:line="136" w:lineRule="exact"/>
        <w:rPr>
          <w:sz w:val="20"/>
          <w:szCs w:val="20"/>
          <w:color w:val="auto"/>
        </w:rPr>
      </w:pPr>
    </w:p>
    <w:p>
      <w:pPr>
        <w:jc w:val="both"/>
        <w:ind w:left="4"/>
        <w:spacing w:after="0" w:line="27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Section 5.3 of the Plan, the Board of Directors of the Company (the “</w:t>
      </w:r>
      <w:r>
        <w:rPr>
          <w:rFonts w:ascii="Arial" w:cs="Arial" w:eastAsia="Arial" w:hAnsi="Arial"/>
          <w:sz w:val="18"/>
          <w:szCs w:val="18"/>
          <w:b w:val="1"/>
          <w:bCs w:val="1"/>
          <w:color w:val="auto"/>
        </w:rPr>
        <w:t>Board</w:t>
      </w:r>
      <w:r>
        <w:rPr>
          <w:rFonts w:ascii="Arial" w:cs="Arial" w:eastAsia="Arial" w:hAnsi="Arial"/>
          <w:sz w:val="18"/>
          <w:szCs w:val="18"/>
          <w:color w:val="auto"/>
        </w:rPr>
        <w:t>”) reserved the right to amend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at any time;</w:t>
      </w:r>
    </w:p>
    <w:p>
      <w:pPr>
        <w:spacing w:after="0" w:line="154" w:lineRule="exact"/>
        <w:rPr>
          <w:sz w:val="20"/>
          <w:szCs w:val="20"/>
          <w:color w:val="auto"/>
        </w:rPr>
      </w:pPr>
    </w:p>
    <w:p>
      <w:pPr>
        <w:jc w:val="both"/>
        <w:ind w:left="4" w:right="20"/>
        <w:spacing w:after="0" w:line="253"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a result of the one-for-three reverse stock split of the common stock, $0.001 par value per share, of the Company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Stock</w:t>
      </w:r>
      <w:r>
        <w:rPr>
          <w:rFonts w:ascii="Arial" w:cs="Arial" w:eastAsia="Arial" w:hAnsi="Arial"/>
          <w:sz w:val="18"/>
          <w:szCs w:val="18"/>
          <w:color w:val="auto"/>
        </w:rPr>
        <w:t>”) and pursuant to Section 17 of the Plan, the aggregate number of remaining shares of Stock reserved and available for issuance under Section 4.1 of the Plan was reduced to 1,080,024; and</w:t>
      </w:r>
    </w:p>
    <w:p>
      <w:pPr>
        <w:spacing w:after="0" w:line="169" w:lineRule="exact"/>
        <w:rPr>
          <w:sz w:val="20"/>
          <w:szCs w:val="20"/>
          <w:color w:val="auto"/>
        </w:rPr>
      </w:pPr>
    </w:p>
    <w:p>
      <w:pPr>
        <w:jc w:val="both"/>
        <w:ind w:left="4" w:right="20"/>
        <w:spacing w:after="0" w:line="27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desires to amend the Plan to add an additional 745,000 shares of Stock of the Company for issuance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w:t>
      </w:r>
    </w:p>
    <w:p>
      <w:pPr>
        <w:spacing w:after="0" w:line="154" w:lineRule="exact"/>
        <w:rPr>
          <w:sz w:val="20"/>
          <w:szCs w:val="20"/>
          <w:color w:val="auto"/>
        </w:rPr>
      </w:pPr>
    </w:p>
    <w:p>
      <w:pPr>
        <w:jc w:val="both"/>
        <w:ind w:left="4" w:right="20"/>
        <w:spacing w:after="0" w:line="253" w:lineRule="auto"/>
        <w:rPr>
          <w:sz w:val="20"/>
          <w:szCs w:val="20"/>
          <w:color w:val="auto"/>
        </w:rPr>
      </w:pPr>
      <w:r>
        <w:rPr>
          <w:rFonts w:ascii="Arial" w:cs="Arial" w:eastAsia="Arial" w:hAnsi="Arial"/>
          <w:sz w:val="18"/>
          <w:szCs w:val="18"/>
          <w:b w:val="1"/>
          <w:bCs w:val="1"/>
          <w:color w:val="auto"/>
        </w:rPr>
        <w:t>NOW</w:t>
      </w:r>
      <w:r>
        <w:rPr>
          <w:rFonts w:ascii="Arial" w:cs="Arial" w:eastAsia="Arial" w:hAnsi="Arial"/>
          <w:sz w:val="18"/>
          <w:szCs w:val="18"/>
          <w:color w:val="auto"/>
        </w:rPr>
        <w:t>,</w:t>
      </w:r>
      <w:r>
        <w:rPr>
          <w:rFonts w:ascii="Arial" w:cs="Arial" w:eastAsia="Arial" w:hAnsi="Arial"/>
          <w:sz w:val="18"/>
          <w:szCs w:val="18"/>
          <w:b w:val="1"/>
          <w:bCs w:val="1"/>
          <w:color w:val="auto"/>
        </w:rPr>
        <w:t xml:space="preserve"> THEREFORE</w:t>
      </w:r>
      <w:r>
        <w:rPr>
          <w:rFonts w:ascii="Arial" w:cs="Arial" w:eastAsia="Arial" w:hAnsi="Arial"/>
          <w:sz w:val="18"/>
          <w:szCs w:val="18"/>
          <w:color w:val="auto"/>
        </w:rPr>
        <w:t>, pursuant to the power reserved by Section 5.3 of the Plan, the Board amends the Plan as follows, subject to and</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upon approval by the Company’s stockholders at the Annual Meeting to be held on June 7, 2022 (the “</w:t>
      </w:r>
      <w:r>
        <w:rPr>
          <w:rFonts w:ascii="Arial" w:cs="Arial" w:eastAsia="Arial" w:hAnsi="Arial"/>
          <w:sz w:val="18"/>
          <w:szCs w:val="18"/>
          <w:b w:val="1"/>
          <w:bCs w:val="1"/>
          <w:color w:val="auto"/>
        </w:rPr>
        <w:t>2022 Annual Meeting</w:t>
      </w:r>
      <w:r>
        <w:rPr>
          <w:rFonts w:ascii="Arial" w:cs="Arial" w:eastAsia="Arial" w:hAnsi="Arial"/>
          <w:sz w:val="18"/>
          <w:szCs w:val="18"/>
          <w:color w:val="auto"/>
        </w:rPr>
        <w:t>”). Defined terms used herein, but not otherwise defined in this First Amendment, shall have the meanings ascribed to them in the Plan:</w:t>
      </w:r>
    </w:p>
    <w:p>
      <w:pPr>
        <w:spacing w:after="0" w:line="74" w:lineRule="exact"/>
        <w:rPr>
          <w:sz w:val="20"/>
          <w:szCs w:val="20"/>
          <w:color w:val="auto"/>
        </w:rPr>
      </w:pPr>
    </w:p>
    <w:p>
      <w:pPr>
        <w:ind w:left="424" w:hanging="424"/>
        <w:spacing w:after="0" w:line="271" w:lineRule="auto"/>
        <w:tabs>
          <w:tab w:leader="none" w:pos="42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Section 4.1 containing the aggregate number of shares of Stock reserved and available for issuance pursuant to Awards granted under the Plan is hereby amended in its entirety to read:</w:t>
      </w:r>
    </w:p>
    <w:p>
      <w:pPr>
        <w:spacing w:after="0" w:line="45" w:lineRule="exact"/>
        <w:rPr>
          <w:rFonts w:ascii="Arial" w:cs="Arial" w:eastAsia="Arial" w:hAnsi="Arial"/>
          <w:sz w:val="18"/>
          <w:szCs w:val="18"/>
          <w:color w:val="auto"/>
        </w:rPr>
      </w:pPr>
    </w:p>
    <w:p>
      <w:pPr>
        <w:jc w:val="both"/>
        <w:ind w:left="444" w:right="260"/>
        <w:spacing w:after="0" w:line="244" w:lineRule="auto"/>
        <w:rPr>
          <w:rFonts w:ascii="Arial" w:cs="Arial" w:eastAsia="Arial" w:hAnsi="Arial"/>
          <w:sz w:val="18"/>
          <w:szCs w:val="18"/>
          <w:color w:val="auto"/>
        </w:rPr>
      </w:pPr>
      <w:r>
        <w:rPr>
          <w:rFonts w:ascii="Arial" w:cs="Arial" w:eastAsia="Arial" w:hAnsi="Arial"/>
          <w:sz w:val="18"/>
          <w:szCs w:val="18"/>
          <w:u w:val="single" w:color="auto"/>
          <w:color w:val="auto"/>
        </w:rPr>
        <w:t>“4.1</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Number of Shares</w:t>
      </w:r>
      <w:r>
        <w:rPr>
          <w:rFonts w:ascii="Arial" w:cs="Arial" w:eastAsia="Arial" w:hAnsi="Arial"/>
          <w:sz w:val="18"/>
          <w:szCs w:val="18"/>
          <w:b w:val="1"/>
          <w:bCs w:val="1"/>
          <w:color w:val="auto"/>
        </w:rPr>
        <w:t>.</w:t>
      </w:r>
      <w:r>
        <w:rPr>
          <w:rFonts w:ascii="Arial" w:cs="Arial" w:eastAsia="Arial" w:hAnsi="Arial"/>
          <w:sz w:val="18"/>
          <w:szCs w:val="18"/>
          <w:color w:val="auto"/>
        </w:rPr>
        <w:t xml:space="preserve"> Subject to the Share Counting rules set forth in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and to adjustment as provided in </w:t>
      </w:r>
      <w:r>
        <w:rPr>
          <w:rFonts w:ascii="Arial" w:cs="Arial" w:eastAsia="Arial" w:hAnsi="Arial"/>
          <w:sz w:val="18"/>
          <w:szCs w:val="18"/>
          <w:u w:val="single" w:color="auto"/>
          <w:color w:val="auto"/>
        </w:rPr>
        <w:t>Section 17</w:t>
      </w:r>
      <w:r>
        <w:rPr>
          <w:rFonts w:ascii="Arial" w:cs="Arial" w:eastAsia="Arial" w:hAnsi="Arial"/>
          <w:sz w:val="18"/>
          <w:szCs w:val="18"/>
          <w:color w:val="auto"/>
        </w:rPr>
        <w:t>, the aggregate number of shares of Stock reserved and available for issuance pursuant to Awards granted under the Plan shall be 2,221,666 shares, which number may be increased by the number of shares available for issuance under a stockholder-approved plan of a business entity that is a party to an acquisition, merger or other transaction in which the Company or an Affiliate acquires the business entity (as appropriately adjusted, if necessary, to reflect such transaction) (“</w:t>
      </w:r>
      <w:r>
        <w:rPr>
          <w:rFonts w:ascii="Arial" w:cs="Arial" w:eastAsia="Arial" w:hAnsi="Arial"/>
          <w:sz w:val="18"/>
          <w:szCs w:val="18"/>
          <w:u w:val="single" w:color="auto"/>
          <w:color w:val="auto"/>
        </w:rPr>
        <w:t>Total Available Shares</w:t>
      </w:r>
      <w:r>
        <w:rPr>
          <w:rFonts w:ascii="Arial" w:cs="Arial" w:eastAsia="Arial" w:hAnsi="Arial"/>
          <w:sz w:val="18"/>
          <w:szCs w:val="18"/>
          <w:color w:val="auto"/>
        </w:rPr>
        <w:t>”).”</w:t>
      </w:r>
    </w:p>
    <w:p>
      <w:pPr>
        <w:spacing w:after="0" w:line="81" w:lineRule="exact"/>
        <w:rPr>
          <w:rFonts w:ascii="Arial" w:cs="Arial" w:eastAsia="Arial" w:hAnsi="Arial"/>
          <w:sz w:val="18"/>
          <w:szCs w:val="18"/>
          <w:color w:val="auto"/>
        </w:rPr>
      </w:pPr>
    </w:p>
    <w:p>
      <w:pPr>
        <w:ind w:left="424" w:right="20" w:hanging="424"/>
        <w:spacing w:after="0" w:line="271" w:lineRule="auto"/>
        <w:tabs>
          <w:tab w:leader="none" w:pos="42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Section 4.2 containing the maximum number of shares of Stock that may be issued upon exercise of Incentive Stock Options granted under the Plan is hereby amended in its entirety to read:</w:t>
      </w:r>
    </w:p>
    <w:p>
      <w:pPr>
        <w:spacing w:after="0" w:line="45" w:lineRule="exact"/>
        <w:rPr>
          <w:rFonts w:ascii="Arial" w:cs="Arial" w:eastAsia="Arial" w:hAnsi="Arial"/>
          <w:sz w:val="18"/>
          <w:szCs w:val="18"/>
          <w:color w:val="auto"/>
        </w:rPr>
      </w:pPr>
    </w:p>
    <w:p>
      <w:pPr>
        <w:ind w:left="444" w:right="580"/>
        <w:spacing w:after="0" w:line="271" w:lineRule="auto"/>
        <w:rPr>
          <w:rFonts w:ascii="Arial" w:cs="Arial" w:eastAsia="Arial" w:hAnsi="Arial"/>
          <w:sz w:val="18"/>
          <w:szCs w:val="18"/>
          <w:color w:val="auto"/>
        </w:rPr>
      </w:pPr>
      <w:r>
        <w:rPr>
          <w:rFonts w:ascii="Arial" w:cs="Arial" w:eastAsia="Arial" w:hAnsi="Arial"/>
          <w:sz w:val="18"/>
          <w:szCs w:val="18"/>
          <w:color w:val="auto"/>
        </w:rPr>
        <w:t xml:space="preserve">“4.2 </w:t>
      </w:r>
      <w:r>
        <w:rPr>
          <w:rFonts w:ascii="Arial" w:cs="Arial" w:eastAsia="Arial" w:hAnsi="Arial"/>
          <w:sz w:val="18"/>
          <w:szCs w:val="18"/>
          <w:b w:val="1"/>
          <w:bCs w:val="1"/>
          <w:u w:val="single" w:color="auto"/>
          <w:color w:val="auto"/>
        </w:rPr>
        <w:t>Incentive Stock Options</w:t>
      </w:r>
      <w:r>
        <w:rPr>
          <w:rFonts w:ascii="Arial" w:cs="Arial" w:eastAsia="Arial" w:hAnsi="Arial"/>
          <w:sz w:val="18"/>
          <w:szCs w:val="18"/>
          <w:b w:val="1"/>
          <w:bCs w:val="1"/>
          <w:color w:val="auto"/>
        </w:rPr>
        <w:t>.</w:t>
      </w:r>
      <w:r>
        <w:rPr>
          <w:rFonts w:ascii="Arial" w:cs="Arial" w:eastAsia="Arial" w:hAnsi="Arial"/>
          <w:sz w:val="18"/>
          <w:szCs w:val="18"/>
          <w:color w:val="auto"/>
        </w:rPr>
        <w:t xml:space="preserve"> The maximum number of shares of Stock that may be issued upon exercise of Incentive Stock Options granted under the Plan shall be 2,221,666 shares, subject to adjustment as provided in </w:t>
      </w:r>
      <w:r>
        <w:rPr>
          <w:rFonts w:ascii="Arial" w:cs="Arial" w:eastAsia="Arial" w:hAnsi="Arial"/>
          <w:sz w:val="18"/>
          <w:szCs w:val="18"/>
          <w:u w:val="single" w:color="auto"/>
          <w:color w:val="auto"/>
        </w:rPr>
        <w:t>Section 17</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ind w:left="424" w:right="20" w:hanging="424"/>
        <w:spacing w:after="0" w:line="271" w:lineRule="auto"/>
        <w:tabs>
          <w:tab w:leader="none" w:pos="42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Section 6.4 containing the maximum number of shares of Stock underlying Awards to any one Grantee during any fiscal year of the Company shall be amended in its entirety to read:</w:t>
      </w:r>
    </w:p>
    <w:p>
      <w:pPr>
        <w:spacing w:after="0" w:line="45" w:lineRule="exact"/>
        <w:rPr>
          <w:rFonts w:ascii="Arial" w:cs="Arial" w:eastAsia="Arial" w:hAnsi="Arial"/>
          <w:sz w:val="18"/>
          <w:szCs w:val="18"/>
          <w:color w:val="auto"/>
        </w:rPr>
      </w:pPr>
    </w:p>
    <w:p>
      <w:pPr>
        <w:ind w:left="444" w:right="580"/>
        <w:spacing w:after="0" w:line="271" w:lineRule="auto"/>
        <w:rPr>
          <w:rFonts w:ascii="Arial" w:cs="Arial" w:eastAsia="Arial" w:hAnsi="Arial"/>
          <w:sz w:val="18"/>
          <w:szCs w:val="18"/>
          <w:color w:val="auto"/>
        </w:rPr>
      </w:pPr>
      <w:r>
        <w:rPr>
          <w:rFonts w:ascii="Arial" w:cs="Arial" w:eastAsia="Arial" w:hAnsi="Arial"/>
          <w:sz w:val="18"/>
          <w:szCs w:val="18"/>
          <w:color w:val="auto"/>
        </w:rPr>
        <w:t xml:space="preserve">“6.4 </w:t>
      </w:r>
      <w:r>
        <w:rPr>
          <w:rFonts w:ascii="Arial" w:cs="Arial" w:eastAsia="Arial" w:hAnsi="Arial"/>
          <w:sz w:val="18"/>
          <w:szCs w:val="18"/>
          <w:b w:val="1"/>
          <w:bCs w:val="1"/>
          <w:u w:val="single" w:color="auto"/>
          <w:color w:val="auto"/>
        </w:rPr>
        <w:t>Maximum Awards</w:t>
      </w:r>
      <w:r>
        <w:rPr>
          <w:rFonts w:ascii="Arial" w:cs="Arial" w:eastAsia="Arial" w:hAnsi="Arial"/>
          <w:sz w:val="18"/>
          <w:szCs w:val="18"/>
          <w:b w:val="1"/>
          <w:bCs w:val="1"/>
          <w:color w:val="auto"/>
        </w:rPr>
        <w:t>.</w:t>
      </w:r>
      <w:r>
        <w:rPr>
          <w:rFonts w:ascii="Arial" w:cs="Arial" w:eastAsia="Arial" w:hAnsi="Arial"/>
          <w:sz w:val="18"/>
          <w:szCs w:val="18"/>
          <w:color w:val="auto"/>
        </w:rPr>
        <w:t xml:space="preserve"> Subject to adjustment as provided in </w:t>
      </w:r>
      <w:r>
        <w:rPr>
          <w:rFonts w:ascii="Arial" w:cs="Arial" w:eastAsia="Arial" w:hAnsi="Arial"/>
          <w:sz w:val="18"/>
          <w:szCs w:val="18"/>
          <w:u w:val="single" w:color="auto"/>
          <w:color w:val="auto"/>
        </w:rPr>
        <w:t>Section 17</w:t>
      </w:r>
      <w:r>
        <w:rPr>
          <w:rFonts w:ascii="Arial" w:cs="Arial" w:eastAsia="Arial" w:hAnsi="Arial"/>
          <w:sz w:val="18"/>
          <w:szCs w:val="18"/>
          <w:color w:val="auto"/>
        </w:rPr>
        <w:t>, the maximum number of shares of Stock underlying Awards to any one Grantee during any fiscal year of the Company shall be 333,333.”</w:t>
      </w:r>
    </w:p>
    <w:p>
      <w:pPr>
        <w:spacing w:after="0" w:line="154" w:lineRule="exact"/>
        <w:rPr>
          <w:sz w:val="20"/>
          <w:szCs w:val="20"/>
          <w:color w:val="auto"/>
        </w:rPr>
      </w:pPr>
    </w:p>
    <w:p>
      <w:pPr>
        <w:jc w:val="both"/>
        <w:ind w:left="4"/>
        <w:spacing w:after="0" w:line="253"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First Amendment, having been first duly authorized, approved and adopted by the Board, and approved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stockholders at the 2022 Annual Meeting, is hereby executed below by a duly authorized officer of the Company on this 7</w:t>
      </w:r>
      <w:r>
        <w:rPr>
          <w:rFonts w:ascii="Arial" w:cs="Arial" w:eastAsia="Arial" w:hAnsi="Arial"/>
          <w:sz w:val="11"/>
          <w:szCs w:val="11"/>
          <w:color w:val="auto"/>
        </w:rPr>
        <w:t>th</w:t>
      </w:r>
      <w:r>
        <w:rPr>
          <w:rFonts w:ascii="Arial" w:cs="Arial" w:eastAsia="Arial" w:hAnsi="Arial"/>
          <w:sz w:val="18"/>
          <w:szCs w:val="18"/>
          <w:color w:val="auto"/>
        </w:rPr>
        <w:t xml:space="preserve"> day of June, 2022.</w:t>
      </w:r>
    </w:p>
    <w:p>
      <w:pPr>
        <w:spacing w:after="0" w:line="19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ENOVIS CORPORATION</w:t>
      </w:r>
    </w:p>
    <w:p>
      <w:pPr>
        <w:spacing w:after="0" w:line="239" w:lineRule="exact"/>
        <w:rPr>
          <w:sz w:val="20"/>
          <w:szCs w:val="20"/>
          <w:color w:val="auto"/>
        </w:rPr>
      </w:pPr>
    </w:p>
    <w:tbl>
      <w:tblPr>
        <w:tblLayout w:type="fixed"/>
        <w:tblInd w:w="4" w:type="dxa"/>
        <w:tblCellMar>
          <w:top w:w="0" w:type="dxa"/>
          <w:left w:w="0" w:type="dxa"/>
          <w:bottom w:w="0" w:type="dxa"/>
          <w:right w:w="0" w:type="dxa"/>
        </w:tblCellMar>
      </w:tblPr>
      <w:tr>
        <w:trPr>
          <w:trHeight w:val="221"/>
        </w:trPr>
        <w:tc>
          <w:tcPr>
            <w:tcW w:w="1540" w:type="dxa"/>
            <w:vAlign w:val="bottom"/>
          </w:tcPr>
          <w:p>
            <w:pPr>
              <w:spacing w:after="0"/>
              <w:rPr>
                <w:sz w:val="20"/>
                <w:szCs w:val="20"/>
                <w:color w:val="auto"/>
              </w:rPr>
            </w:pPr>
            <w:r>
              <w:rPr>
                <w:rFonts w:ascii="Arial" w:cs="Arial" w:eastAsia="Arial" w:hAnsi="Arial"/>
                <w:sz w:val="18"/>
                <w:szCs w:val="18"/>
                <w:color w:val="auto"/>
              </w:rPr>
              <w:t>By:</w:t>
            </w:r>
          </w:p>
        </w:tc>
        <w:tc>
          <w:tcPr>
            <w:tcW w:w="9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Bradley J. Tandy</w:t>
            </w:r>
          </w:p>
        </w:tc>
      </w:tr>
      <w:tr>
        <w:trPr>
          <w:trHeight w:val="240"/>
        </w:trPr>
        <w:tc>
          <w:tcPr>
            <w:tcW w:w="1540" w:type="dxa"/>
            <w:vAlign w:val="bottom"/>
          </w:tcPr>
          <w:p>
            <w:pPr>
              <w:spacing w:after="0"/>
              <w:rPr>
                <w:sz w:val="20"/>
                <w:szCs w:val="20"/>
                <w:color w:val="auto"/>
              </w:rPr>
            </w:pPr>
            <w:r>
              <w:rPr>
                <w:rFonts w:ascii="Arial" w:cs="Arial" w:eastAsia="Arial" w:hAnsi="Arial"/>
                <w:sz w:val="18"/>
                <w:szCs w:val="18"/>
                <w:color w:val="auto"/>
              </w:rPr>
              <w:t>Name:</w:t>
            </w:r>
          </w:p>
        </w:tc>
        <w:tc>
          <w:tcPr>
            <w:tcW w:w="9480" w:type="dxa"/>
            <w:vAlign w:val="bottom"/>
          </w:tcPr>
          <w:p>
            <w:pPr>
              <w:spacing w:after="0"/>
              <w:rPr>
                <w:sz w:val="20"/>
                <w:szCs w:val="20"/>
                <w:color w:val="auto"/>
              </w:rPr>
            </w:pPr>
            <w:r>
              <w:rPr>
                <w:rFonts w:ascii="Arial" w:cs="Arial" w:eastAsia="Arial" w:hAnsi="Arial"/>
                <w:sz w:val="18"/>
                <w:szCs w:val="18"/>
                <w:color w:val="auto"/>
              </w:rPr>
              <w:t>Bradley J. Tandy</w:t>
            </w:r>
          </w:p>
        </w:tc>
      </w:tr>
      <w:tr>
        <w:trPr>
          <w:trHeight w:val="243"/>
        </w:trPr>
        <w:tc>
          <w:tcPr>
            <w:tcW w:w="1540" w:type="dxa"/>
            <w:vAlign w:val="bottom"/>
          </w:tcPr>
          <w:p>
            <w:pPr>
              <w:spacing w:after="0"/>
              <w:rPr>
                <w:sz w:val="20"/>
                <w:szCs w:val="20"/>
                <w:color w:val="auto"/>
              </w:rPr>
            </w:pPr>
            <w:r>
              <w:rPr>
                <w:rFonts w:ascii="Arial" w:cs="Arial" w:eastAsia="Arial" w:hAnsi="Arial"/>
                <w:sz w:val="18"/>
                <w:szCs w:val="18"/>
                <w:color w:val="auto"/>
              </w:rPr>
              <w:t>Title:</w:t>
            </w:r>
          </w:p>
        </w:tc>
        <w:tc>
          <w:tcPr>
            <w:tcW w:w="9480" w:type="dxa"/>
            <w:vAlign w:val="bottom"/>
          </w:tcPr>
          <w:p>
            <w:pPr>
              <w:spacing w:after="0"/>
              <w:rPr>
                <w:sz w:val="20"/>
                <w:szCs w:val="20"/>
                <w:color w:val="auto"/>
              </w:rPr>
            </w:pPr>
            <w:r>
              <w:rPr>
                <w:rFonts w:ascii="Arial" w:cs="Arial" w:eastAsia="Arial" w:hAnsi="Arial"/>
                <w:sz w:val="18"/>
                <w:szCs w:val="18"/>
                <w:color w:val="auto"/>
              </w:rPr>
              <w:t>Senior Vice President and General Counsel</w:t>
            </w:r>
          </w:p>
        </w:tc>
      </w:tr>
    </w:tbl>
    <w:p>
      <w:pPr>
        <w:spacing w:after="0" w:line="220" w:lineRule="exact"/>
        <w:rPr>
          <w:sz w:val="20"/>
          <w:szCs w:val="20"/>
          <w:color w:val="auto"/>
        </w:rPr>
      </w:pPr>
    </w:p>
    <w:p>
      <w:pPr>
        <w:jc w:val="right"/>
        <w:ind w:right="80"/>
        <w:spacing w:after="0"/>
        <w:rPr>
          <w:sz w:val="20"/>
          <w:szCs w:val="20"/>
          <w:color w:val="auto"/>
        </w:rPr>
      </w:pPr>
      <w:r>
        <w:rPr>
          <w:rFonts w:ascii="Arial" w:cs="Arial" w:eastAsia="Arial" w:hAnsi="Arial"/>
          <w:sz w:val="18"/>
          <w:szCs w:val="18"/>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6780530</wp:posOffset>
            </wp:positionH>
            <wp:positionV relativeFrom="paragraph">
              <wp:posOffset>-118745</wp:posOffset>
            </wp:positionV>
            <wp:extent cx="17145" cy="38608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7145" cy="386080"/>
                    </a:xfrm>
                    <a:prstGeom prst="rect">
                      <a:avLst/>
                    </a:prstGeom>
                    <a:noFill/>
                  </pic:spPr>
                </pic:pic>
              </a:graphicData>
            </a:graphic>
          </wp:anchor>
        </w:drawing>
        <w:drawing>
          <wp:anchor simplePos="0" relativeHeight="251657728" behindDoc="1" locked="0" layoutInCell="0" allowOverlap="1">
            <wp:simplePos x="0" y="0"/>
            <wp:positionH relativeFrom="column">
              <wp:posOffset>4800600</wp:posOffset>
            </wp:positionH>
            <wp:positionV relativeFrom="paragraph">
              <wp:posOffset>-50165</wp:posOffset>
            </wp:positionV>
            <wp:extent cx="685800" cy="16319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0" cy="163195"/>
                    </a:xfrm>
                    <a:prstGeom prst="rect">
                      <a:avLst/>
                    </a:prstGeom>
                    <a:noFill/>
                  </pic:spPr>
                </pic:pic>
              </a:graphicData>
            </a:graphic>
          </wp:anchor>
        </w:drawing>
      </w:r>
    </w:p>
    <w:p>
      <w:pPr>
        <w:jc w:val="right"/>
        <w:ind w:right="120"/>
        <w:spacing w:after="0"/>
        <w:rPr>
          <w:sz w:val="20"/>
          <w:szCs w:val="20"/>
          <w:color w:val="auto"/>
        </w:rPr>
      </w:pPr>
      <w:r>
        <w:rPr>
          <w:rFonts w:ascii="Arial" w:cs="Arial" w:eastAsia="Arial" w:hAnsi="Arial"/>
          <w:sz w:val="18"/>
          <w:szCs w:val="18"/>
          <w:color w:val="auto"/>
        </w:rPr>
        <w:t xml:space="preserve">- 2024 Proxy Statement  </w:t>
      </w:r>
      <w:r>
        <w:rPr>
          <w:rFonts w:ascii="Arial" w:cs="Arial" w:eastAsia="Arial" w:hAnsi="Arial"/>
          <w:sz w:val="18"/>
          <w:szCs w:val="18"/>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699516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661" w:right="43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8"/>
          <w:szCs w:val="18"/>
          <w:b w:val="1"/>
          <w:bCs w:val="1"/>
          <w:color w:val="auto"/>
        </w:rPr>
        <w:t>SECOND AMENDMENT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THE</w:t>
      </w:r>
    </w:p>
    <w:p>
      <w:pPr>
        <w:jc w:val="center"/>
        <w:ind w:right="-19"/>
        <w:spacing w:after="0"/>
        <w:rPr>
          <w:sz w:val="20"/>
          <w:szCs w:val="20"/>
          <w:color w:val="auto"/>
        </w:rPr>
      </w:pPr>
      <w:r>
        <w:rPr>
          <w:rFonts w:ascii="Arial" w:cs="Arial" w:eastAsia="Arial" w:hAnsi="Arial"/>
          <w:sz w:val="18"/>
          <w:szCs w:val="18"/>
          <w:b w:val="1"/>
          <w:bCs w:val="1"/>
          <w:color w:val="auto"/>
        </w:rPr>
        <w:t>ENOVIS CORPORATION 2020 OMNIBUS INCENTIVE PLAN</w:t>
      </w:r>
    </w:p>
    <w:p>
      <w:pPr>
        <w:spacing w:after="0" w:line="194" w:lineRule="exact"/>
        <w:rPr>
          <w:sz w:val="20"/>
          <w:szCs w:val="20"/>
          <w:color w:val="auto"/>
        </w:rPr>
      </w:pPr>
    </w:p>
    <w:p>
      <w:pPr>
        <w:ind w:right="360" w:firstLine="441"/>
        <w:spacing w:after="0" w:line="28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Enovis Corporation, a Delaware corporation, formerly named Colfax Corporation (the “</w:t>
      </w:r>
      <w:r>
        <w:rPr>
          <w:rFonts w:ascii="Arial" w:cs="Arial" w:eastAsia="Arial" w:hAnsi="Arial"/>
          <w:sz w:val="18"/>
          <w:szCs w:val="18"/>
          <w:b w:val="1"/>
          <w:bCs w:val="1"/>
          <w:color w:val="auto"/>
        </w:rPr>
        <w:t>Company</w:t>
      </w:r>
      <w:r>
        <w:rPr>
          <w:rFonts w:ascii="Arial" w:cs="Arial" w:eastAsia="Arial" w:hAnsi="Arial"/>
          <w:sz w:val="18"/>
          <w:szCs w:val="18"/>
          <w:color w:val="auto"/>
        </w:rPr>
        <w:t>”), established and</w:t>
      </w:r>
      <w:r>
        <w:rPr>
          <w:rFonts w:ascii="Arial" w:cs="Arial" w:eastAsia="Arial" w:hAnsi="Arial"/>
          <w:sz w:val="18"/>
          <w:szCs w:val="18"/>
          <w:b w:val="1"/>
          <w:bCs w:val="1"/>
          <w:color w:val="auto"/>
        </w:rPr>
        <w:t xml:space="preserve"> </w:t>
      </w:r>
      <w:r>
        <w:rPr>
          <w:rFonts w:ascii="Arial" w:cs="Arial" w:eastAsia="Arial" w:hAnsi="Arial"/>
          <w:sz w:val="18"/>
          <w:szCs w:val="18"/>
          <w:color w:val="auto"/>
        </w:rPr>
        <w:t>sponsors the Enovis Corporation 2020 Omnibus Incentive Plan, as amended (the “</w:t>
      </w:r>
      <w:r>
        <w:rPr>
          <w:rFonts w:ascii="Arial" w:cs="Arial" w:eastAsia="Arial" w:hAnsi="Arial"/>
          <w:sz w:val="18"/>
          <w:szCs w:val="18"/>
          <w:b w:val="1"/>
          <w:bCs w:val="1"/>
          <w:color w:val="auto"/>
        </w:rPr>
        <w:t>Plan</w:t>
      </w:r>
      <w:r>
        <w:rPr>
          <w:rFonts w:ascii="Arial" w:cs="Arial" w:eastAsia="Arial" w:hAnsi="Arial"/>
          <w:sz w:val="18"/>
          <w:szCs w:val="18"/>
          <w:color w:val="auto"/>
        </w:rPr>
        <w:t>”);</w:t>
      </w:r>
    </w:p>
    <w:p>
      <w:pPr>
        <w:spacing w:after="0" w:line="136" w:lineRule="exact"/>
        <w:rPr>
          <w:sz w:val="20"/>
          <w:szCs w:val="20"/>
          <w:color w:val="auto"/>
        </w:rPr>
      </w:pPr>
    </w:p>
    <w:p>
      <w:pPr>
        <w:ind w:right="240" w:firstLine="441"/>
        <w:spacing w:after="0" w:line="27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Section 5.3 of the Plan, the Board of Directors of the Company (the “</w:t>
      </w:r>
      <w:r>
        <w:rPr>
          <w:rFonts w:ascii="Arial" w:cs="Arial" w:eastAsia="Arial" w:hAnsi="Arial"/>
          <w:sz w:val="18"/>
          <w:szCs w:val="18"/>
          <w:b w:val="1"/>
          <w:bCs w:val="1"/>
          <w:color w:val="auto"/>
        </w:rPr>
        <w:t>Board</w:t>
      </w:r>
      <w:r>
        <w:rPr>
          <w:rFonts w:ascii="Arial" w:cs="Arial" w:eastAsia="Arial" w:hAnsi="Arial"/>
          <w:sz w:val="18"/>
          <w:szCs w:val="18"/>
          <w:color w:val="auto"/>
        </w:rPr>
        <w:t>”) reserved the right to amend</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at any time;</w:t>
      </w:r>
    </w:p>
    <w:p>
      <w:pPr>
        <w:spacing w:after="0" w:line="154" w:lineRule="exact"/>
        <w:rPr>
          <w:sz w:val="20"/>
          <w:szCs w:val="20"/>
          <w:color w:val="auto"/>
        </w:rPr>
      </w:pPr>
    </w:p>
    <w:p>
      <w:pPr>
        <w:ind w:right="280" w:firstLine="441"/>
        <w:spacing w:after="0" w:line="253"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a result of the one-for-three reverse stock split of the common stock, $0.001 par value per share,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Stock</w:t>
      </w:r>
      <w:r>
        <w:rPr>
          <w:rFonts w:ascii="Arial" w:cs="Arial" w:eastAsia="Arial" w:hAnsi="Arial"/>
          <w:sz w:val="18"/>
          <w:szCs w:val="18"/>
          <w:color w:val="auto"/>
        </w:rPr>
        <w:t>”) and pursuant to Section 17 of the Plan, the aggregate number of remaining shares of Stock reserved and available for issuance under Section 4.1 of the Plan was reduced to 1,080,024;</w:t>
      </w:r>
    </w:p>
    <w:p>
      <w:pPr>
        <w:spacing w:after="0" w:line="169" w:lineRule="exact"/>
        <w:rPr>
          <w:sz w:val="20"/>
          <w:szCs w:val="20"/>
          <w:color w:val="auto"/>
        </w:rPr>
      </w:pPr>
    </w:p>
    <w:p>
      <w:pPr>
        <w:ind w:right="80" w:firstLine="441"/>
        <w:spacing w:after="0" w:line="27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stockholders of the Company approved the First Amendment to the Plan on June 7, 2022, authorizing an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745,000 shares of common stock for issuance under the Plan; and</w:t>
      </w:r>
    </w:p>
    <w:p>
      <w:pPr>
        <w:spacing w:after="0" w:line="154" w:lineRule="exact"/>
        <w:rPr>
          <w:sz w:val="20"/>
          <w:szCs w:val="20"/>
          <w:color w:val="auto"/>
        </w:rPr>
      </w:pPr>
    </w:p>
    <w:p>
      <w:pPr>
        <w:ind w:firstLine="441"/>
        <w:spacing w:after="0" w:line="27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desires to amend the Plan to add an additional 2,100,000 shares of Stock of the Company for issuance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w:t>
      </w:r>
    </w:p>
    <w:p>
      <w:pPr>
        <w:spacing w:after="0" w:line="154" w:lineRule="exact"/>
        <w:rPr>
          <w:sz w:val="20"/>
          <w:szCs w:val="20"/>
          <w:color w:val="auto"/>
        </w:rPr>
      </w:pPr>
    </w:p>
    <w:p>
      <w:pPr>
        <w:ind w:right="60" w:firstLine="441"/>
        <w:spacing w:after="0" w:line="247" w:lineRule="auto"/>
        <w:rPr>
          <w:sz w:val="20"/>
          <w:szCs w:val="20"/>
          <w:color w:val="auto"/>
        </w:rPr>
      </w:pPr>
      <w:r>
        <w:rPr>
          <w:rFonts w:ascii="Arial" w:cs="Arial" w:eastAsia="Arial" w:hAnsi="Arial"/>
          <w:sz w:val="18"/>
          <w:szCs w:val="18"/>
          <w:b w:val="1"/>
          <w:bCs w:val="1"/>
          <w:color w:val="auto"/>
        </w:rPr>
        <w:t>NOW</w:t>
      </w:r>
      <w:r>
        <w:rPr>
          <w:rFonts w:ascii="Arial" w:cs="Arial" w:eastAsia="Arial" w:hAnsi="Arial"/>
          <w:sz w:val="18"/>
          <w:szCs w:val="18"/>
          <w:color w:val="auto"/>
        </w:rPr>
        <w:t>,</w:t>
      </w:r>
      <w:r>
        <w:rPr>
          <w:rFonts w:ascii="Arial" w:cs="Arial" w:eastAsia="Arial" w:hAnsi="Arial"/>
          <w:sz w:val="18"/>
          <w:szCs w:val="18"/>
          <w:b w:val="1"/>
          <w:bCs w:val="1"/>
          <w:color w:val="auto"/>
        </w:rPr>
        <w:t xml:space="preserve"> THEREFORE</w:t>
      </w:r>
      <w:r>
        <w:rPr>
          <w:rFonts w:ascii="Arial" w:cs="Arial" w:eastAsia="Arial" w:hAnsi="Arial"/>
          <w:sz w:val="18"/>
          <w:szCs w:val="18"/>
          <w:color w:val="auto"/>
        </w:rPr>
        <w:t>, pursuant to the power reserved by Section 5.3 of the Plan, the Board amends the Plan as follows,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and effective upon approval by the Company’s stockholders at the Annual Meeting to be held on May 20, 2024 (the “</w:t>
      </w:r>
      <w:r>
        <w:rPr>
          <w:rFonts w:ascii="Arial" w:cs="Arial" w:eastAsia="Arial" w:hAnsi="Arial"/>
          <w:sz w:val="18"/>
          <w:szCs w:val="18"/>
          <w:b w:val="1"/>
          <w:bCs w:val="1"/>
          <w:color w:val="auto"/>
        </w:rPr>
        <w:t>2024 Annual</w:t>
      </w:r>
      <w:r>
        <w:rPr>
          <w:rFonts w:ascii="Arial" w:cs="Arial" w:eastAsia="Arial" w:hAnsi="Arial"/>
          <w:sz w:val="18"/>
          <w:szCs w:val="18"/>
          <w:color w:val="auto"/>
        </w:rPr>
        <w:t xml:space="preserve"> </w:t>
      </w:r>
      <w:r>
        <w:rPr>
          <w:rFonts w:ascii="Arial" w:cs="Arial" w:eastAsia="Arial" w:hAnsi="Arial"/>
          <w:sz w:val="18"/>
          <w:szCs w:val="18"/>
          <w:b w:val="1"/>
          <w:bCs w:val="1"/>
          <w:color w:val="auto"/>
        </w:rPr>
        <w:t>Meeting</w:t>
      </w:r>
      <w:r>
        <w:rPr>
          <w:rFonts w:ascii="Arial" w:cs="Arial" w:eastAsia="Arial" w:hAnsi="Arial"/>
          <w:sz w:val="18"/>
          <w:szCs w:val="18"/>
          <w:color w:val="auto"/>
        </w:rPr>
        <w:t>”). Defined terms used herein, but not otherwise defined in this Second Amendment, shall have the meanings ascribed to them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w:t>
      </w:r>
    </w:p>
    <w:p>
      <w:pPr>
        <w:spacing w:after="0" w:line="160" w:lineRule="exact"/>
        <w:rPr>
          <w:sz w:val="20"/>
          <w:szCs w:val="20"/>
          <w:color w:val="auto"/>
        </w:rPr>
      </w:pPr>
    </w:p>
    <w:p>
      <w:pPr>
        <w:ind w:left="960" w:right="460" w:hanging="532"/>
        <w:spacing w:after="0" w:line="271" w:lineRule="auto"/>
        <w:tabs>
          <w:tab w:leader="none" w:pos="9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Section 4.1 containing the aggregate number of shares of Stock reserved and available for issuance pursuant to Awards granted under the Plan is hereby amended in its entirety to read:</w:t>
      </w:r>
    </w:p>
    <w:p>
      <w:pPr>
        <w:spacing w:after="0" w:line="46" w:lineRule="exact"/>
        <w:rPr>
          <w:sz w:val="20"/>
          <w:szCs w:val="20"/>
          <w:color w:val="auto"/>
        </w:rPr>
      </w:pPr>
    </w:p>
    <w:p>
      <w:pPr>
        <w:ind w:left="1200" w:right="40"/>
        <w:spacing w:after="0" w:line="242"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u w:val="single" w:color="auto"/>
          <w:color w:val="auto"/>
        </w:rPr>
        <w:t>Number of Shares</w:t>
      </w:r>
      <w:r>
        <w:rPr>
          <w:rFonts w:ascii="Arial" w:cs="Arial" w:eastAsia="Arial" w:hAnsi="Arial"/>
          <w:sz w:val="18"/>
          <w:szCs w:val="18"/>
          <w:b w:val="1"/>
          <w:bCs w:val="1"/>
          <w:color w:val="auto"/>
        </w:rPr>
        <w:t>.</w:t>
      </w:r>
      <w:r>
        <w:rPr>
          <w:rFonts w:ascii="Arial" w:cs="Arial" w:eastAsia="Arial" w:hAnsi="Arial"/>
          <w:sz w:val="18"/>
          <w:szCs w:val="18"/>
          <w:color w:val="auto"/>
        </w:rPr>
        <w:t xml:space="preserve"> Subject to the Share Counting rules set forth in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and to adjustment as provided in </w:t>
      </w:r>
      <w:r>
        <w:rPr>
          <w:rFonts w:ascii="Arial" w:cs="Arial" w:eastAsia="Arial" w:hAnsi="Arial"/>
          <w:sz w:val="18"/>
          <w:szCs w:val="18"/>
          <w:u w:val="single" w:color="auto"/>
          <w:color w:val="auto"/>
        </w:rPr>
        <w:t>Section 17</w:t>
      </w:r>
      <w:r>
        <w:rPr>
          <w:rFonts w:ascii="Arial" w:cs="Arial" w:eastAsia="Arial" w:hAnsi="Arial"/>
          <w:sz w:val="18"/>
          <w:szCs w:val="18"/>
          <w:color w:val="auto"/>
        </w:rPr>
        <w:t>, the aggregate number of shares of Stock reserved and available for issuance pursuant to Awards granted under the Plan shall be 4,321,666 shares, which number may be increased by the number of shares available for issuance under a stockholder-approved plan of a business entity that is a party to an acquisition, merger or other transaction in which the Company or an Affiliate acquires the business entity (as appropriately adjusted, if necessary, to reflect such transaction) (“</w:t>
      </w:r>
      <w:r>
        <w:rPr>
          <w:rFonts w:ascii="Arial" w:cs="Arial" w:eastAsia="Arial" w:hAnsi="Arial"/>
          <w:sz w:val="18"/>
          <w:szCs w:val="18"/>
          <w:u w:val="single" w:color="auto"/>
          <w:color w:val="auto"/>
        </w:rPr>
        <w:t>Total Available Shares</w:t>
      </w:r>
      <w:r>
        <w:rPr>
          <w:rFonts w:ascii="Arial" w:cs="Arial" w:eastAsia="Arial" w:hAnsi="Arial"/>
          <w:sz w:val="18"/>
          <w:szCs w:val="18"/>
          <w:color w:val="auto"/>
        </w:rPr>
        <w:t>”).”</w:t>
      </w:r>
    </w:p>
    <w:p>
      <w:pPr>
        <w:spacing w:after="0" w:line="165" w:lineRule="exact"/>
        <w:rPr>
          <w:sz w:val="20"/>
          <w:szCs w:val="20"/>
          <w:color w:val="auto"/>
        </w:rPr>
      </w:pPr>
    </w:p>
    <w:p>
      <w:pPr>
        <w:ind w:left="960" w:right="100" w:hanging="532"/>
        <w:spacing w:after="0" w:line="271" w:lineRule="auto"/>
        <w:tabs>
          <w:tab w:leader="none" w:pos="9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Section 4.2 containing the maximum number of shares of Stock that may be issued upon exercise of Incentive Stock Options granted under the Plan is hereby amended in its entirety to read:</w:t>
      </w:r>
    </w:p>
    <w:p>
      <w:pPr>
        <w:spacing w:after="0" w:line="46" w:lineRule="exact"/>
        <w:rPr>
          <w:sz w:val="20"/>
          <w:szCs w:val="20"/>
          <w:color w:val="auto"/>
        </w:rPr>
      </w:pPr>
    </w:p>
    <w:p>
      <w:pPr>
        <w:ind w:left="1200" w:right="280"/>
        <w:spacing w:after="0" w:line="301"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b w:val="1"/>
          <w:bCs w:val="1"/>
          <w:u w:val="single" w:color="auto"/>
          <w:color w:val="auto"/>
        </w:rPr>
        <w:t>Incentive Stock Options</w:t>
      </w:r>
      <w:r>
        <w:rPr>
          <w:rFonts w:ascii="Arial" w:cs="Arial" w:eastAsia="Arial" w:hAnsi="Arial"/>
          <w:sz w:val="17"/>
          <w:szCs w:val="17"/>
          <w:b w:val="1"/>
          <w:bCs w:val="1"/>
          <w:color w:val="auto"/>
        </w:rPr>
        <w:t>.</w:t>
      </w:r>
      <w:r>
        <w:rPr>
          <w:rFonts w:ascii="Arial" w:cs="Arial" w:eastAsia="Arial" w:hAnsi="Arial"/>
          <w:sz w:val="17"/>
          <w:szCs w:val="17"/>
          <w:color w:val="auto"/>
        </w:rPr>
        <w:t xml:space="preserve"> The maximum number of shares of Stock that may be issued upon exercise of Incentive Stock Options granted under the Plan shall be 4,321,666 shares, subject to adjustment as provided in </w:t>
      </w:r>
      <w:r>
        <w:rPr>
          <w:rFonts w:ascii="Arial" w:cs="Arial" w:eastAsia="Arial" w:hAnsi="Arial"/>
          <w:sz w:val="17"/>
          <w:szCs w:val="17"/>
          <w:u w:val="single" w:color="auto"/>
          <w:color w:val="auto"/>
        </w:rPr>
        <w:t>Section 17</w:t>
      </w:r>
      <w:r>
        <w:rPr>
          <w:rFonts w:ascii="Arial" w:cs="Arial" w:eastAsia="Arial" w:hAnsi="Arial"/>
          <w:sz w:val="17"/>
          <w:szCs w:val="17"/>
          <w:color w:val="auto"/>
        </w:rPr>
        <w: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-118745</wp:posOffset>
            </wp:positionV>
            <wp:extent cx="17145" cy="51435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7145" cy="5143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-59055</wp:posOffset>
            </wp:positionV>
            <wp:extent cx="685800" cy="16319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0" cy="163195"/>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699516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80"/>
          </w:cols>
          <w:pgMar w:left="440" w:top="688" w:right="479" w:bottom="1440" w:gutter="0" w:footer="0" w:header="0"/>
        </w:sectPr>
      </w:pPr>
    </w:p>
    <w:bookmarkStart w:id="105" w:name="page106"/>
    <w:bookmarkEnd w:id="105"/>
    <w:p>
      <w:pPr>
        <w:ind w:right="440" w:firstLine="441"/>
        <w:spacing w:after="0" w:line="267"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Second Amendment, having been first duly authorized, approved and adopted by the Board, and</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by the Company’s stockholders at the 2024 Annual Meeting, is hereby executed below by a duly authorized officer of the Company on this 22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day of May, 2024.</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ENOVIS CORPORATION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320" w:type="dxa"/>
            <w:vAlign w:val="bottom"/>
          </w:tcPr>
          <w:p>
            <w:pPr>
              <w:spacing w:after="0"/>
              <w:rPr>
                <w:sz w:val="20"/>
                <w:szCs w:val="20"/>
                <w:color w:val="auto"/>
              </w:rPr>
            </w:pPr>
            <w:r>
              <w:rPr>
                <w:rFonts w:ascii="Arial" w:cs="Arial" w:eastAsia="Arial" w:hAnsi="Arial"/>
                <w:sz w:val="18"/>
                <w:szCs w:val="18"/>
                <w:color w:val="auto"/>
              </w:rPr>
              <w:t>By:</w:t>
            </w:r>
          </w:p>
        </w:tc>
        <w:tc>
          <w:tcPr>
            <w:tcW w:w="9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Bradley J. Tandy</w:t>
            </w:r>
          </w:p>
        </w:tc>
      </w:tr>
      <w:tr>
        <w:trPr>
          <w:trHeight w:val="191"/>
        </w:trPr>
        <w:tc>
          <w:tcPr>
            <w:tcW w:w="1320" w:type="dxa"/>
            <w:vAlign w:val="bottom"/>
          </w:tcPr>
          <w:p>
            <w:pPr>
              <w:spacing w:after="0" w:line="191" w:lineRule="exact"/>
              <w:rPr>
                <w:sz w:val="20"/>
                <w:szCs w:val="20"/>
                <w:color w:val="auto"/>
              </w:rPr>
            </w:pPr>
            <w:r>
              <w:rPr>
                <w:rFonts w:ascii="Arial" w:cs="Arial" w:eastAsia="Arial" w:hAnsi="Arial"/>
                <w:sz w:val="18"/>
                <w:szCs w:val="18"/>
                <w:color w:val="auto"/>
              </w:rPr>
              <w:t>Name:</w:t>
            </w:r>
          </w:p>
        </w:tc>
        <w:tc>
          <w:tcPr>
            <w:tcW w:w="9700" w:type="dxa"/>
            <w:vAlign w:val="bottom"/>
          </w:tcPr>
          <w:p>
            <w:pPr>
              <w:spacing w:after="0" w:line="191" w:lineRule="exact"/>
              <w:rPr>
                <w:sz w:val="20"/>
                <w:szCs w:val="20"/>
                <w:color w:val="auto"/>
              </w:rPr>
            </w:pPr>
            <w:r>
              <w:rPr>
                <w:rFonts w:ascii="Arial" w:cs="Arial" w:eastAsia="Arial" w:hAnsi="Arial"/>
                <w:sz w:val="18"/>
                <w:szCs w:val="18"/>
                <w:color w:val="auto"/>
              </w:rPr>
              <w:t>Bradley J. Tandy</w:t>
            </w:r>
          </w:p>
        </w:tc>
      </w:tr>
      <w:tr>
        <w:trPr>
          <w:trHeight w:val="239"/>
        </w:trPr>
        <w:tc>
          <w:tcPr>
            <w:tcW w:w="1320" w:type="dxa"/>
            <w:vAlign w:val="bottom"/>
          </w:tcPr>
          <w:p>
            <w:pPr>
              <w:spacing w:after="0"/>
              <w:rPr>
                <w:sz w:val="20"/>
                <w:szCs w:val="20"/>
                <w:color w:val="auto"/>
              </w:rPr>
            </w:pPr>
            <w:r>
              <w:rPr>
                <w:rFonts w:ascii="Arial" w:cs="Arial" w:eastAsia="Arial" w:hAnsi="Arial"/>
                <w:sz w:val="18"/>
                <w:szCs w:val="18"/>
                <w:color w:val="auto"/>
              </w:rPr>
              <w:t>Title:</w:t>
            </w:r>
          </w:p>
        </w:tc>
        <w:tc>
          <w:tcPr>
            <w:tcW w:w="9700" w:type="dxa"/>
            <w:vAlign w:val="bottom"/>
          </w:tcPr>
          <w:p>
            <w:pPr>
              <w:spacing w:after="0"/>
              <w:rPr>
                <w:sz w:val="20"/>
                <w:szCs w:val="20"/>
                <w:color w:val="auto"/>
              </w:rPr>
            </w:pPr>
            <w:r>
              <w:rPr>
                <w:rFonts w:ascii="Arial" w:cs="Arial" w:eastAsia="Arial" w:hAnsi="Arial"/>
                <w:sz w:val="18"/>
                <w:szCs w:val="18"/>
                <w:color w:val="auto"/>
              </w:rPr>
              <w:t>Senior Vice President and Chief Legal Officer</w:t>
            </w:r>
          </w:p>
        </w:tc>
      </w:tr>
    </w:tbl>
    <w:p>
      <w:pPr>
        <w:spacing w:after="0" w:line="166" w:lineRule="exact"/>
        <w:rPr>
          <w:sz w:val="20"/>
          <w:szCs w:val="20"/>
          <w:color w:val="auto"/>
        </w:rPr>
      </w:pPr>
    </w:p>
    <w:p>
      <w:pPr>
        <w:jc w:val="right"/>
        <w:ind w:right="80"/>
        <w:spacing w:after="0"/>
        <w:rPr>
          <w:sz w:val="20"/>
          <w:szCs w:val="20"/>
          <w:color w:val="auto"/>
        </w:rPr>
      </w:pPr>
      <w:r>
        <w:rPr>
          <w:rFonts w:ascii="Arial" w:cs="Arial" w:eastAsia="Arial" w:hAnsi="Arial"/>
          <w:sz w:val="18"/>
          <w:szCs w:val="18"/>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6777990</wp:posOffset>
            </wp:positionH>
            <wp:positionV relativeFrom="paragraph">
              <wp:posOffset>-118745</wp:posOffset>
            </wp:positionV>
            <wp:extent cx="17145" cy="3854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7145" cy="385445"/>
                    </a:xfrm>
                    <a:prstGeom prst="rect">
                      <a:avLst/>
                    </a:prstGeom>
                    <a:noFill/>
                  </pic:spPr>
                </pic:pic>
              </a:graphicData>
            </a:graphic>
          </wp:anchor>
        </w:drawing>
        <w:drawing>
          <wp:anchor simplePos="0" relativeHeight="251657728" behindDoc="1" locked="0" layoutInCell="0" allowOverlap="1">
            <wp:simplePos x="0" y="0"/>
            <wp:positionH relativeFrom="column">
              <wp:posOffset>4798060</wp:posOffset>
            </wp:positionH>
            <wp:positionV relativeFrom="paragraph">
              <wp:posOffset>-50165</wp:posOffset>
            </wp:positionV>
            <wp:extent cx="685800" cy="16319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0" cy="163195"/>
                    </a:xfrm>
                    <a:prstGeom prst="rect">
                      <a:avLst/>
                    </a:prstGeom>
                    <a:noFill/>
                  </pic:spPr>
                </pic:pic>
              </a:graphicData>
            </a:graphic>
          </wp:anchor>
        </w:drawing>
      </w:r>
    </w:p>
    <w:p>
      <w:pPr>
        <w:jc w:val="right"/>
        <w:ind w:right="120"/>
        <w:spacing w:after="0"/>
        <w:rPr>
          <w:sz w:val="20"/>
          <w:szCs w:val="20"/>
          <w:color w:val="auto"/>
        </w:rPr>
      </w:pPr>
      <w:r>
        <w:rPr>
          <w:rFonts w:ascii="Arial" w:cs="Arial" w:eastAsia="Arial" w:hAnsi="Arial"/>
          <w:sz w:val="18"/>
          <w:szCs w:val="18"/>
          <w:color w:val="auto"/>
        </w:rPr>
        <w:t xml:space="preserve">- 2024 Proxy Statement  </w:t>
      </w:r>
      <w:r>
        <w:rPr>
          <w:rFonts w:ascii="Arial" w:cs="Arial" w:eastAsia="Arial" w:hAnsi="Arial"/>
          <w:sz w:val="18"/>
          <w:szCs w:val="18"/>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699516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688" w:right="439" w:bottom="1440" w:gutter="0" w:footer="0" w:header="0"/>
        </w:sectPr>
      </w:pPr>
    </w:p>
    <w:bookmarkStart w:id="106" w:name="page107"/>
    <w:bookmarkEnd w:id="106"/>
    <w:p>
      <w:pPr>
        <w:ind w:left="100"/>
        <w:spacing w:after="0"/>
        <w:tabs>
          <w:tab w:leader="none" w:pos="3160" w:val="left"/>
          <w:tab w:leader="none" w:pos="6420" w:val="left"/>
          <w:tab w:leader="none" w:pos="7860" w:val="left"/>
          <w:tab w:leader="none" w:pos="9540" w:val="left"/>
        </w:tabs>
        <w:rPr>
          <w:sz w:val="20"/>
          <w:szCs w:val="20"/>
          <w:color w:val="auto"/>
        </w:rPr>
      </w:pPr>
      <w:r>
        <w:rPr>
          <w:rFonts w:ascii="Arial" w:cs="Arial" w:eastAsia="Arial" w:hAnsi="Arial"/>
          <w:sz w:val="36"/>
          <w:szCs w:val="36"/>
          <w:b w:val="1"/>
          <w:bCs w:val="1"/>
          <w:color w:val="C8102E"/>
        </w:rPr>
        <w:t>APPENDIX B</w:t>
      </w:r>
      <w:r>
        <w:rPr>
          <w:sz w:val="20"/>
          <w:szCs w:val="20"/>
          <w:color w:val="auto"/>
        </w:rPr>
        <w:tab/>
      </w:r>
      <w:r>
        <w:rPr>
          <w:rFonts w:ascii="Arial" w:cs="Arial" w:eastAsia="Arial" w:hAnsi="Arial"/>
          <w:sz w:val="36"/>
          <w:szCs w:val="36"/>
          <w:color w:val="auto"/>
        </w:rPr>
        <w:t>AMENDMENT</w:t>
      </w:r>
      <w:r>
        <w:rPr>
          <w:sz w:val="20"/>
          <w:szCs w:val="20"/>
          <w:color w:val="auto"/>
        </w:rPr>
        <w:tab/>
      </w:r>
      <w:r>
        <w:rPr>
          <w:rFonts w:ascii="Arial" w:cs="Arial" w:eastAsia="Arial" w:hAnsi="Arial"/>
          <w:sz w:val="36"/>
          <w:szCs w:val="36"/>
          <w:color w:val="auto"/>
        </w:rPr>
        <w:t>TO</w:t>
      </w:r>
      <w:r>
        <w:rPr>
          <w:sz w:val="20"/>
          <w:szCs w:val="20"/>
          <w:color w:val="auto"/>
        </w:rPr>
        <w:tab/>
      </w:r>
      <w:r>
        <w:rPr>
          <w:rFonts w:ascii="Arial" w:cs="Arial" w:eastAsia="Arial" w:hAnsi="Arial"/>
          <w:sz w:val="36"/>
          <w:szCs w:val="36"/>
          <w:color w:val="auto"/>
        </w:rPr>
        <w:t>THE</w:t>
      </w:r>
      <w:r>
        <w:rPr>
          <w:sz w:val="20"/>
          <w:szCs w:val="20"/>
          <w:color w:val="auto"/>
        </w:rPr>
        <w:tab/>
      </w:r>
      <w:r>
        <w:rPr>
          <w:rFonts w:ascii="Arial" w:cs="Arial" w:eastAsia="Arial" w:hAnsi="Arial"/>
          <w:sz w:val="35"/>
          <w:szCs w:val="35"/>
          <w:color w:val="auto"/>
        </w:rPr>
        <w:t>ENOVIS</w:t>
      </w:r>
    </w:p>
    <w:p>
      <w:pPr>
        <w:ind w:left="3180" w:right="100"/>
        <w:spacing w:after="0" w:line="225" w:lineRule="auto"/>
        <w:rPr>
          <w:sz w:val="20"/>
          <w:szCs w:val="20"/>
          <w:color w:val="auto"/>
        </w:rPr>
      </w:pPr>
      <w:r>
        <w:rPr>
          <w:rFonts w:ascii="Arial" w:cs="Arial" w:eastAsia="Arial" w:hAnsi="Arial"/>
          <w:sz w:val="36"/>
          <w:szCs w:val="36"/>
          <w:color w:val="auto"/>
        </w:rPr>
        <w:t>CORPORATION 2020 OMNIBUS INCENTIVE PLAN</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231F20"/>
        </w:rPr>
        <w:t>Enovis Corporation, a Delaware corporation, sets forth herein the terms of its Amendment to the 2020 Omnibus Incentive Plan, as follows: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THIRD AMENDMENT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THE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ENOVIS CORPORATION 2020 OMNIBUS INCENTIVE PLAN</w:t>
      </w:r>
    </w:p>
    <w:p>
      <w:pPr>
        <w:spacing w:after="0" w:line="17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Enovis Corporation, a Delaware corporation, formerly named Colfax Corporation (the “</w:t>
      </w:r>
      <w:r>
        <w:rPr>
          <w:rFonts w:ascii="Arial" w:cs="Arial" w:eastAsia="Arial" w:hAnsi="Arial"/>
          <w:sz w:val="16"/>
          <w:szCs w:val="16"/>
          <w:b w:val="1"/>
          <w:bCs w:val="1"/>
          <w:color w:val="auto"/>
        </w:rPr>
        <w:t>Company</w:t>
      </w:r>
      <w:r>
        <w:rPr>
          <w:rFonts w:ascii="Arial" w:cs="Arial" w:eastAsia="Arial" w:hAnsi="Arial"/>
          <w:sz w:val="16"/>
          <w:szCs w:val="16"/>
          <w:color w:val="auto"/>
        </w:rPr>
        <w:t>”), established and sponsors the</w:t>
      </w:r>
      <w:r>
        <w:rPr>
          <w:rFonts w:ascii="Arial" w:cs="Arial" w:eastAsia="Arial" w:hAnsi="Arial"/>
          <w:sz w:val="16"/>
          <w:szCs w:val="16"/>
          <w:b w:val="1"/>
          <w:bCs w:val="1"/>
          <w:color w:val="auto"/>
        </w:rPr>
        <w:t xml:space="preserve"> </w:t>
      </w:r>
      <w:r>
        <w:rPr>
          <w:rFonts w:ascii="Arial" w:cs="Arial" w:eastAsia="Arial" w:hAnsi="Arial"/>
          <w:sz w:val="16"/>
          <w:szCs w:val="16"/>
          <w:color w:val="auto"/>
        </w:rPr>
        <w:t>Enovis Corporation 2020 Omnibus Incentive Plan, as amended (the “</w:t>
      </w:r>
      <w:r>
        <w:rPr>
          <w:rFonts w:ascii="Arial" w:cs="Arial" w:eastAsia="Arial" w:hAnsi="Arial"/>
          <w:sz w:val="16"/>
          <w:szCs w:val="16"/>
          <w:b w:val="1"/>
          <w:bCs w:val="1"/>
          <w:color w:val="auto"/>
        </w:rPr>
        <w:t>Plan</w:t>
      </w:r>
      <w:r>
        <w:rPr>
          <w:rFonts w:ascii="Arial" w:cs="Arial" w:eastAsia="Arial" w:hAnsi="Arial"/>
          <w:sz w:val="16"/>
          <w:szCs w:val="16"/>
          <w:color w:val="auto"/>
        </w:rPr>
        <w:t>”);</w:t>
      </w:r>
    </w:p>
    <w:p>
      <w:pPr>
        <w:spacing w:after="0" w:line="113"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pursuant to Section 5.3 of the Plan, the Board of Directors of the Company (the “</w:t>
      </w:r>
      <w:r>
        <w:rPr>
          <w:rFonts w:ascii="Arial" w:cs="Arial" w:eastAsia="Arial" w:hAnsi="Arial"/>
          <w:sz w:val="16"/>
          <w:szCs w:val="16"/>
          <w:b w:val="1"/>
          <w:bCs w:val="1"/>
          <w:color w:val="auto"/>
        </w:rPr>
        <w:t>Board</w:t>
      </w:r>
      <w:r>
        <w:rPr>
          <w:rFonts w:ascii="Arial" w:cs="Arial" w:eastAsia="Arial" w:hAnsi="Arial"/>
          <w:sz w:val="16"/>
          <w:szCs w:val="16"/>
          <w:color w:val="auto"/>
        </w:rPr>
        <w:t>”) reserved the right to amend the Plan at</w:t>
      </w:r>
      <w:r>
        <w:rPr>
          <w:rFonts w:ascii="Arial" w:cs="Arial" w:eastAsia="Arial" w:hAnsi="Arial"/>
          <w:sz w:val="16"/>
          <w:szCs w:val="16"/>
          <w:b w:val="1"/>
          <w:bCs w:val="1"/>
          <w:color w:val="auto"/>
        </w:rPr>
        <w:t xml:space="preserve"> </w:t>
      </w:r>
      <w:r>
        <w:rPr>
          <w:rFonts w:ascii="Arial" w:cs="Arial" w:eastAsia="Arial" w:hAnsi="Arial"/>
          <w:sz w:val="16"/>
          <w:szCs w:val="16"/>
          <w:color w:val="auto"/>
        </w:rPr>
        <w:t>any time;</w:t>
      </w:r>
    </w:p>
    <w:p>
      <w:pPr>
        <w:spacing w:after="0" w:line="1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pursuant to Section 6.3 of the Plan, the aggregate dollar value of equity-based awards (based on the Grant Date Fair Market Value</w:t>
      </w:r>
      <w:r>
        <w:rPr>
          <w:rFonts w:ascii="Arial" w:cs="Arial" w:eastAsia="Arial" w:hAnsi="Arial"/>
          <w:sz w:val="16"/>
          <w:szCs w:val="16"/>
          <w:b w:val="1"/>
          <w:bCs w:val="1"/>
          <w:color w:val="auto"/>
        </w:rPr>
        <w:t xml:space="preserve"> </w:t>
      </w:r>
      <w:r>
        <w:rPr>
          <w:rFonts w:ascii="Arial" w:cs="Arial" w:eastAsia="Arial" w:hAnsi="Arial"/>
          <w:sz w:val="16"/>
          <w:szCs w:val="16"/>
          <w:color w:val="auto"/>
        </w:rPr>
        <w:t>of such awards) and cash compensation granted under the Plan or otherwise to any Outside Director during any calendar year may not exceed $350,000;</w:t>
      </w:r>
    </w:p>
    <w:p>
      <w:pPr>
        <w:spacing w:after="0" w:line="12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Board desires to amend the Plan to increase the annual aggregate dollar value limitation applicable to equity-based awards and</w:t>
      </w:r>
      <w:r>
        <w:rPr>
          <w:rFonts w:ascii="Arial" w:cs="Arial" w:eastAsia="Arial" w:hAnsi="Arial"/>
          <w:sz w:val="16"/>
          <w:szCs w:val="16"/>
          <w:b w:val="1"/>
          <w:bCs w:val="1"/>
          <w:color w:val="auto"/>
        </w:rPr>
        <w:t xml:space="preserve"> </w:t>
      </w:r>
      <w:r>
        <w:rPr>
          <w:rFonts w:ascii="Arial" w:cs="Arial" w:eastAsia="Arial" w:hAnsi="Arial"/>
          <w:sz w:val="16"/>
          <w:szCs w:val="16"/>
          <w:color w:val="auto"/>
        </w:rPr>
        <w:t>cash compensation granted under the Plan to Outside Directors from $350,000 to $750,000;</w:t>
      </w:r>
    </w:p>
    <w:p>
      <w:pPr>
        <w:spacing w:after="0" w:line="129"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as a result of the one-for-three reverse stock split of the common stock, $0.001 par value per share, of the Company (the “</w:t>
      </w:r>
      <w:r>
        <w:rPr>
          <w:rFonts w:ascii="Arial" w:cs="Arial" w:eastAsia="Arial" w:hAnsi="Arial"/>
          <w:sz w:val="16"/>
          <w:szCs w:val="16"/>
          <w:b w:val="1"/>
          <w:bCs w:val="1"/>
          <w:color w:val="auto"/>
        </w:rPr>
        <w:t>Stock</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and pursuant to Section 17 of the Plan, the aggregate number of remaining shares of Stock reserved and available for issuance under Section 4.1 of the Plan was reduced to 1,080,024 at such time;</w:t>
      </w:r>
    </w:p>
    <w:p>
      <w:pPr>
        <w:spacing w:after="0" w:line="144"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stockholders of the Company approved the First Amendment to the Plan on June 7, 2022, authorizing an additional 745,000</w:t>
      </w:r>
      <w:r>
        <w:rPr>
          <w:rFonts w:ascii="Arial" w:cs="Arial" w:eastAsia="Arial" w:hAnsi="Arial"/>
          <w:sz w:val="16"/>
          <w:szCs w:val="16"/>
          <w:b w:val="1"/>
          <w:bCs w:val="1"/>
          <w:color w:val="auto"/>
        </w:rPr>
        <w:t xml:space="preserve"> </w:t>
      </w:r>
      <w:r>
        <w:rPr>
          <w:rFonts w:ascii="Arial" w:cs="Arial" w:eastAsia="Arial" w:hAnsi="Arial"/>
          <w:sz w:val="16"/>
          <w:szCs w:val="16"/>
          <w:color w:val="auto"/>
        </w:rPr>
        <w:t>shares Stock for issuance under the Plan and then further approved the Second Amendment to the Plan on May 20, 2024, authorizing an additional 2,100,000 shares of Stock for issuance under the Plan; and</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Board desires to further amend the Plan to add an additional 3,650,000 shares of Stock for issuance under the Plan.</w:t>
      </w:r>
    </w:p>
    <w:p>
      <w:pPr>
        <w:spacing w:after="0" w:line="194"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6"/>
          <w:szCs w:val="16"/>
          <w:b w:val="1"/>
          <w:bCs w:val="1"/>
          <w:color w:val="auto"/>
        </w:rPr>
        <w:t>NOW</w:t>
      </w:r>
      <w:r>
        <w:rPr>
          <w:rFonts w:ascii="Arial" w:cs="Arial" w:eastAsia="Arial" w:hAnsi="Arial"/>
          <w:sz w:val="16"/>
          <w:szCs w:val="16"/>
          <w:color w:val="auto"/>
        </w:rPr>
        <w:t>,</w:t>
      </w:r>
      <w:r>
        <w:rPr>
          <w:rFonts w:ascii="Arial" w:cs="Arial" w:eastAsia="Arial" w:hAnsi="Arial"/>
          <w:sz w:val="16"/>
          <w:szCs w:val="16"/>
          <w:b w:val="1"/>
          <w:bCs w:val="1"/>
          <w:color w:val="auto"/>
        </w:rPr>
        <w:t xml:space="preserve"> THEREFORE</w:t>
      </w:r>
      <w:r>
        <w:rPr>
          <w:rFonts w:ascii="Arial" w:cs="Arial" w:eastAsia="Arial" w:hAnsi="Arial"/>
          <w:sz w:val="16"/>
          <w:szCs w:val="16"/>
          <w:color w:val="auto"/>
        </w:rPr>
        <w:t>, pursuant to the power reserved by Section 5.3 of the Plan, the Board amends the Plan as follows, subject to and effective</w:t>
      </w:r>
      <w:r>
        <w:rPr>
          <w:rFonts w:ascii="Arial" w:cs="Arial" w:eastAsia="Arial" w:hAnsi="Arial"/>
          <w:sz w:val="16"/>
          <w:szCs w:val="16"/>
          <w:b w:val="1"/>
          <w:bCs w:val="1"/>
          <w:color w:val="auto"/>
        </w:rPr>
        <w:t xml:space="preserve"> </w:t>
      </w:r>
      <w:r>
        <w:rPr>
          <w:rFonts w:ascii="Arial" w:cs="Arial" w:eastAsia="Arial" w:hAnsi="Arial"/>
          <w:sz w:val="16"/>
          <w:szCs w:val="16"/>
          <w:color w:val="auto"/>
        </w:rPr>
        <w:t>upon approval by the Company’s stockholders at the Annual Meeting to be held on May 19, 2026 (the “</w:t>
      </w:r>
      <w:r>
        <w:rPr>
          <w:rFonts w:ascii="Arial" w:cs="Arial" w:eastAsia="Arial" w:hAnsi="Arial"/>
          <w:sz w:val="16"/>
          <w:szCs w:val="16"/>
          <w:b w:val="1"/>
          <w:bCs w:val="1"/>
          <w:color w:val="auto"/>
        </w:rPr>
        <w:t>2026 Annual Meeting</w:t>
      </w:r>
      <w:r>
        <w:rPr>
          <w:rFonts w:ascii="Arial" w:cs="Arial" w:eastAsia="Arial" w:hAnsi="Arial"/>
          <w:sz w:val="16"/>
          <w:szCs w:val="16"/>
          <w:color w:val="auto"/>
        </w:rPr>
        <w:t>”). Defined terms used herein, but not otherwise defined in this Third Amendment, shall have the meanings ascribed to them in the Plan:</w:t>
      </w:r>
    </w:p>
    <w:p>
      <w:pPr>
        <w:spacing w:after="0" w:line="144" w:lineRule="exact"/>
        <w:rPr>
          <w:sz w:val="20"/>
          <w:szCs w:val="20"/>
          <w:color w:val="auto"/>
        </w:rPr>
      </w:pPr>
    </w:p>
    <w:p>
      <w:pPr>
        <w:ind w:left="960" w:right="20" w:hanging="316"/>
        <w:spacing w:after="0" w:line="286" w:lineRule="auto"/>
        <w:tabs>
          <w:tab w:leader="none" w:pos="9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Section 4.1 containing the aggregate number of shares of Stock reserved and available for issuance pursuant to Awards granted under the Plan is hereby amended in its entirety to read:</w:t>
      </w:r>
    </w:p>
    <w:p>
      <w:pPr>
        <w:spacing w:after="0" w:line="129" w:lineRule="exact"/>
        <w:rPr>
          <w:sz w:val="20"/>
          <w:szCs w:val="20"/>
          <w:color w:val="auto"/>
        </w:rPr>
      </w:pPr>
    </w:p>
    <w:p>
      <w:pPr>
        <w:jc w:val="both"/>
        <w:ind w:left="1300" w:right="20"/>
        <w:spacing w:after="0" w:line="256" w:lineRule="auto"/>
        <w:rPr>
          <w:sz w:val="20"/>
          <w:szCs w:val="20"/>
          <w:color w:val="auto"/>
        </w:rPr>
      </w:pPr>
      <w:r>
        <w:rPr>
          <w:rFonts w:ascii="Arial" w:cs="Arial" w:eastAsia="Arial" w:hAnsi="Arial"/>
          <w:sz w:val="16"/>
          <w:szCs w:val="16"/>
          <w:color w:val="231F20"/>
        </w:rPr>
        <w:t xml:space="preserve">“4.1 </w:t>
      </w:r>
      <w:r>
        <w:rPr>
          <w:rFonts w:ascii="Arial" w:cs="Arial" w:eastAsia="Arial" w:hAnsi="Arial"/>
          <w:sz w:val="16"/>
          <w:szCs w:val="16"/>
          <w:b w:val="1"/>
          <w:bCs w:val="1"/>
          <w:u w:val="single" w:color="auto"/>
          <w:color w:val="231F20"/>
        </w:rPr>
        <w:t>Number of Shares</w:t>
      </w:r>
      <w:r>
        <w:rPr>
          <w:rFonts w:ascii="Arial" w:cs="Arial" w:eastAsia="Arial" w:hAnsi="Arial"/>
          <w:sz w:val="16"/>
          <w:szCs w:val="16"/>
          <w:b w:val="1"/>
          <w:bCs w:val="1"/>
          <w:color w:val="231F20"/>
        </w:rPr>
        <w:t>.</w:t>
      </w:r>
      <w:r>
        <w:rPr>
          <w:rFonts w:ascii="Arial" w:cs="Arial" w:eastAsia="Arial" w:hAnsi="Arial"/>
          <w:sz w:val="16"/>
          <w:szCs w:val="16"/>
          <w:color w:val="231F20"/>
        </w:rPr>
        <w:t xml:space="preserve"> Subject to the Share Counting rules set forth in </w:t>
      </w:r>
      <w:r>
        <w:rPr>
          <w:rFonts w:ascii="Arial" w:cs="Arial" w:eastAsia="Arial" w:hAnsi="Arial"/>
          <w:sz w:val="16"/>
          <w:szCs w:val="16"/>
          <w:u w:val="single" w:color="auto"/>
          <w:color w:val="231F20"/>
        </w:rPr>
        <w:t>Section 4.4</w:t>
      </w:r>
      <w:r>
        <w:rPr>
          <w:rFonts w:ascii="Arial" w:cs="Arial" w:eastAsia="Arial" w:hAnsi="Arial"/>
          <w:sz w:val="16"/>
          <w:szCs w:val="16"/>
          <w:color w:val="231F20"/>
        </w:rPr>
        <w:t xml:space="preserve"> and to adjustment as provided in </w:t>
      </w:r>
      <w:r>
        <w:rPr>
          <w:rFonts w:ascii="Arial" w:cs="Arial" w:eastAsia="Arial" w:hAnsi="Arial"/>
          <w:sz w:val="16"/>
          <w:szCs w:val="16"/>
          <w:u w:val="single" w:color="auto"/>
          <w:color w:val="231F20"/>
        </w:rPr>
        <w:t>Section 17</w:t>
      </w:r>
      <w:r>
        <w:rPr>
          <w:rFonts w:ascii="Arial" w:cs="Arial" w:eastAsia="Arial" w:hAnsi="Arial"/>
          <w:sz w:val="16"/>
          <w:szCs w:val="16"/>
          <w:color w:val="231F20"/>
        </w:rPr>
        <w:t xml:space="preserve">, the aggregate number of shares of Stock reserved and available for issuance pursuant to Awards granted under the Plan shall be </w:t>
      </w:r>
      <w:r>
        <w:rPr>
          <w:rFonts w:ascii="Arial" w:cs="Arial" w:eastAsia="Arial" w:hAnsi="Arial"/>
          <w:sz w:val="16"/>
          <w:szCs w:val="16"/>
          <w:color w:val="000000"/>
        </w:rPr>
        <w:t>7,971,666 shares, which number may be increased by the number of shares available for issuance under a stockholder-approved plan of a business entity that is a party to an acquisition, merger or other transaction in which the Company or an Affiliate acquires the business entity (as appropriately adjusted, if necessary, to reflect such transaction) (“</w:t>
      </w:r>
      <w:r>
        <w:rPr>
          <w:rFonts w:ascii="Arial" w:cs="Arial" w:eastAsia="Arial" w:hAnsi="Arial"/>
          <w:sz w:val="16"/>
          <w:szCs w:val="16"/>
          <w:u w:val="single" w:color="auto"/>
          <w:color w:val="000000"/>
        </w:rPr>
        <w:t>Total Available Shares</w:t>
      </w:r>
      <w:r>
        <w:rPr>
          <w:rFonts w:ascii="Arial" w:cs="Arial" w:eastAsia="Arial" w:hAnsi="Arial"/>
          <w:sz w:val="16"/>
          <w:szCs w:val="16"/>
          <w:color w:val="000000"/>
        </w:rPr>
        <w:t>”).”</w:t>
      </w:r>
    </w:p>
    <w:p>
      <w:pPr>
        <w:spacing w:after="0" w:line="153" w:lineRule="exact"/>
        <w:rPr>
          <w:sz w:val="20"/>
          <w:szCs w:val="20"/>
          <w:color w:val="auto"/>
        </w:rPr>
      </w:pPr>
    </w:p>
    <w:p>
      <w:pPr>
        <w:ind w:left="960" w:right="20" w:hanging="316"/>
        <w:spacing w:after="0" w:line="286" w:lineRule="auto"/>
        <w:tabs>
          <w:tab w:leader="none" w:pos="9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Section 4.2 containing the maximum number of shares of Stock that may be issued upon exercise of Incentive Stock Options granted under the Plan is hereby amended in its entirety to read:</w:t>
      </w:r>
    </w:p>
    <w:p>
      <w:pPr>
        <w:spacing w:after="0" w:line="129" w:lineRule="exact"/>
        <w:rPr>
          <w:sz w:val="20"/>
          <w:szCs w:val="20"/>
          <w:color w:val="auto"/>
        </w:rPr>
      </w:pPr>
    </w:p>
    <w:p>
      <w:pPr>
        <w:ind w:left="1300" w:right="20"/>
        <w:spacing w:after="0" w:line="286" w:lineRule="auto"/>
        <w:rPr>
          <w:sz w:val="20"/>
          <w:szCs w:val="20"/>
          <w:color w:val="auto"/>
        </w:rPr>
      </w:pPr>
      <w:r>
        <w:rPr>
          <w:rFonts w:ascii="Arial" w:cs="Arial" w:eastAsia="Arial" w:hAnsi="Arial"/>
          <w:sz w:val="16"/>
          <w:szCs w:val="16"/>
          <w:color w:val="231F20"/>
        </w:rPr>
        <w:t xml:space="preserve">“4.2 </w:t>
      </w:r>
      <w:r>
        <w:rPr>
          <w:rFonts w:ascii="Arial" w:cs="Arial" w:eastAsia="Arial" w:hAnsi="Arial"/>
          <w:sz w:val="16"/>
          <w:szCs w:val="16"/>
          <w:b w:val="1"/>
          <w:bCs w:val="1"/>
          <w:u w:val="single" w:color="auto"/>
          <w:color w:val="231F20"/>
        </w:rPr>
        <w:t>Incentive Stock Options</w:t>
      </w:r>
      <w:r>
        <w:rPr>
          <w:rFonts w:ascii="Arial" w:cs="Arial" w:eastAsia="Arial" w:hAnsi="Arial"/>
          <w:sz w:val="16"/>
          <w:szCs w:val="16"/>
          <w:b w:val="1"/>
          <w:bCs w:val="1"/>
          <w:color w:val="231F20"/>
        </w:rPr>
        <w:t>.</w:t>
      </w:r>
      <w:r>
        <w:rPr>
          <w:rFonts w:ascii="Arial" w:cs="Arial" w:eastAsia="Arial" w:hAnsi="Arial"/>
          <w:sz w:val="16"/>
          <w:szCs w:val="16"/>
          <w:color w:val="231F20"/>
        </w:rPr>
        <w:t xml:space="preserve"> The maximum number of shares of Stock that may be issued upon exercise of Incentive Stock Options granted under the Plan shall be </w:t>
      </w:r>
      <w:r>
        <w:rPr>
          <w:rFonts w:ascii="Arial" w:cs="Arial" w:eastAsia="Arial" w:hAnsi="Arial"/>
          <w:sz w:val="16"/>
          <w:szCs w:val="16"/>
          <w:color w:val="000000"/>
        </w:rPr>
        <w:t>7,971,666</w:t>
      </w:r>
      <w:r>
        <w:rPr>
          <w:rFonts w:ascii="Arial" w:cs="Arial" w:eastAsia="Arial" w:hAnsi="Arial"/>
          <w:sz w:val="16"/>
          <w:szCs w:val="16"/>
          <w:color w:val="231F20"/>
        </w:rPr>
        <w:t xml:space="preserve"> shares, subject to adjustment as provided in </w:t>
      </w:r>
      <w:r>
        <w:rPr>
          <w:rFonts w:ascii="Arial" w:cs="Arial" w:eastAsia="Arial" w:hAnsi="Arial"/>
          <w:sz w:val="16"/>
          <w:szCs w:val="16"/>
          <w:u w:val="single" w:color="auto"/>
          <w:color w:val="231F20"/>
        </w:rPr>
        <w:t>Section 17</w:t>
      </w:r>
      <w:r>
        <w:rPr>
          <w:rFonts w:ascii="Arial" w:cs="Arial" w:eastAsia="Arial" w:hAnsi="Arial"/>
          <w:sz w:val="16"/>
          <w:szCs w:val="16"/>
          <w:color w:val="231F20"/>
        </w:rPr>
        <w:t>.”</w:t>
      </w:r>
    </w:p>
    <w:p>
      <w:pPr>
        <w:spacing w:after="0" w:line="129" w:lineRule="exact"/>
        <w:rPr>
          <w:sz w:val="20"/>
          <w:szCs w:val="20"/>
          <w:color w:val="auto"/>
        </w:rPr>
      </w:pPr>
    </w:p>
    <w:p>
      <w:pPr>
        <w:ind w:left="960" w:hanging="316"/>
        <w:spacing w:after="0"/>
        <w:tabs>
          <w:tab w:leader="none" w:pos="960" w:val="left"/>
        </w:tabs>
        <w:numPr>
          <w:ilvl w:val="0"/>
          <w:numId w:val="131"/>
        </w:numPr>
        <w:rPr>
          <w:rFonts w:ascii="Arial" w:cs="Arial" w:eastAsia="Arial" w:hAnsi="Arial"/>
          <w:sz w:val="16"/>
          <w:szCs w:val="16"/>
          <w:color w:val="231F20"/>
        </w:rPr>
      </w:pPr>
      <w:r>
        <w:rPr>
          <w:rFonts w:ascii="Arial" w:cs="Arial" w:eastAsia="Arial" w:hAnsi="Arial"/>
          <w:sz w:val="16"/>
          <w:szCs w:val="16"/>
          <w:color w:val="231F20"/>
        </w:rPr>
        <w:t>Section 6.3 containing the limitation on Award to Outside Directors granted under the Plan is hereby amended in its entirety to read:</w:t>
      </w:r>
    </w:p>
    <w:p>
      <w:pPr>
        <w:spacing w:after="0" w:line="194" w:lineRule="exact"/>
        <w:rPr>
          <w:sz w:val="20"/>
          <w:szCs w:val="20"/>
          <w:color w:val="auto"/>
        </w:rPr>
      </w:pPr>
    </w:p>
    <w:p>
      <w:pPr>
        <w:jc w:val="both"/>
        <w:ind w:left="1300" w:right="20"/>
        <w:spacing w:after="0" w:line="256" w:lineRule="auto"/>
        <w:rPr>
          <w:sz w:val="20"/>
          <w:szCs w:val="20"/>
          <w:color w:val="auto"/>
        </w:rPr>
      </w:pPr>
      <w:r>
        <w:rPr>
          <w:rFonts w:ascii="Arial" w:cs="Arial" w:eastAsia="Arial" w:hAnsi="Arial"/>
          <w:sz w:val="16"/>
          <w:szCs w:val="16"/>
          <w:color w:val="231F20"/>
        </w:rPr>
        <w:t xml:space="preserve">“6.3 </w:t>
      </w:r>
      <w:r>
        <w:rPr>
          <w:rFonts w:ascii="Arial" w:cs="Arial" w:eastAsia="Arial" w:hAnsi="Arial"/>
          <w:sz w:val="16"/>
          <w:szCs w:val="16"/>
          <w:b w:val="1"/>
          <w:bCs w:val="1"/>
          <w:u w:val="single" w:color="auto"/>
          <w:color w:val="231F20"/>
        </w:rPr>
        <w:t>Limitation on Awards to Outside Directors</w:t>
      </w:r>
      <w:r>
        <w:rPr>
          <w:rFonts w:ascii="Arial" w:cs="Arial" w:eastAsia="Arial" w:hAnsi="Arial"/>
          <w:sz w:val="16"/>
          <w:szCs w:val="16"/>
          <w:b w:val="1"/>
          <w:bCs w:val="1"/>
          <w:color w:val="231F20"/>
        </w:rPr>
        <w:t>.</w:t>
      </w:r>
      <w:r>
        <w:rPr>
          <w:rFonts w:ascii="Arial" w:cs="Arial" w:eastAsia="Arial" w:hAnsi="Arial"/>
          <w:sz w:val="16"/>
          <w:szCs w:val="16"/>
          <w:color w:val="231F20"/>
        </w:rPr>
        <w:t xml:space="preserve"> The aggregate dollar value of equity-based (based on the Grant Date’s Fair Market Value of equity-based Awards) and cash compensation granted under this Plan or otherwise during any calendar year to any Outside Director shall not exceed </w:t>
      </w:r>
      <w:r>
        <w:rPr>
          <w:rFonts w:ascii="Arial" w:cs="Arial" w:eastAsia="Arial" w:hAnsi="Arial"/>
          <w:sz w:val="16"/>
          <w:szCs w:val="16"/>
          <w:color w:val="000000"/>
        </w:rPr>
        <w:t>$750,000; provided, however that in the calendar year in which an Outside Director first joints the Board or is</w:t>
      </w:r>
      <w:r>
        <w:rPr>
          <w:rFonts w:ascii="Arial" w:cs="Arial" w:eastAsia="Arial" w:hAnsi="Arial"/>
          <w:sz w:val="16"/>
          <w:szCs w:val="16"/>
          <w:color w:val="231F20"/>
        </w:rPr>
        <w:t xml:space="preserve"> </w:t>
      </w:r>
      <w:r>
        <w:rPr>
          <w:rFonts w:ascii="Arial" w:cs="Arial" w:eastAsia="Arial" w:hAnsi="Arial"/>
          <w:sz w:val="16"/>
          <w:szCs w:val="16"/>
          <w:color w:val="000000"/>
        </w:rPr>
        <w:t>first designated as Chairman of the Board or Lead Director, the maximum aggregate dollar value of equity-based and cash compensation granted to the Outside Director may be up to two hundred percent (200%) of the foregoing limit.”</w:t>
      </w:r>
    </w:p>
    <w:p>
      <w:pPr>
        <w:spacing w:after="0" w:line="153"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this Third Amendment, having been first duly authorized, approved and adopted by the Board, and approved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stockholders at the 2026 Annual Meeting, is hereby executed below by a duly authorized officer of the Company on this         day of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6240780</wp:posOffset>
            </wp:positionH>
            <wp:positionV relativeFrom="paragraph">
              <wp:posOffset>-156210</wp:posOffset>
            </wp:positionV>
            <wp:extent cx="41148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-36195</wp:posOffset>
            </wp:positionV>
            <wp:extent cx="72009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340"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46355</wp:posOffset>
            </wp:positionV>
            <wp:extent cx="31115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255" w:lineRule="exact"/>
        <w:rPr>
          <w:sz w:val="20"/>
          <w:szCs w:val="20"/>
          <w:color w:val="auto"/>
        </w:rPr>
      </w:pPr>
    </w:p>
    <w:p>
      <w:pPr>
        <w:jc w:val="center"/>
        <w:ind w:left="5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55245</wp:posOffset>
            </wp:positionV>
            <wp:extent cx="31115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269"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55245</wp:posOffset>
            </wp:positionV>
            <wp:extent cx="31115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269" w:lineRule="exact"/>
        <w:rPr>
          <w:sz w:val="20"/>
          <w:szCs w:val="20"/>
          <w:color w:val="auto"/>
        </w:rPr>
      </w:pPr>
    </w:p>
    <w:p>
      <w:pPr>
        <w:ind w:left="7560"/>
        <w:spacing w:after="0"/>
        <w:tabs>
          <w:tab w:leader="none" w:pos="10840" w:val="left"/>
        </w:tabs>
        <w:rPr>
          <w:sz w:val="20"/>
          <w:szCs w:val="20"/>
          <w:color w:val="auto"/>
        </w:rPr>
      </w:pPr>
      <w:r>
        <w:rPr>
          <w:sz w:val="1"/>
          <w:szCs w:val="1"/>
          <w:color w:val="auto"/>
        </w:rPr>
        <w:drawing>
          <wp:inline distT="0" distB="0" distL="0" distR="0">
            <wp:extent cx="685800" cy="162560"/>
            <wp:effectExtent l="0" t="0" r="0" b="0"/>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0" cy="162560"/>
                    </a:xfrm>
                    <a:prstGeom prst="rect">
                      <a:avLst/>
                    </a:prstGeom>
                    <a:noFill/>
                    <a:ln>
                      <a:noFill/>
                    </a:ln>
                  </pic:spPr>
                </pic:pic>
              </a:graphicData>
            </a:graphic>
          </wp:inline>
        </w:drawing>
      </w:r>
      <w:r>
        <w:rPr>
          <w:rFonts w:ascii="Arial" w:cs="Arial" w:eastAsia="Arial" w:hAnsi="Arial"/>
          <w:sz w:val="18"/>
          <w:szCs w:val="18"/>
          <w:color w:val="auto"/>
        </w:rPr>
        <w:t xml:space="preserve"> - 2026 Proxy Statement</w:t>
      </w:r>
      <w:r>
        <w:rPr>
          <w:sz w:val="20"/>
          <w:szCs w:val="20"/>
          <w:color w:val="auto"/>
        </w:rPr>
        <w:tab/>
      </w: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-186690</wp:posOffset>
            </wp:positionV>
            <wp:extent cx="6995160" cy="3257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995160" cy="325755"/>
                    </a:xfrm>
                    <a:prstGeom prst="rect">
                      <a:avLst/>
                    </a:prstGeom>
                    <a:noFill/>
                  </pic:spPr>
                </pic:pic>
              </a:graphicData>
            </a:graphic>
          </wp:anchor>
        </w:drawing>
      </w:r>
    </w:p>
    <w:p>
      <w:pPr>
        <w:sectPr>
          <w:pgSz w:w="11900" w:h="16838" w:orient="portrait"/>
          <w:cols w:equalWidth="0" w:num="1">
            <w:col w:w="11020"/>
          </w:cols>
          <w:pgMar w:left="440" w:top="561" w:right="439" w:bottom="1440" w:gutter="0" w:footer="0" w:header="0"/>
        </w:sectPr>
      </w:pPr>
    </w:p>
    <w:bookmarkStart w:id="107" w:name="page108"/>
    <w:bookmarkEnd w:id="1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311785</wp:posOffset>
            </wp:positionV>
            <wp:extent cx="6995160" cy="917257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995160" cy="9172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294640</wp:posOffset>
            </wp:positionV>
            <wp:extent cx="6995160" cy="919861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995160" cy="91986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DBABF00"/>
    <w:multiLevelType w:val="hybridMultilevel"/>
    <w:lvl w:ilvl="0">
      <w:lvlJc w:val="left"/>
      <w:lvlText w:val="☐"/>
      <w:numFmt w:val="bullet"/>
      <w:start w:val="1"/>
    </w:lvl>
  </w:abstractNum>
  <w:abstractNum w:abstractNumId="1">
    <w:nsid w:val="4AD084E9"/>
    <w:multiLevelType w:val="hybridMultilevel"/>
    <w:lvl w:ilvl="0">
      <w:lvlJc w:val="left"/>
      <w:lvlText w:val="☒"/>
      <w:numFmt w:val="bullet"/>
      <w:start w:val="1"/>
    </w:lvl>
  </w:abstractNum>
  <w:abstractNum w:abstractNumId="2">
    <w:nsid w:val="1F48EAA1"/>
    <w:multiLevelType w:val="hybridMultilevel"/>
    <w:lvl w:ilvl="0">
      <w:lvlJc w:val="left"/>
      <w:lvlText w:val="☐"/>
      <w:numFmt w:val="bullet"/>
      <w:start w:val="1"/>
    </w:lvl>
  </w:abstractNum>
  <w:abstractNum w:abstractNumId="3">
    <w:nsid w:val="1381823A"/>
    <w:multiLevelType w:val="hybridMultilevel"/>
    <w:lvl w:ilvl="0">
      <w:lvlJc w:val="left"/>
      <w:lvlText w:val="☒"/>
      <w:numFmt w:val="bullet"/>
      <w:start w:val="1"/>
    </w:lvl>
  </w:abstractNum>
  <w:abstractNum w:abstractNumId="4">
    <w:nsid w:val="5DB70AE5"/>
    <w:multiLevelType w:val="hybridMultilevel"/>
    <w:lvl w:ilvl="0">
      <w:lvlJc w:val="left"/>
      <w:lvlText w:val="☐"/>
      <w:numFmt w:val="bullet"/>
      <w:start w:val="1"/>
    </w:lvl>
  </w:abstractNum>
  <w:abstractNum w:abstractNumId="5">
    <w:nsid w:val="100F8FCA"/>
    <w:multiLevelType w:val="hybridMultilevel"/>
    <w:lvl w:ilvl="0">
      <w:lvlJc w:val="left"/>
      <w:lvlText w:val="%1."/>
      <w:numFmt w:val="decimal"/>
      <w:start w:val="1"/>
    </w:lvl>
  </w:abstractNum>
  <w:abstractNum w:abstractNumId="6">
    <w:nsid w:val="6590700B"/>
    <w:multiLevelType w:val="hybridMultilevel"/>
    <w:lvl w:ilvl="0">
      <w:lvlJc w:val="left"/>
      <w:lvlText w:val="√"/>
      <w:numFmt w:val="bullet"/>
      <w:start w:val="1"/>
    </w:lvl>
  </w:abstractNum>
  <w:abstractNum w:abstractNumId="7">
    <w:nsid w:val="15014ACB"/>
    <w:multiLevelType w:val="hybridMultilevel"/>
    <w:lvl w:ilvl="0">
      <w:lvlJc w:val="left"/>
      <w:lvlText w:val="∎"/>
      <w:numFmt w:val="bullet"/>
      <w:start w:val="1"/>
    </w:lvl>
  </w:abstractNum>
  <w:abstractNum w:abstractNumId="8">
    <w:nsid w:val="5F5E7FD0"/>
    <w:multiLevelType w:val="hybridMultilevel"/>
    <w:lvl w:ilvl="0">
      <w:lvlJc w:val="left"/>
      <w:lvlText w:val="∎"/>
      <w:numFmt w:val="bullet"/>
      <w:start w:val="1"/>
    </w:lvl>
  </w:abstractNum>
  <w:abstractNum w:abstractNumId="9">
    <w:nsid w:val="98A3148"/>
    <w:multiLevelType w:val="hybridMultilevel"/>
    <w:lvl w:ilvl="0">
      <w:lvlJc w:val="left"/>
      <w:lvlText w:val="∎"/>
      <w:numFmt w:val="bullet"/>
      <w:start w:val="1"/>
    </w:lvl>
  </w:abstractNum>
  <w:abstractNum w:abstractNumId="10">
    <w:nsid w:val="799D0247"/>
    <w:multiLevelType w:val="hybridMultilevel"/>
    <w:lvl w:ilvl="0">
      <w:lvlJc w:val="left"/>
      <w:lvlText w:val="∎"/>
      <w:numFmt w:val="bullet"/>
      <w:start w:val="1"/>
    </w:lvl>
  </w:abstractNum>
  <w:abstractNum w:abstractNumId="11">
    <w:nsid w:val="6B94764"/>
    <w:multiLevelType w:val="hybridMultilevel"/>
    <w:lvl w:ilvl="0">
      <w:lvlJc w:val="left"/>
      <w:lvlText w:val="∎"/>
      <w:numFmt w:val="bullet"/>
      <w:start w:val="1"/>
    </w:lvl>
  </w:abstractNum>
  <w:abstractNum w:abstractNumId="12">
    <w:nsid w:val="42C296BD"/>
    <w:multiLevelType w:val="hybridMultilevel"/>
    <w:lvl w:ilvl="0">
      <w:lvlJc w:val="left"/>
      <w:lvlText w:val="∎"/>
      <w:numFmt w:val="bullet"/>
      <w:start w:val="1"/>
    </w:lvl>
  </w:abstractNum>
  <w:abstractNum w:abstractNumId="13">
    <w:nsid w:val="168E121F"/>
    <w:multiLevelType w:val="hybridMultilevel"/>
    <w:lvl w:ilvl="0">
      <w:lvlJc w:val="left"/>
      <w:lvlText w:val="∎"/>
      <w:numFmt w:val="bullet"/>
      <w:start w:val="1"/>
    </w:lvl>
  </w:abstractNum>
  <w:abstractNum w:abstractNumId="14">
    <w:nsid w:val="1EBA5D23"/>
    <w:multiLevelType w:val="hybridMultilevel"/>
    <w:lvl w:ilvl="0">
      <w:lvlJc w:val="left"/>
      <w:lvlText w:val="∎"/>
      <w:numFmt w:val="bullet"/>
      <w:start w:val="1"/>
    </w:lvl>
    <w:lvl w:ilvl="1">
      <w:lvlJc w:val="left"/>
      <w:lvlText w:val="∎"/>
      <w:numFmt w:val="bullet"/>
      <w:start w:val="1"/>
    </w:lvl>
  </w:abstractNum>
  <w:abstractNum w:abstractNumId="15">
    <w:nsid w:val="661E3F1E"/>
    <w:multiLevelType w:val="hybridMultilevel"/>
    <w:lvl w:ilvl="0">
      <w:lvlJc w:val="left"/>
      <w:lvlText w:val="∎"/>
      <w:numFmt w:val="bullet"/>
      <w:start w:val="1"/>
    </w:lvl>
  </w:abstractNum>
  <w:abstractNum w:abstractNumId="16">
    <w:nsid w:val="5DC79EA8"/>
    <w:multiLevelType w:val="hybridMultilevel"/>
    <w:lvl w:ilvl="0">
      <w:lvlJc w:val="left"/>
      <w:lvlText w:val="∎"/>
      <w:numFmt w:val="bullet"/>
      <w:start w:val="1"/>
    </w:lvl>
  </w:abstractNum>
  <w:abstractNum w:abstractNumId="17">
    <w:nsid w:val="540A471C"/>
    <w:multiLevelType w:val="hybridMultilevel"/>
    <w:lvl w:ilvl="0">
      <w:lvlJc w:val="left"/>
      <w:lvlText w:val="∎"/>
      <w:numFmt w:val="bullet"/>
      <w:start w:val="1"/>
    </w:lvl>
  </w:abstractNum>
  <w:abstractNum w:abstractNumId="18">
    <w:nsid w:val="7BD3EE7B"/>
    <w:multiLevelType w:val="hybridMultilevel"/>
    <w:lvl w:ilvl="0">
      <w:lvlJc w:val="left"/>
      <w:lvlText w:val="∎"/>
      <w:numFmt w:val="bullet"/>
      <w:start w:val="1"/>
    </w:lvl>
    <w:lvl w:ilvl="1">
      <w:lvlJc w:val="left"/>
      <w:lvlText w:val="∎"/>
      <w:numFmt w:val="bullet"/>
      <w:start w:val="1"/>
    </w:lvl>
  </w:abstractNum>
  <w:abstractNum w:abstractNumId="19">
    <w:nsid w:val="51D9C564"/>
    <w:multiLevelType w:val="hybridMultilevel"/>
    <w:lvl w:ilvl="0">
      <w:lvlJc w:val="left"/>
      <w:lvlText w:val="∎"/>
      <w:numFmt w:val="bullet"/>
      <w:start w:val="1"/>
    </w:lvl>
    <w:lvl w:ilvl="1">
      <w:lvlJc w:val="left"/>
      <w:lvlText w:val="∎"/>
      <w:numFmt w:val="bullet"/>
      <w:start w:val="1"/>
    </w:lvl>
  </w:abstractNum>
  <w:abstractNum w:abstractNumId="20">
    <w:nsid w:val="613EFDC5"/>
    <w:multiLevelType w:val="hybridMultilevel"/>
    <w:lvl w:ilvl="0">
      <w:lvlJc w:val="left"/>
      <w:lvlText w:val="∎"/>
      <w:numFmt w:val="bullet"/>
      <w:start w:val="1"/>
    </w:lvl>
  </w:abstractNum>
  <w:abstractNum w:abstractNumId="21">
    <w:nsid w:val="BF72B14"/>
    <w:multiLevelType w:val="hybridMultilevel"/>
    <w:lvl w:ilvl="0">
      <w:lvlJc w:val="left"/>
      <w:lvlText w:val="∎"/>
      <w:numFmt w:val="bullet"/>
      <w:start w:val="1"/>
    </w:lvl>
  </w:abstractNum>
  <w:abstractNum w:abstractNumId="22">
    <w:nsid w:val="11447B73"/>
    <w:multiLevelType w:val="hybridMultilevel"/>
    <w:lvl w:ilvl="0">
      <w:lvlJc w:val="left"/>
      <w:lvlText w:val="∎"/>
      <w:numFmt w:val="bullet"/>
      <w:start w:val="1"/>
    </w:lvl>
  </w:abstractNum>
  <w:abstractNum w:abstractNumId="23">
    <w:nsid w:val="42963E5A"/>
    <w:multiLevelType w:val="hybridMultilevel"/>
    <w:lvl w:ilvl="0">
      <w:lvlJc w:val="left"/>
      <w:lvlText w:val="∎"/>
      <w:numFmt w:val="bullet"/>
      <w:start w:val="1"/>
    </w:lvl>
  </w:abstractNum>
  <w:abstractNum w:abstractNumId="24">
    <w:nsid w:val="A0382C5"/>
    <w:multiLevelType w:val="hybridMultilevel"/>
    <w:lvl w:ilvl="0">
      <w:lvlJc w:val="left"/>
      <w:lvlText w:val="∎"/>
      <w:numFmt w:val="bullet"/>
      <w:start w:val="1"/>
    </w:lvl>
    <w:lvl w:ilvl="1">
      <w:lvlJc w:val="left"/>
      <w:lvlText w:val="∎"/>
      <w:numFmt w:val="bullet"/>
      <w:start w:val="1"/>
    </w:lvl>
  </w:abstractNum>
  <w:abstractNum w:abstractNumId="25">
    <w:nsid w:val="8F2B15E"/>
    <w:multiLevelType w:val="hybridMultilevel"/>
    <w:lvl w:ilvl="0">
      <w:lvlJc w:val="left"/>
      <w:lvlText w:val="∎"/>
      <w:numFmt w:val="bullet"/>
      <w:start w:val="1"/>
    </w:lvl>
  </w:abstractNum>
  <w:abstractNum w:abstractNumId="26">
    <w:nsid w:val="1A32234B"/>
    <w:multiLevelType w:val="hybridMultilevel"/>
    <w:lvl w:ilvl="0">
      <w:lvlJc w:val="left"/>
      <w:lvlText w:val="∎"/>
      <w:numFmt w:val="bullet"/>
      <w:start w:val="1"/>
    </w:lvl>
  </w:abstractNum>
  <w:abstractNum w:abstractNumId="27">
    <w:nsid w:val="3B0FD379"/>
    <w:multiLevelType w:val="hybridMultilevel"/>
    <w:lvl w:ilvl="0">
      <w:lvlJc w:val="left"/>
      <w:lvlText w:val="∎"/>
      <w:numFmt w:val="bullet"/>
      <w:start w:val="1"/>
    </w:lvl>
  </w:abstractNum>
  <w:abstractNum w:abstractNumId="28">
    <w:nsid w:val="68EB2F63"/>
    <w:multiLevelType w:val="hybridMultilevel"/>
    <w:lvl w:ilvl="0">
      <w:lvlJc w:val="left"/>
      <w:lvlText w:val="∎"/>
      <w:numFmt w:val="bullet"/>
      <w:start w:val="1"/>
    </w:lvl>
    <w:lvl w:ilvl="1">
      <w:lvlJc w:val="left"/>
      <w:lvlText w:val="∎"/>
      <w:numFmt w:val="bullet"/>
      <w:start w:val="1"/>
    </w:lvl>
  </w:abstractNum>
  <w:abstractNum w:abstractNumId="29">
    <w:nsid w:val="4962813B"/>
    <w:multiLevelType w:val="hybridMultilevel"/>
    <w:lvl w:ilvl="0">
      <w:lvlJc w:val="left"/>
      <w:lvlText w:val="∎"/>
      <w:numFmt w:val="bullet"/>
      <w:start w:val="1"/>
    </w:lvl>
  </w:abstractNum>
  <w:abstractNum w:abstractNumId="30">
    <w:nsid w:val="60B6DF70"/>
    <w:multiLevelType w:val="hybridMultilevel"/>
    <w:lvl w:ilvl="0">
      <w:lvlJc w:val="left"/>
      <w:lvlText w:val="∎"/>
      <w:numFmt w:val="bullet"/>
      <w:start w:val="1"/>
    </w:lvl>
  </w:abstractNum>
  <w:abstractNum w:abstractNumId="31">
    <w:nsid w:val="6A5EE64"/>
    <w:multiLevelType w:val="hybridMultilevel"/>
    <w:lvl w:ilvl="0">
      <w:lvlJc w:val="left"/>
      <w:lvlText w:val="∎"/>
      <w:numFmt w:val="bullet"/>
      <w:start w:val="1"/>
    </w:lvl>
  </w:abstractNum>
  <w:abstractNum w:abstractNumId="32">
    <w:nsid w:val="14330624"/>
    <w:multiLevelType w:val="hybridMultilevel"/>
    <w:lvl w:ilvl="0">
      <w:lvlJc w:val="left"/>
      <w:lvlText w:val="∎"/>
      <w:numFmt w:val="bullet"/>
      <w:start w:val="1"/>
    </w:lvl>
    <w:lvl w:ilvl="1">
      <w:lvlJc w:val="left"/>
      <w:lvlText w:val="∎"/>
      <w:numFmt w:val="bullet"/>
      <w:start w:val="1"/>
    </w:lvl>
    <w:lvl w:ilvl="2">
      <w:lvlJc w:val="left"/>
      <w:lvlText w:val="\endash "/>
      <w:numFmt w:val="bullet"/>
      <w:start w:val="1"/>
    </w:lvl>
  </w:abstractNum>
  <w:abstractNum w:abstractNumId="33">
    <w:nsid w:val="7FFFCA11"/>
    <w:multiLevelType w:val="hybridMultilevel"/>
    <w:lvl w:ilvl="0">
      <w:lvlJc w:val="left"/>
      <w:lvlText w:val="∎"/>
      <w:numFmt w:val="bullet"/>
      <w:start w:val="1"/>
    </w:lvl>
  </w:abstractNum>
  <w:abstractNum w:abstractNumId="34">
    <w:nsid w:val="1A27709E"/>
    <w:multiLevelType w:val="hybridMultilevel"/>
    <w:lvl w:ilvl="0">
      <w:lvlJc w:val="left"/>
      <w:lvlText w:val="∎"/>
      <w:numFmt w:val="bullet"/>
      <w:start w:val="1"/>
    </w:lvl>
  </w:abstractNum>
  <w:abstractNum w:abstractNumId="35">
    <w:nsid w:val="71EA1109"/>
    <w:multiLevelType w:val="hybridMultilevel"/>
    <w:lvl w:ilvl="0">
      <w:lvlJc w:val="left"/>
      <w:lvlText w:val="∎"/>
      <w:numFmt w:val="bullet"/>
      <w:start w:val="1"/>
    </w:lvl>
  </w:abstractNum>
  <w:abstractNum w:abstractNumId="36">
    <w:nsid w:val="100F59DC"/>
    <w:multiLevelType w:val="hybridMultilevel"/>
    <w:lvl w:ilvl="0">
      <w:lvlJc w:val="left"/>
      <w:lvlText w:val="∎"/>
      <w:numFmt w:val="bullet"/>
      <w:start w:val="1"/>
    </w:lvl>
    <w:lvl w:ilvl="1">
      <w:lvlJc w:val="left"/>
      <w:lvlText w:val="∎"/>
      <w:numFmt w:val="bullet"/>
      <w:start w:val="1"/>
    </w:lvl>
  </w:abstractNum>
  <w:abstractNum w:abstractNumId="37">
    <w:nsid w:val="7FB7E0AA"/>
    <w:multiLevelType w:val="hybridMultilevel"/>
    <w:lvl w:ilvl="0">
      <w:lvlJc w:val="left"/>
      <w:lvlText w:val="∎"/>
      <w:numFmt w:val="bullet"/>
      <w:start w:val="1"/>
    </w:lvl>
  </w:abstractNum>
  <w:abstractNum w:abstractNumId="38">
    <w:nsid w:val="6EB5BD4"/>
    <w:multiLevelType w:val="hybridMultilevel"/>
    <w:lvl w:ilvl="0">
      <w:lvlJc w:val="left"/>
      <w:lvlText w:val="∎"/>
      <w:numFmt w:val="bullet"/>
      <w:start w:val="1"/>
    </w:lvl>
  </w:abstractNum>
  <w:abstractNum w:abstractNumId="39">
    <w:nsid w:val="6F6DD9AC"/>
    <w:multiLevelType w:val="hybridMultilevel"/>
    <w:lvl w:ilvl="0">
      <w:lvlJc w:val="left"/>
      <w:lvlText w:val="∎"/>
      <w:numFmt w:val="bullet"/>
      <w:start w:val="1"/>
    </w:lvl>
  </w:abstractNum>
  <w:abstractNum w:abstractNumId="40">
    <w:nsid w:val="94211F2"/>
    <w:multiLevelType w:val="hybridMultilevel"/>
    <w:lvl w:ilvl="0">
      <w:lvlJc w:val="left"/>
      <w:lvlText w:val="∎"/>
      <w:numFmt w:val="bullet"/>
      <w:start w:val="1"/>
    </w:lvl>
  </w:abstractNum>
  <w:abstractNum w:abstractNumId="41">
    <w:nsid w:val="885E1B"/>
    <w:multiLevelType w:val="hybridMultilevel"/>
    <w:lvl w:ilvl="0">
      <w:lvlJc w:val="left"/>
      <w:lvlText w:val="∎"/>
      <w:numFmt w:val="bullet"/>
      <w:start w:val="1"/>
    </w:lvl>
    <w:lvl w:ilvl="1">
      <w:lvlJc w:val="left"/>
      <w:lvlText w:val="∎"/>
      <w:numFmt w:val="bullet"/>
      <w:start w:val="1"/>
    </w:lvl>
  </w:abstractNum>
  <w:abstractNum w:abstractNumId="42">
    <w:nsid w:val="76272110"/>
    <w:multiLevelType w:val="hybridMultilevel"/>
    <w:lvl w:ilvl="0">
      <w:lvlJc w:val="left"/>
      <w:lvlText w:val="∎"/>
      <w:numFmt w:val="bullet"/>
      <w:start w:val="1"/>
    </w:lvl>
  </w:abstractNum>
  <w:abstractNum w:abstractNumId="43">
    <w:nsid w:val="4C04A8AF"/>
    <w:multiLevelType w:val="hybridMultilevel"/>
    <w:lvl w:ilvl="0">
      <w:lvlJc w:val="left"/>
      <w:lvlText w:val="∎"/>
      <w:numFmt w:val="bullet"/>
      <w:start w:val="1"/>
    </w:lvl>
  </w:abstractNum>
  <w:abstractNum w:abstractNumId="44">
    <w:nsid w:val="1716703B"/>
    <w:multiLevelType w:val="hybridMultilevel"/>
    <w:lvl w:ilvl="0">
      <w:lvlJc w:val="left"/>
      <w:lvlText w:val="∎"/>
      <w:numFmt w:val="bullet"/>
      <w:start w:val="1"/>
    </w:lvl>
  </w:abstractNum>
  <w:abstractNum w:abstractNumId="45">
    <w:nsid w:val="14E17E33"/>
    <w:multiLevelType w:val="hybridMultilevel"/>
    <w:lvl w:ilvl="0">
      <w:lvlJc w:val="left"/>
      <w:lvlText w:val="∎"/>
      <w:numFmt w:val="bullet"/>
      <w:start w:val="1"/>
    </w:lvl>
    <w:lvl w:ilvl="1">
      <w:lvlJc w:val="left"/>
      <w:lvlText w:val="∎"/>
      <w:numFmt w:val="bullet"/>
      <w:start w:val="1"/>
    </w:lvl>
  </w:abstractNum>
  <w:abstractNum w:abstractNumId="46">
    <w:nsid w:val="3222E7CD"/>
    <w:multiLevelType w:val="hybridMultilevel"/>
    <w:lvl w:ilvl="0">
      <w:lvlJc w:val="left"/>
      <w:lvlText w:val="∎"/>
      <w:numFmt w:val="bullet"/>
      <w:start w:val="1"/>
    </w:lvl>
  </w:abstractNum>
  <w:abstractNum w:abstractNumId="47">
    <w:nsid w:val="74DE0EE3"/>
    <w:multiLevelType w:val="hybridMultilevel"/>
    <w:lvl w:ilvl="0">
      <w:lvlJc w:val="left"/>
      <w:lvlText w:val="∎"/>
      <w:numFmt w:val="bullet"/>
      <w:start w:val="1"/>
    </w:lvl>
  </w:abstractNum>
  <w:abstractNum w:abstractNumId="48">
    <w:nsid w:val="68EBC550"/>
    <w:multiLevelType w:val="hybridMultilevel"/>
    <w:lvl w:ilvl="0">
      <w:lvlJc w:val="left"/>
      <w:lvlText w:val="∎"/>
      <w:numFmt w:val="bullet"/>
      <w:start w:val="1"/>
    </w:lvl>
  </w:abstractNum>
  <w:abstractNum w:abstractNumId="49">
    <w:nsid w:val="2DF6D648"/>
    <w:multiLevelType w:val="hybridMultilevel"/>
    <w:lvl w:ilvl="0">
      <w:lvlJc w:val="left"/>
      <w:lvlText w:val="∎"/>
      <w:numFmt w:val="bullet"/>
      <w:start w:val="1"/>
    </w:lvl>
    <w:lvl w:ilvl="1">
      <w:lvlJc w:val="left"/>
      <w:lvlText w:val="∎"/>
      <w:numFmt w:val="bullet"/>
      <w:start w:val="1"/>
    </w:lvl>
  </w:abstractNum>
  <w:abstractNum w:abstractNumId="50">
    <w:nsid w:val="46B7D447"/>
    <w:multiLevelType w:val="hybridMultilevel"/>
    <w:lvl w:ilvl="0">
      <w:lvlJc w:val="left"/>
      <w:lvlText w:val="∎"/>
      <w:numFmt w:val="bullet"/>
      <w:start w:val="1"/>
    </w:lvl>
    <w:lvl w:ilvl="1">
      <w:lvlJc w:val="left"/>
      <w:lvlText w:val="∎"/>
      <w:numFmt w:val="bullet"/>
      <w:start w:val="1"/>
    </w:lvl>
  </w:abstractNum>
  <w:abstractNum w:abstractNumId="51">
    <w:nsid w:val="4A2AC315"/>
    <w:multiLevelType w:val="hybridMultilevel"/>
    <w:lvl w:ilvl="0">
      <w:lvlJc w:val="left"/>
      <w:lvlText w:val="∎"/>
      <w:numFmt w:val="bullet"/>
      <w:start w:val="1"/>
    </w:lvl>
  </w:abstractNum>
  <w:abstractNum w:abstractNumId="52">
    <w:nsid w:val="39EE015C"/>
    <w:multiLevelType w:val="hybridMultilevel"/>
    <w:lvl w:ilvl="0">
      <w:lvlJc w:val="left"/>
      <w:lvlText w:val="∎"/>
      <w:numFmt w:val="bullet"/>
      <w:start w:val="1"/>
    </w:lvl>
  </w:abstractNum>
  <w:abstractNum w:abstractNumId="53">
    <w:nsid w:val="57FC4FBB"/>
    <w:multiLevelType w:val="hybridMultilevel"/>
    <w:lvl w:ilvl="0">
      <w:lvlJc w:val="left"/>
      <w:lvlText w:val="∎"/>
      <w:numFmt w:val="bullet"/>
      <w:start w:val="1"/>
    </w:lvl>
  </w:abstractNum>
  <w:abstractNum w:abstractNumId="54">
    <w:nsid w:val="CC1016F"/>
    <w:multiLevelType w:val="hybridMultilevel"/>
    <w:lvl w:ilvl="0">
      <w:lvlJc w:val="left"/>
      <w:lvlText w:val="∎"/>
      <w:numFmt w:val="bullet"/>
      <w:start w:val="1"/>
    </w:lvl>
    <w:lvl w:ilvl="1">
      <w:lvlJc w:val="left"/>
      <w:lvlText w:val="∎"/>
      <w:numFmt w:val="bullet"/>
      <w:start w:val="1"/>
    </w:lvl>
  </w:abstractNum>
  <w:abstractNum w:abstractNumId="55">
    <w:nsid w:val="43F18422"/>
    <w:multiLevelType w:val="hybridMultilevel"/>
    <w:lvl w:ilvl="0">
      <w:lvlJc w:val="left"/>
      <w:lvlText w:val="∎"/>
      <w:numFmt w:val="bullet"/>
      <w:start w:val="1"/>
    </w:lvl>
    <w:lvl w:ilvl="1">
      <w:lvlJc w:val="left"/>
      <w:lvlText w:val="∎"/>
      <w:numFmt w:val="bullet"/>
      <w:start w:val="1"/>
    </w:lvl>
  </w:abstractNum>
  <w:abstractNum w:abstractNumId="56">
    <w:nsid w:val="60EF0119"/>
    <w:multiLevelType w:val="hybridMultilevel"/>
    <w:lvl w:ilvl="0">
      <w:lvlJc w:val="left"/>
      <w:lvlText w:val="∎"/>
      <w:numFmt w:val="bullet"/>
      <w:start w:val="1"/>
    </w:lvl>
  </w:abstractNum>
  <w:abstractNum w:abstractNumId="57">
    <w:nsid w:val="26F324BA"/>
    <w:multiLevelType w:val="hybridMultilevel"/>
    <w:lvl w:ilvl="0">
      <w:lvlJc w:val="left"/>
      <w:lvlText w:val="∎"/>
      <w:numFmt w:val="bullet"/>
      <w:start w:val="1"/>
    </w:lvl>
  </w:abstractNum>
  <w:abstractNum w:abstractNumId="58">
    <w:nsid w:val="7F01579B"/>
    <w:multiLevelType w:val="hybridMultilevel"/>
    <w:lvl w:ilvl="0">
      <w:lvlJc w:val="left"/>
      <w:lvlText w:val="∎"/>
      <w:numFmt w:val="bullet"/>
      <w:start w:val="1"/>
    </w:lvl>
  </w:abstractNum>
  <w:abstractNum w:abstractNumId="59">
    <w:nsid w:val="49DA307D"/>
    <w:multiLevelType w:val="hybridMultilevel"/>
    <w:lvl w:ilvl="0">
      <w:lvlJc w:val="left"/>
      <w:lvlText w:val="∎"/>
      <w:numFmt w:val="bullet"/>
      <w:start w:val="1"/>
    </w:lvl>
  </w:abstractNum>
  <w:abstractNum w:abstractNumId="60">
    <w:nsid w:val="7055A5F5"/>
    <w:multiLevelType w:val="hybridMultilevel"/>
    <w:lvl w:ilvl="0">
      <w:lvlJc w:val="left"/>
      <w:lvlText w:val="ü"/>
      <w:numFmt w:val="bullet"/>
      <w:start w:val="1"/>
    </w:lvl>
  </w:abstractNum>
  <w:abstractNum w:abstractNumId="61">
    <w:nsid w:val="5FB8370B"/>
    <w:multiLevelType w:val="hybridMultilevel"/>
    <w:lvl w:ilvl="0">
      <w:lvlJc w:val="left"/>
      <w:lvlText w:val="*"/>
      <w:numFmt w:val="bullet"/>
      <w:start w:val="1"/>
    </w:lvl>
  </w:abstractNum>
  <w:abstractNum w:abstractNumId="62">
    <w:nsid w:val="50801EE1"/>
    <w:multiLevelType w:val="hybridMultilevel"/>
    <w:lvl w:ilvl="0">
      <w:lvlJc w:val="left"/>
      <w:lvlText w:val="∎"/>
      <w:numFmt w:val="bullet"/>
      <w:start w:val="1"/>
    </w:lvl>
  </w:abstractNum>
  <w:abstractNum w:abstractNumId="63">
    <w:nsid w:val="488AC1A"/>
    <w:multiLevelType w:val="hybridMultilevel"/>
    <w:lvl w:ilvl="0">
      <w:lvlJc w:val="left"/>
      <w:lvlText w:val="∎"/>
      <w:numFmt w:val="bullet"/>
      <w:start w:val="1"/>
    </w:lvl>
  </w:abstractNum>
  <w:abstractNum w:abstractNumId="64">
    <w:nsid w:val="5FB8011C"/>
    <w:multiLevelType w:val="hybridMultilevel"/>
    <w:lvl w:ilvl="0">
      <w:lvlJc w:val="left"/>
      <w:lvlText w:val="(%1)"/>
      <w:numFmt w:val="decimal"/>
      <w:start w:val="1"/>
    </w:lvl>
  </w:abstractNum>
  <w:abstractNum w:abstractNumId="65">
    <w:nsid w:val="6AA78F7F"/>
    <w:multiLevelType w:val="hybridMultilevel"/>
    <w:lvl w:ilvl="0">
      <w:lvlJc w:val="left"/>
      <w:lvlText w:val="∎"/>
      <w:numFmt w:val="bullet"/>
      <w:start w:val="1"/>
    </w:lvl>
  </w:abstractNum>
  <w:abstractNum w:abstractNumId="66">
    <w:nsid w:val="7672BD23"/>
    <w:multiLevelType w:val="hybridMultilevel"/>
    <w:lvl w:ilvl="0">
      <w:lvlJc w:val="left"/>
      <w:lvlText w:val="∎"/>
      <w:numFmt w:val="bullet"/>
      <w:start w:val="1"/>
    </w:lvl>
  </w:abstractNum>
  <w:abstractNum w:abstractNumId="67">
    <w:nsid w:val="6FC75AF8"/>
    <w:multiLevelType w:val="hybridMultilevel"/>
    <w:lvl w:ilvl="0">
      <w:lvlJc w:val="left"/>
      <w:lvlText w:val="(%1)"/>
      <w:numFmt w:val="decimal"/>
      <w:start w:val="1"/>
    </w:lvl>
  </w:abstractNum>
  <w:abstractNum w:abstractNumId="68">
    <w:nsid w:val="6A5F7029"/>
    <w:multiLevelType w:val="hybridMultilevel"/>
    <w:lvl w:ilvl="0">
      <w:lvlJc w:val="left"/>
      <w:lvlText w:val="∎"/>
      <w:numFmt w:val="bullet"/>
      <w:start w:val="1"/>
    </w:lvl>
  </w:abstractNum>
  <w:abstractNum w:abstractNumId="69">
    <w:nsid w:val="7D5E18F8"/>
    <w:multiLevelType w:val="hybridMultilevel"/>
    <w:lvl w:ilvl="0">
      <w:lvlJc w:val="left"/>
      <w:lvlText w:val="∎"/>
      <w:numFmt w:val="bullet"/>
      <w:start w:val="1"/>
    </w:lvl>
  </w:abstractNum>
  <w:abstractNum w:abstractNumId="70">
    <w:nsid w:val="5F3534A4"/>
    <w:multiLevelType w:val="hybridMultilevel"/>
    <w:lvl w:ilvl="0">
      <w:lvlJc w:val="left"/>
      <w:lvlText w:val="(%1)"/>
      <w:numFmt w:val="decimal"/>
      <w:start w:val="1"/>
    </w:lvl>
  </w:abstractNum>
  <w:abstractNum w:abstractNumId="71">
    <w:nsid w:val="73A1821B"/>
    <w:multiLevelType w:val="hybridMultilevel"/>
    <w:lvl w:ilvl="0">
      <w:lvlJc w:val="left"/>
      <w:lvlText w:val="∎"/>
      <w:numFmt w:val="bullet"/>
      <w:start w:val="1"/>
    </w:lvl>
  </w:abstractNum>
  <w:abstractNum w:abstractNumId="72">
    <w:nsid w:val="7DE67713"/>
    <w:multiLevelType w:val="hybridMultilevel"/>
    <w:lvl w:ilvl="0">
      <w:lvlJc w:val="left"/>
      <w:lvlText w:val="(%1)"/>
      <w:numFmt w:val="decimal"/>
      <w:start w:val="1"/>
    </w:lvl>
  </w:abstractNum>
  <w:abstractNum w:abstractNumId="73">
    <w:nsid w:val="555C55B5"/>
    <w:multiLevelType w:val="hybridMultilevel"/>
    <w:lvl w:ilvl="0">
      <w:lvlJc w:val="left"/>
      <w:lvlText w:val="(%1)"/>
      <w:numFmt w:val="decimal"/>
      <w:start w:val="1"/>
    </w:lvl>
  </w:abstractNum>
  <w:abstractNum w:abstractNumId="74">
    <w:nsid w:val="3FA62ACA"/>
    <w:multiLevelType w:val="hybridMultilevel"/>
    <w:lvl w:ilvl="0">
      <w:lvlJc w:val="left"/>
      <w:lvlText w:val="(%1)"/>
      <w:numFmt w:val="decimal"/>
      <w:start w:val="1"/>
    </w:lvl>
  </w:abstractNum>
  <w:abstractNum w:abstractNumId="75">
    <w:nsid w:val="14FCE74E"/>
    <w:multiLevelType w:val="hybridMultilevel"/>
    <w:lvl w:ilvl="0">
      <w:lvlJc w:val="left"/>
      <w:lvlText w:val="*"/>
      <w:numFmt w:val="bullet"/>
      <w:start w:val="1"/>
    </w:lvl>
  </w:abstractNum>
  <w:abstractNum w:abstractNumId="76">
    <w:nsid w:val="6A3DD3E8"/>
    <w:multiLevelType w:val="hybridMultilevel"/>
    <w:lvl w:ilvl="0">
      <w:lvlJc w:val="left"/>
      <w:lvlText w:val="&amp;"/>
      <w:numFmt w:val="bullet"/>
      <w:start w:val="1"/>
    </w:lvl>
  </w:abstractNum>
  <w:abstractNum w:abstractNumId="77">
    <w:nsid w:val="71C91298"/>
    <w:multiLevelType w:val="hybridMultilevel"/>
    <w:lvl w:ilvl="0">
      <w:lvlJc w:val="left"/>
      <w:lvlText w:val="(%1)"/>
      <w:numFmt w:val="lowerRoman"/>
      <w:start w:val="2"/>
    </w:lvl>
  </w:abstractNum>
  <w:abstractNum w:abstractNumId="78">
    <w:nsid w:val="9DAF632"/>
    <w:multiLevelType w:val="hybridMultilevel"/>
    <w:lvl w:ilvl="0">
      <w:lvlJc w:val="left"/>
      <w:lvlText w:val="∎"/>
      <w:numFmt w:val="bullet"/>
      <w:start w:val="1"/>
    </w:lvl>
  </w:abstractNum>
  <w:abstractNum w:abstractNumId="79">
    <w:nsid w:val="53299938"/>
    <w:multiLevelType w:val="hybridMultilevel"/>
    <w:lvl w:ilvl="0">
      <w:lvlJc w:val="left"/>
      <w:lvlText w:val="∎"/>
      <w:numFmt w:val="bullet"/>
      <w:start w:val="1"/>
    </w:lvl>
  </w:abstractNum>
  <w:abstractNum w:abstractNumId="80">
    <w:nsid w:val="1FBFE8E0"/>
    <w:multiLevelType w:val="hybridMultilevel"/>
    <w:lvl w:ilvl="0">
      <w:lvlJc w:val="left"/>
      <w:lvlText w:val="∎"/>
      <w:numFmt w:val="bullet"/>
      <w:start w:val="1"/>
    </w:lvl>
  </w:abstractNum>
  <w:abstractNum w:abstractNumId="81">
    <w:nsid w:val="5092CA79"/>
    <w:multiLevelType w:val="hybridMultilevel"/>
    <w:lvl w:ilvl="0">
      <w:lvlJc w:val="left"/>
      <w:lvlText w:val="(%1)"/>
      <w:numFmt w:val="decimal"/>
      <w:start w:val="1"/>
    </w:lvl>
  </w:abstractNum>
  <w:abstractNum w:abstractNumId="82">
    <w:nsid w:val="1D545C4D"/>
    <w:multiLevelType w:val="hybridMultilevel"/>
    <w:lvl w:ilvl="0">
      <w:lvlJc w:val="left"/>
      <w:lvlText w:val="(%1)"/>
      <w:numFmt w:val="lowerLetter"/>
      <w:start w:val="1"/>
    </w:lvl>
  </w:abstractNum>
  <w:abstractNum w:abstractNumId="83">
    <w:nsid w:val="59ADEA3D"/>
    <w:multiLevelType w:val="hybridMultilevel"/>
    <w:lvl w:ilvl="0">
      <w:lvlJc w:val="left"/>
      <w:lvlText w:val="(%1)"/>
      <w:numFmt w:val="decimal"/>
      <w:start w:val="5"/>
    </w:lvl>
  </w:abstractNum>
  <w:abstractNum w:abstractNumId="84">
    <w:nsid w:val="288F1A34"/>
    <w:multiLevelType w:val="hybridMultilevel"/>
    <w:lvl w:ilvl="0">
      <w:lvlJc w:val="left"/>
      <w:lvlText w:val="(%1)"/>
      <w:numFmt w:val="decimal"/>
      <w:start w:val="1"/>
    </w:lvl>
  </w:abstractNum>
  <w:abstractNum w:abstractNumId="85">
    <w:nsid w:val="2A155DBC"/>
    <w:multiLevelType w:val="hybridMultilevel"/>
    <w:lvl w:ilvl="0">
      <w:lvlJc w:val="left"/>
      <w:lvlText w:val="(%1)"/>
      <w:numFmt w:val="decimal"/>
      <w:start w:val="1"/>
    </w:lvl>
  </w:abstractNum>
  <w:abstractNum w:abstractNumId="86">
    <w:nsid w:val="1D9F6E5F"/>
    <w:multiLevelType w:val="hybridMultilevel"/>
    <w:lvl w:ilvl="0">
      <w:lvlJc w:val="left"/>
      <w:lvlText w:val="(%1)"/>
      <w:numFmt w:val="decimal"/>
      <w:start w:val="2"/>
    </w:lvl>
  </w:abstractNum>
  <w:abstractNum w:abstractNumId="87">
    <w:nsid w:val="97E1B4E"/>
    <w:multiLevelType w:val="hybridMultilevel"/>
    <w:lvl w:ilvl="0">
      <w:lvlJc w:val="left"/>
      <w:lvlText w:val=" "/>
      <w:numFmt w:val="bullet"/>
      <w:start w:val="1"/>
    </w:lvl>
    <w:lvl w:ilvl="1">
      <w:lvlJc w:val="left"/>
      <w:lvlText w:val="(%2)"/>
      <w:numFmt w:val="lowerRoman"/>
      <w:start w:val="2"/>
    </w:lvl>
  </w:abstractNum>
  <w:abstractNum w:abstractNumId="88">
    <w:nsid w:val="51088277"/>
    <w:multiLevelType w:val="hybridMultilevel"/>
    <w:lvl w:ilvl="0">
      <w:lvlJc w:val="left"/>
      <w:lvlText w:val="(%1)"/>
      <w:numFmt w:val="lowerRoman"/>
      <w:start w:val="2"/>
    </w:lvl>
  </w:abstractNum>
  <w:abstractNum w:abstractNumId="89">
    <w:nsid w:val="1CA0C5FA"/>
    <w:multiLevelType w:val="hybridMultilevel"/>
    <w:lvl w:ilvl="0">
      <w:lvlJc w:val="left"/>
      <w:lvlText w:val="(%1)"/>
      <w:numFmt w:val="decimal"/>
      <w:start w:val="3"/>
    </w:lvl>
  </w:abstractNum>
  <w:abstractNum w:abstractNumId="90">
    <w:nsid w:val="53584BCB"/>
    <w:multiLevelType w:val="hybridMultilevel"/>
    <w:lvl w:ilvl="0">
      <w:lvlJc w:val="left"/>
      <w:lvlText w:val="(%1)"/>
      <w:numFmt w:val="decimal"/>
      <w:start w:val="1"/>
    </w:lvl>
  </w:abstractNum>
  <w:abstractNum w:abstractNumId="91">
    <w:nsid w:val="415E286C"/>
    <w:multiLevelType w:val="hybridMultilevel"/>
    <w:lvl w:ilvl="0">
      <w:lvlJc w:val="left"/>
      <w:lvlText w:val="∎"/>
      <w:numFmt w:val="bullet"/>
      <w:start w:val="1"/>
    </w:lvl>
  </w:abstractNum>
  <w:abstractNum w:abstractNumId="92">
    <w:nsid w:val="7C58FD05"/>
    <w:multiLevelType w:val="hybridMultilevel"/>
    <w:lvl w:ilvl="0">
      <w:lvlJc w:val="left"/>
      <w:lvlText w:val="∎"/>
      <w:numFmt w:val="bullet"/>
      <w:start w:val="1"/>
    </w:lvl>
  </w:abstractNum>
  <w:abstractNum w:abstractNumId="93">
    <w:nsid w:val="23D86AAC"/>
    <w:multiLevelType w:val="hybridMultilevel"/>
    <w:lvl w:ilvl="0">
      <w:lvlJc w:val="left"/>
      <w:lvlText w:val="∎"/>
      <w:numFmt w:val="bullet"/>
      <w:start w:val="1"/>
    </w:lvl>
  </w:abstractNum>
  <w:abstractNum w:abstractNumId="94">
    <w:nsid w:val="45E6D486"/>
    <w:multiLevelType w:val="hybridMultilevel"/>
    <w:lvl w:ilvl="0">
      <w:lvlJc w:val="left"/>
      <w:lvlText w:val="∎"/>
      <w:numFmt w:val="bullet"/>
      <w:start w:val="1"/>
    </w:lvl>
  </w:abstractNum>
  <w:abstractNum w:abstractNumId="95">
    <w:nsid w:val="5C10FE21"/>
    <w:multiLevelType w:val="hybridMultilevel"/>
    <w:lvl w:ilvl="0">
      <w:lvlJc w:val="left"/>
      <w:lvlText w:val="(%1)"/>
      <w:numFmt w:val="decimal"/>
      <w:start w:val="1"/>
    </w:lvl>
  </w:abstractNum>
  <w:abstractNum w:abstractNumId="96">
    <w:nsid w:val="E7FFA2B"/>
    <w:multiLevelType w:val="hybridMultilevel"/>
    <w:lvl w:ilvl="0">
      <w:lvlJc w:val="left"/>
      <w:lvlText w:val="∎"/>
      <w:numFmt w:val="bullet"/>
      <w:start w:val="1"/>
    </w:lvl>
  </w:abstractNum>
  <w:abstractNum w:abstractNumId="97">
    <w:nsid w:val="3C5991AA"/>
    <w:multiLevelType w:val="hybridMultilevel"/>
    <w:lvl w:ilvl="0">
      <w:lvlJc w:val="left"/>
      <w:lvlText w:val="∎"/>
      <w:numFmt w:val="bullet"/>
      <w:start w:val="1"/>
    </w:lvl>
  </w:abstractNum>
  <w:abstractNum w:abstractNumId="98">
    <w:nsid w:val="4BD8591A"/>
    <w:multiLevelType w:val="hybridMultilevel"/>
    <w:lvl w:ilvl="0">
      <w:lvlJc w:val="left"/>
      <w:lvlText w:val="∎"/>
      <w:numFmt w:val="bullet"/>
      <w:start w:val="1"/>
    </w:lvl>
  </w:abstractNum>
  <w:abstractNum w:abstractNumId="99">
    <w:nsid w:val="78DF6A55"/>
    <w:multiLevelType w:val="hybridMultilevel"/>
    <w:lvl w:ilvl="0">
      <w:lvlJc w:val="left"/>
      <w:lvlText w:val="∎"/>
      <w:numFmt w:val="bullet"/>
      <w:start w:val="1"/>
    </w:lvl>
  </w:abstractNum>
  <w:abstractNum w:abstractNumId="100">
    <w:nsid w:val="39B7AAA2"/>
    <w:multiLevelType w:val="hybridMultilevel"/>
    <w:lvl w:ilvl="0">
      <w:lvlJc w:val="left"/>
      <w:lvlText w:val="(%1)"/>
      <w:numFmt w:val="decimal"/>
      <w:start w:val="1"/>
    </w:lvl>
  </w:abstractNum>
  <w:abstractNum w:abstractNumId="101">
    <w:nsid w:val="2B0D8DBE"/>
    <w:multiLevelType w:val="hybridMultilevel"/>
    <w:lvl w:ilvl="0">
      <w:lvlJc w:val="left"/>
      <w:lvlText w:val="(%1)"/>
      <w:numFmt w:val="decimal"/>
      <w:start w:val="2"/>
    </w:lvl>
  </w:abstractNum>
  <w:abstractNum w:abstractNumId="102">
    <w:nsid w:val="6C80EC70"/>
    <w:multiLevelType w:val="hybridMultilevel"/>
    <w:lvl w:ilvl="0">
      <w:lvlJc w:val="left"/>
      <w:lvlText w:val="(%1)"/>
      <w:numFmt w:val="decimal"/>
      <w:start w:val="3"/>
    </w:lvl>
  </w:abstractNum>
  <w:abstractNum w:abstractNumId="103">
    <w:nsid w:val="379E21B5"/>
    <w:multiLevelType w:val="hybridMultilevel"/>
    <w:lvl w:ilvl="0">
      <w:lvlJc w:val="left"/>
      <w:lvlText w:val="(%1)"/>
      <w:numFmt w:val="decimal"/>
      <w:start w:val="5"/>
    </w:lvl>
  </w:abstractNum>
  <w:abstractNum w:abstractNumId="104">
    <w:nsid w:val="69E373"/>
    <w:multiLevelType w:val="hybridMultilevel"/>
    <w:lvl w:ilvl="0">
      <w:lvlJc w:val="left"/>
      <w:lvlText w:val="∎"/>
      <w:numFmt w:val="bullet"/>
      <w:start w:val="1"/>
    </w:lvl>
  </w:abstractNum>
  <w:abstractNum w:abstractNumId="105">
    <w:nsid w:val="2C27173B"/>
    <w:multiLevelType w:val="hybridMultilevel"/>
    <w:lvl w:ilvl="0">
      <w:lvlJc w:val="left"/>
      <w:lvlText w:val="(%1)"/>
      <w:numFmt w:val="decimal"/>
      <w:start w:val="1"/>
    </w:lvl>
  </w:abstractNum>
  <w:abstractNum w:abstractNumId="106">
    <w:nsid w:val="4C9B0904"/>
    <w:multiLevelType w:val="hybridMultilevel"/>
    <w:lvl w:ilvl="0">
      <w:lvlJc w:val="left"/>
      <w:lvlText w:val="∎"/>
      <w:numFmt w:val="bullet"/>
      <w:start w:val="1"/>
    </w:lvl>
  </w:abstractNum>
  <w:abstractNum w:abstractNumId="107">
    <w:nsid w:val="6AA7B75C"/>
    <w:multiLevelType w:val="hybridMultilevel"/>
    <w:lvl w:ilvl="0">
      <w:lvlJc w:val="left"/>
      <w:lvlText w:val="·"/>
      <w:numFmt w:val="bullet"/>
      <w:start w:val="1"/>
    </w:lvl>
  </w:abstractNum>
  <w:abstractNum w:abstractNumId="108">
    <w:nsid w:val="1DF029D3"/>
    <w:multiLevelType w:val="hybridMultilevel"/>
    <w:lvl w:ilvl="0">
      <w:lvlJc w:val="left"/>
      <w:lvlText w:val="·"/>
      <w:numFmt w:val="bullet"/>
      <w:start w:val="1"/>
    </w:lvl>
  </w:abstractNum>
  <w:abstractNum w:abstractNumId="109">
    <w:nsid w:val="5675FF36"/>
    <w:multiLevelType w:val="hybridMultilevel"/>
    <w:lvl w:ilvl="0">
      <w:lvlJc w:val="left"/>
      <w:lvlText w:val="·"/>
      <w:numFmt w:val="bullet"/>
      <w:start w:val="1"/>
    </w:lvl>
  </w:abstractNum>
  <w:abstractNum w:abstractNumId="110">
    <w:nsid w:val="3DD15094"/>
    <w:multiLevelType w:val="hybridMultilevel"/>
    <w:lvl w:ilvl="0">
      <w:lvlJc w:val="left"/>
      <w:lvlText w:val="·"/>
      <w:numFmt w:val="bullet"/>
      <w:start w:val="1"/>
    </w:lvl>
  </w:abstractNum>
  <w:abstractNum w:abstractNumId="111">
    <w:nsid w:val="3DB012B3"/>
    <w:multiLevelType w:val="hybridMultilevel"/>
    <w:lvl w:ilvl="0">
      <w:lvlJc w:val="left"/>
      <w:lvlText w:val="1"/>
      <w:numFmt w:val="bullet"/>
      <w:start w:val="1"/>
    </w:lvl>
  </w:abstractNum>
  <w:abstractNum w:abstractNumId="112">
    <w:nsid w:val="2708C9AF"/>
    <w:multiLevelType w:val="hybridMultilevel"/>
    <w:lvl w:ilvl="0">
      <w:lvlJc w:val="left"/>
      <w:lvlText w:val="2"/>
      <w:numFmt w:val="bullet"/>
      <w:start w:val="1"/>
    </w:lvl>
  </w:abstractNum>
  <w:abstractNum w:abstractNumId="113">
    <w:nsid w:val="5B25ACE2"/>
    <w:multiLevelType w:val="hybridMultilevel"/>
    <w:lvl w:ilvl="0">
      <w:lvlJc w:val="left"/>
      <w:lvlText w:val="∎"/>
      <w:numFmt w:val="bullet"/>
      <w:start w:val="1"/>
    </w:lvl>
  </w:abstractNum>
  <w:abstractNum w:abstractNumId="114">
    <w:nsid w:val="175DFCF0"/>
    <w:multiLevelType w:val="hybridMultilevel"/>
    <w:lvl w:ilvl="0">
      <w:lvlJc w:val="left"/>
      <w:lvlText w:val="(%1)"/>
      <w:numFmt w:val="decimal"/>
      <w:start w:val="1"/>
    </w:lvl>
  </w:abstractNum>
  <w:abstractNum w:abstractNumId="115">
    <w:nsid w:val="4F97E3E4"/>
    <w:multiLevelType w:val="hybridMultilevel"/>
    <w:lvl w:ilvl="0">
      <w:lvlJc w:val="left"/>
      <w:lvlText w:val="∎"/>
      <w:numFmt w:val="bullet"/>
      <w:start w:val="1"/>
    </w:lvl>
  </w:abstractNum>
  <w:abstractNum w:abstractNumId="116">
    <w:nsid w:val="53B0A9E"/>
    <w:multiLevelType w:val="hybridMultilevel"/>
    <w:lvl w:ilvl="0">
      <w:lvlJc w:val="left"/>
      <w:lvlText w:val="(%1)"/>
      <w:numFmt w:val="lowerRoman"/>
      <w:start w:val="2"/>
    </w:lvl>
  </w:abstractNum>
  <w:abstractNum w:abstractNumId="117">
    <w:nsid w:val="34FD6B4F"/>
    <w:multiLevelType w:val="hybridMultilevel"/>
    <w:lvl w:ilvl="0">
      <w:lvlJc w:val="left"/>
      <w:lvlText w:val="(%1)"/>
      <w:numFmt w:val="decimal"/>
      <w:start w:val="1"/>
    </w:lvl>
  </w:abstractNum>
  <w:abstractNum w:abstractNumId="118">
    <w:nsid w:val="5915FF32"/>
    <w:multiLevelType w:val="hybridMultilevel"/>
    <w:lvl w:ilvl="0">
      <w:lvlJc w:val="left"/>
      <w:lvlText w:val="(%1)"/>
      <w:numFmt w:val="decimal"/>
      <w:start w:val="2"/>
    </w:lvl>
  </w:abstractNum>
  <w:abstractNum w:abstractNumId="119">
    <w:nsid w:val="56438D15"/>
    <w:multiLevelType w:val="hybridMultilevel"/>
    <w:lvl w:ilvl="0">
      <w:lvlJc w:val="left"/>
      <w:lvlText w:val="(%1)"/>
      <w:numFmt w:val="decimal"/>
      <w:start w:val="3"/>
    </w:lvl>
    <w:lvl w:ilvl="1">
      <w:lvlJc w:val="left"/>
      <w:lvlText w:val="(%2)"/>
      <w:numFmt w:val="upperLetter"/>
      <w:start w:val="1"/>
    </w:lvl>
  </w:abstractNum>
  <w:abstractNum w:abstractNumId="120">
    <w:nsid w:val="519E3149"/>
    <w:multiLevelType w:val="hybridMultilevel"/>
    <w:lvl w:ilvl="0">
      <w:lvlJc w:val="left"/>
      <w:lvlText w:val="(%1)"/>
      <w:numFmt w:val="lowerRoman"/>
      <w:start w:val="2"/>
    </w:lvl>
  </w:abstractNum>
  <w:abstractNum w:abstractNumId="121">
    <w:nsid w:val="2C6E4AFD"/>
    <w:multiLevelType w:val="hybridMultilevel"/>
    <w:lvl w:ilvl="0">
      <w:lvlJc w:val="left"/>
      <w:lvlText w:val="(%1)"/>
      <w:numFmt w:val="decimal"/>
      <w:start w:val="90"/>
    </w:lvl>
  </w:abstractNum>
  <w:abstractNum w:abstractNumId="122">
    <w:nsid w:val="17A1B582"/>
    <w:multiLevelType w:val="hybridMultilevel"/>
    <w:lvl w:ilvl="0">
      <w:lvlJc w:val="left"/>
      <w:lvlText w:val="%1."/>
      <w:numFmt w:val="decimal"/>
      <w:start w:val="5"/>
    </w:lvl>
  </w:abstractNum>
  <w:abstractNum w:abstractNumId="123">
    <w:nsid w:val="4DF72E4E"/>
    <w:multiLevelType w:val="hybridMultilevel"/>
    <w:lvl w:ilvl="0">
      <w:lvlJc w:val="left"/>
      <w:lvlText w:val="•"/>
      <w:numFmt w:val="bullet"/>
      <w:start w:val="1"/>
    </w:lvl>
    <w:lvl w:ilvl="1">
      <w:lvlJc w:val="left"/>
      <w:lvlText w:val="•"/>
      <w:numFmt w:val="bullet"/>
      <w:start w:val="1"/>
    </w:lvl>
  </w:abstractNum>
  <w:abstractNum w:abstractNumId="124">
    <w:nsid w:val="5046B5A9"/>
    <w:multiLevelType w:val="hybridMultilevel"/>
    <w:lvl w:ilvl="0">
      <w:lvlJc w:val="left"/>
      <w:lvlText w:val="•"/>
      <w:numFmt w:val="bullet"/>
      <w:start w:val="1"/>
    </w:lvl>
  </w:abstractNum>
  <w:abstractNum w:abstractNumId="125">
    <w:nsid w:val="5D888A08"/>
    <w:multiLevelType w:val="hybridMultilevel"/>
    <w:lvl w:ilvl="0">
      <w:lvlJc w:val="left"/>
      <w:lvlText w:val="%1."/>
      <w:numFmt w:val="decimal"/>
      <w:start w:val="1"/>
    </w:lvl>
  </w:abstractNum>
  <w:abstractNum w:abstractNumId="126">
    <w:nsid w:val="2A082C70"/>
    <w:multiLevelType w:val="hybridMultilevel"/>
    <w:lvl w:ilvl="0">
      <w:lvlJc w:val="left"/>
      <w:lvlText w:val="%1."/>
      <w:numFmt w:val="decimal"/>
      <w:start w:val="1"/>
    </w:lvl>
  </w:abstractNum>
  <w:abstractNum w:abstractNumId="127">
    <w:nsid w:val="5EC6AFD4"/>
    <w:multiLevelType w:val="hybridMultilevel"/>
    <w:lvl w:ilvl="0">
      <w:lvlJc w:val="left"/>
      <w:lvlText w:val="%1."/>
      <w:numFmt w:val="decimal"/>
      <w:start w:val="2"/>
    </w:lvl>
  </w:abstractNum>
  <w:abstractNum w:abstractNumId="128">
    <w:nsid w:val="19E21BB2"/>
    <w:multiLevelType w:val="hybridMultilevel"/>
    <w:lvl w:ilvl="0">
      <w:lvlJc w:val="left"/>
      <w:lvlText w:val="%1."/>
      <w:numFmt w:val="decimal"/>
      <w:start w:val="1"/>
    </w:lvl>
  </w:abstractNum>
  <w:abstractNum w:abstractNumId="129">
    <w:nsid w:val="75E0858A"/>
    <w:multiLevelType w:val="hybridMultilevel"/>
    <w:lvl w:ilvl="0">
      <w:lvlJc w:val="left"/>
      <w:lvlText w:val="%1."/>
      <w:numFmt w:val="decimal"/>
      <w:start w:val="2"/>
    </w:lvl>
  </w:abstractNum>
  <w:abstractNum w:abstractNumId="130">
    <w:nsid w:val="57A61A29"/>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jpe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jpe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jpe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jpe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jpe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jpe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jpe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jpe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jpe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jpe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jpe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jpe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2026-04-06T15:12:11Z</dcterms:created>
  <dcterms:modified xsi:type="dcterms:W3CDTF">2026-04-06T15:12:11Z</dcterms:modified>
</cp:coreProperties>
</file>